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0C7" w:rsidRPr="00A15400" w:rsidRDefault="00FE539C" w:rsidP="000630C7">
      <w:pPr>
        <w:spacing w:line="360" w:lineRule="auto"/>
        <w:jc w:val="both"/>
        <w:rPr>
          <w:lang w:val="en-US"/>
        </w:rPr>
      </w:pPr>
      <w:r>
        <w:rPr>
          <w:noProof/>
          <w:lang w:val="en-US" w:eastAsia="zh-CN"/>
        </w:rPr>
        <w:drawing>
          <wp:inline distT="0" distB="0" distL="0" distR="0">
            <wp:extent cx="6120130" cy="82111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1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0C7" w:rsidRPr="00AB7CF9" w:rsidRDefault="00A326AF" w:rsidP="000630C7">
      <w:pPr>
        <w:spacing w:line="480" w:lineRule="auto"/>
        <w:jc w:val="both"/>
        <w:rPr>
          <w:rFonts w:hint="eastAsia"/>
          <w:b/>
          <w:bCs/>
          <w:lang w:val="en-US" w:eastAsia="zh-CN"/>
        </w:rPr>
      </w:pPr>
      <w:r>
        <w:rPr>
          <w:b/>
          <w:bCs/>
          <w:lang w:val="en-US"/>
        </w:rPr>
        <w:t xml:space="preserve">Supplementary </w:t>
      </w:r>
      <w:r w:rsidR="003C5CF0">
        <w:rPr>
          <w:b/>
          <w:bCs/>
          <w:lang w:val="en-US"/>
        </w:rPr>
        <w:t xml:space="preserve">Fig. </w:t>
      </w:r>
      <w:r w:rsidR="000630C7" w:rsidRPr="00AB7CF9">
        <w:rPr>
          <w:b/>
          <w:bCs/>
          <w:lang w:val="en-US"/>
        </w:rPr>
        <w:t>1. Characterization of CD11c-Cre OTUB1</w:t>
      </w:r>
      <w:r w:rsidR="000630C7" w:rsidRPr="002722FE">
        <w:rPr>
          <w:b/>
          <w:bCs/>
          <w:vertAlign w:val="superscript"/>
          <w:lang w:val="en-US"/>
        </w:rPr>
        <w:t>fl/fl</w:t>
      </w:r>
      <w:r w:rsidR="000630C7" w:rsidRPr="00AB7CF9">
        <w:rPr>
          <w:b/>
          <w:bCs/>
          <w:lang w:val="en-US"/>
        </w:rPr>
        <w:t xml:space="preserve"> mice in physiological conditions</w:t>
      </w:r>
    </w:p>
    <w:p w:rsidR="000630C7" w:rsidRPr="00AB7CF9" w:rsidRDefault="000630C7" w:rsidP="000630C7">
      <w:pPr>
        <w:spacing w:line="480" w:lineRule="auto"/>
        <w:jc w:val="both"/>
        <w:rPr>
          <w:lang w:val="en-US"/>
        </w:rPr>
      </w:pPr>
      <w:r w:rsidRPr="00AB7CF9">
        <w:rPr>
          <w:lang w:val="en-US"/>
        </w:rPr>
        <w:lastRenderedPageBreak/>
        <w:t>(</w:t>
      </w:r>
      <w:r w:rsidR="00A326AF">
        <w:rPr>
          <w:lang w:val="en-US"/>
        </w:rPr>
        <w:t>a</w:t>
      </w:r>
      <w:r w:rsidRPr="00AB7CF9">
        <w:rPr>
          <w:lang w:val="en-US"/>
        </w:rPr>
        <w:t xml:space="preserve"> and </w:t>
      </w:r>
      <w:r w:rsidR="00A326AF">
        <w:rPr>
          <w:lang w:val="en-US"/>
        </w:rPr>
        <w:t>b</w:t>
      </w:r>
      <w:r w:rsidRPr="00AB7CF9">
        <w:rPr>
          <w:lang w:val="en-US"/>
        </w:rPr>
        <w:t>) FLT3L</w:t>
      </w:r>
      <w:r w:rsidR="00FF3AC8">
        <w:rPr>
          <w:lang w:val="en-US"/>
        </w:rPr>
        <w:t>-</w:t>
      </w:r>
      <w:r w:rsidRPr="00AB7CF9">
        <w:rPr>
          <w:lang w:val="en-US"/>
        </w:rPr>
        <w:t>expanded BMDCs were stimulated with TgPFN (</w:t>
      </w:r>
      <w:r w:rsidR="00A326AF">
        <w:rPr>
          <w:lang w:val="en-US"/>
        </w:rPr>
        <w:t>a</w:t>
      </w:r>
      <w:r w:rsidRPr="00AB7CF9">
        <w:rPr>
          <w:lang w:val="en-US"/>
        </w:rPr>
        <w:t>) and LPS (</w:t>
      </w:r>
      <w:r w:rsidR="00A326AF">
        <w:rPr>
          <w:lang w:val="en-US"/>
        </w:rPr>
        <w:t>b</w:t>
      </w:r>
      <w:r w:rsidRPr="00AB7CF9">
        <w:rPr>
          <w:lang w:val="en-US"/>
        </w:rPr>
        <w:t>) for the indicated time points. OTUB1 mRNA expression was measured by qPCR and normalized to unstimulated sample (n = 3).</w:t>
      </w:r>
    </w:p>
    <w:p w:rsidR="000630C7" w:rsidRPr="00AB7CF9" w:rsidRDefault="000630C7" w:rsidP="000630C7">
      <w:pPr>
        <w:spacing w:line="480" w:lineRule="auto"/>
        <w:jc w:val="both"/>
        <w:rPr>
          <w:rFonts w:hint="eastAsia"/>
          <w:lang w:val="en-US" w:eastAsia="zh-CN"/>
        </w:rPr>
      </w:pPr>
      <w:r w:rsidRPr="00AB7CF9">
        <w:rPr>
          <w:lang w:val="en-US"/>
        </w:rPr>
        <w:t>(</w:t>
      </w:r>
      <w:r w:rsidR="00A326AF">
        <w:rPr>
          <w:lang w:val="en-US"/>
        </w:rPr>
        <w:t>c</w:t>
      </w:r>
      <w:r w:rsidRPr="00AB7CF9">
        <w:rPr>
          <w:lang w:val="en-US"/>
        </w:rPr>
        <w:t>) CD11c</w:t>
      </w:r>
      <w:r w:rsidRPr="00AB7CF9">
        <w:rPr>
          <w:vertAlign w:val="superscript"/>
          <w:lang w:val="en-US"/>
        </w:rPr>
        <w:t>+</w:t>
      </w:r>
      <w:r w:rsidRPr="00AB7CF9">
        <w:rPr>
          <w:lang w:val="en-US"/>
        </w:rPr>
        <w:t>, CD11b</w:t>
      </w:r>
      <w:r w:rsidRPr="00AB7CF9">
        <w:rPr>
          <w:vertAlign w:val="superscript"/>
          <w:lang w:val="en-US"/>
        </w:rPr>
        <w:t>+</w:t>
      </w:r>
      <w:r w:rsidRPr="00AB7CF9">
        <w:rPr>
          <w:lang w:val="en-US"/>
        </w:rPr>
        <w:t>, NK1.1</w:t>
      </w:r>
      <w:r w:rsidRPr="00AB7CF9">
        <w:rPr>
          <w:vertAlign w:val="superscript"/>
          <w:lang w:val="en-US"/>
        </w:rPr>
        <w:t>+</w:t>
      </w:r>
      <w:r w:rsidRPr="00AB7CF9">
        <w:rPr>
          <w:lang w:val="en-US"/>
        </w:rPr>
        <w:t>, CD3</w:t>
      </w:r>
      <w:r w:rsidRPr="00AB7CF9">
        <w:rPr>
          <w:vertAlign w:val="superscript"/>
          <w:lang w:val="en-US"/>
        </w:rPr>
        <w:t>+</w:t>
      </w:r>
      <w:r w:rsidRPr="00AB7CF9">
        <w:rPr>
          <w:lang w:val="en-US"/>
        </w:rPr>
        <w:t xml:space="preserve"> and CD19</w:t>
      </w:r>
      <w:r w:rsidRPr="00AB7CF9">
        <w:rPr>
          <w:vertAlign w:val="superscript"/>
          <w:lang w:val="en-US"/>
        </w:rPr>
        <w:t>+</w:t>
      </w:r>
      <w:r w:rsidRPr="00AB7CF9">
        <w:rPr>
          <w:lang w:val="en-US"/>
        </w:rPr>
        <w:t xml:space="preserve"> </w:t>
      </w:r>
      <w:r>
        <w:rPr>
          <w:lang w:val="en-US"/>
        </w:rPr>
        <w:t xml:space="preserve">cells were </w:t>
      </w:r>
      <w:r w:rsidRPr="00AB7CF9">
        <w:rPr>
          <w:lang w:val="en-US"/>
        </w:rPr>
        <w:t>magnetically isolated from spleens</w:t>
      </w:r>
      <w:r>
        <w:rPr>
          <w:lang w:val="en-US"/>
        </w:rPr>
        <w:t xml:space="preserve"> of</w:t>
      </w:r>
      <w:r w:rsidRPr="00F7514C">
        <w:rPr>
          <w:lang w:val="en-US"/>
        </w:rPr>
        <w:t xml:space="preserve"> </w:t>
      </w:r>
      <w:r w:rsidRPr="00AB7CF9">
        <w:rPr>
          <w:lang w:val="en-US"/>
        </w:rPr>
        <w:t>CD11c-Cre OTUB1</w:t>
      </w:r>
      <w:r w:rsidRPr="00AB7CF9">
        <w:rPr>
          <w:vertAlign w:val="superscript"/>
          <w:lang w:val="en-US"/>
        </w:rPr>
        <w:t xml:space="preserve">fl/fl </w:t>
      </w:r>
      <w:r w:rsidRPr="00AB7CF9">
        <w:rPr>
          <w:lang w:val="en-US"/>
        </w:rPr>
        <w:t>and control OTUB1</w:t>
      </w:r>
      <w:r w:rsidRPr="00AB7CF9">
        <w:rPr>
          <w:vertAlign w:val="superscript"/>
          <w:lang w:val="en-US"/>
        </w:rPr>
        <w:t xml:space="preserve">fl/fl </w:t>
      </w:r>
      <w:r w:rsidRPr="00AB7CF9">
        <w:rPr>
          <w:lang w:val="en-US"/>
        </w:rPr>
        <w:t>mice</w:t>
      </w:r>
      <w:r>
        <w:rPr>
          <w:lang w:val="en-US"/>
        </w:rPr>
        <w:t>, and analyzed by WB for OTUB1 expression</w:t>
      </w:r>
      <w:r w:rsidRPr="00AB7CF9">
        <w:rPr>
          <w:lang w:val="en-US"/>
        </w:rPr>
        <w:t>. The lower panels show the relative expression of OTUB1 normalized to GAPDH (n = 3)</w:t>
      </w:r>
      <w:r w:rsidR="002722FE">
        <w:rPr>
          <w:rFonts w:hint="eastAsia"/>
          <w:lang w:val="en-US" w:eastAsia="zh-CN"/>
        </w:rPr>
        <w:t>.</w:t>
      </w:r>
    </w:p>
    <w:p w:rsidR="000630C7" w:rsidRPr="00F81750" w:rsidRDefault="000630C7" w:rsidP="000630C7">
      <w:pPr>
        <w:spacing w:line="480" w:lineRule="auto"/>
        <w:jc w:val="both"/>
        <w:rPr>
          <w:lang w:val="en-US"/>
        </w:rPr>
      </w:pPr>
      <w:r w:rsidRPr="00AB7CF9">
        <w:rPr>
          <w:lang w:val="en-US"/>
        </w:rPr>
        <w:t xml:space="preserve"> (</w:t>
      </w:r>
      <w:r w:rsidR="00A326AF">
        <w:rPr>
          <w:lang w:val="en-US"/>
        </w:rPr>
        <w:t>d</w:t>
      </w:r>
      <w:r w:rsidRPr="00F81750">
        <w:rPr>
          <w:lang w:val="en-US"/>
        </w:rPr>
        <w:t>) OTUB1 expression in GM-CSF</w:t>
      </w:r>
      <w:r w:rsidR="00FF3AC8">
        <w:rPr>
          <w:lang w:val="en-US"/>
        </w:rPr>
        <w:t>-</w:t>
      </w:r>
      <w:r w:rsidRPr="00F81750">
        <w:rPr>
          <w:lang w:val="en-US"/>
        </w:rPr>
        <w:t>expanded BMDCs, FLT3L</w:t>
      </w:r>
      <w:r w:rsidR="00FF3AC8">
        <w:rPr>
          <w:lang w:val="en-US"/>
        </w:rPr>
        <w:t>-</w:t>
      </w:r>
      <w:r w:rsidRPr="00F81750">
        <w:rPr>
          <w:lang w:val="en-US"/>
        </w:rPr>
        <w:t>expanded BMDCs, and M-CSF</w:t>
      </w:r>
      <w:r w:rsidR="00FF3AC8">
        <w:rPr>
          <w:lang w:val="en-US"/>
        </w:rPr>
        <w:t>-</w:t>
      </w:r>
      <w:r w:rsidRPr="00F81750">
        <w:rPr>
          <w:lang w:val="en-US"/>
        </w:rPr>
        <w:t xml:space="preserve">expanded BMDMs was analyzed by WB (upper panels). The lower panels show the relative expression of OTUB1 normalized to GAPDH (n = 3). </w:t>
      </w:r>
    </w:p>
    <w:p w:rsidR="000630C7" w:rsidRPr="00F81750" w:rsidRDefault="000630C7" w:rsidP="000630C7">
      <w:pPr>
        <w:spacing w:line="480" w:lineRule="auto"/>
        <w:jc w:val="both"/>
        <w:rPr>
          <w:lang w:val="en-US"/>
        </w:rPr>
      </w:pPr>
      <w:r w:rsidRPr="00F81750">
        <w:rPr>
          <w:lang w:val="en-US"/>
        </w:rPr>
        <w:t>(</w:t>
      </w:r>
      <w:r w:rsidR="00A326AF">
        <w:rPr>
          <w:lang w:val="en-US"/>
        </w:rPr>
        <w:t>e</w:t>
      </w:r>
      <w:r w:rsidRPr="00F81750">
        <w:rPr>
          <w:lang w:val="en-US"/>
        </w:rPr>
        <w:t xml:space="preserve"> </w:t>
      </w:r>
      <w:r>
        <w:rPr>
          <w:lang w:val="en-US"/>
        </w:rPr>
        <w:t xml:space="preserve">to </w:t>
      </w:r>
      <w:r w:rsidR="00A326AF">
        <w:rPr>
          <w:lang w:val="en-US"/>
        </w:rPr>
        <w:t>g</w:t>
      </w:r>
      <w:r w:rsidRPr="00F81750">
        <w:rPr>
          <w:lang w:val="en-US"/>
        </w:rPr>
        <w:t>) Absolute numbers of leukocyte (</w:t>
      </w:r>
      <w:r w:rsidR="00A326AF">
        <w:rPr>
          <w:lang w:val="en-US"/>
        </w:rPr>
        <w:t>e</w:t>
      </w:r>
      <w:r w:rsidRPr="00F81750">
        <w:rPr>
          <w:lang w:val="en-US"/>
        </w:rPr>
        <w:t>), DC (</w:t>
      </w:r>
      <w:r w:rsidR="00A326AF">
        <w:rPr>
          <w:lang w:val="en-US"/>
        </w:rPr>
        <w:t>f</w:t>
      </w:r>
      <w:r w:rsidRPr="00F81750">
        <w:rPr>
          <w:lang w:val="en-US"/>
        </w:rPr>
        <w:t>) and T cell (</w:t>
      </w:r>
      <w:r w:rsidR="00A326AF">
        <w:rPr>
          <w:lang w:val="en-US"/>
        </w:rPr>
        <w:t>g</w:t>
      </w:r>
      <w:r w:rsidRPr="00F81750">
        <w:rPr>
          <w:lang w:val="en-US"/>
        </w:rPr>
        <w:t>) subpopulations in the spleen of OTUB1</w:t>
      </w:r>
      <w:r w:rsidRPr="00F81750">
        <w:rPr>
          <w:vertAlign w:val="superscript"/>
          <w:lang w:val="en-US"/>
        </w:rPr>
        <w:t>fl/fl</w:t>
      </w:r>
      <w:r w:rsidRPr="00F81750">
        <w:rPr>
          <w:lang w:val="en-US"/>
        </w:rPr>
        <w:t xml:space="preserve"> and CD11c-Cre OTUB1</w:t>
      </w:r>
      <w:r w:rsidRPr="00F81750">
        <w:rPr>
          <w:vertAlign w:val="superscript"/>
          <w:lang w:val="en-US"/>
        </w:rPr>
        <w:t xml:space="preserve">fl/fl </w:t>
      </w:r>
      <w:r w:rsidRPr="00F81750">
        <w:rPr>
          <w:lang w:val="en-US"/>
        </w:rPr>
        <w:t>mice were determined by flow cytometry.</w:t>
      </w:r>
    </w:p>
    <w:p w:rsidR="000630C7" w:rsidRDefault="000630C7" w:rsidP="000630C7">
      <w:pPr>
        <w:spacing w:line="480" w:lineRule="auto"/>
        <w:jc w:val="both"/>
        <w:rPr>
          <w:lang w:val="en-US"/>
        </w:rPr>
      </w:pPr>
      <w:r w:rsidRPr="00F81750">
        <w:rPr>
          <w:lang w:val="en-US"/>
        </w:rPr>
        <w:t>(</w:t>
      </w:r>
      <w:r w:rsidR="00A326AF">
        <w:rPr>
          <w:lang w:val="en-US"/>
        </w:rPr>
        <w:t>h</w:t>
      </w:r>
      <w:r w:rsidRPr="00F81750">
        <w:rPr>
          <w:lang w:val="en-US"/>
        </w:rPr>
        <w:t xml:space="preserve"> and </w:t>
      </w:r>
      <w:r w:rsidR="00A326AF">
        <w:rPr>
          <w:lang w:val="en-US"/>
        </w:rPr>
        <w:t>i</w:t>
      </w:r>
      <w:r w:rsidRPr="00F81750">
        <w:rPr>
          <w:lang w:val="en-US"/>
        </w:rPr>
        <w:t>) Absolute numbers of IL-12-producing DCs (</w:t>
      </w:r>
      <w:r w:rsidR="00A326AF">
        <w:rPr>
          <w:lang w:val="en-US"/>
        </w:rPr>
        <w:t>h</w:t>
      </w:r>
      <w:r w:rsidRPr="00F81750">
        <w:rPr>
          <w:lang w:val="en-US"/>
        </w:rPr>
        <w:t>) and IFN-</w:t>
      </w:r>
      <w:r w:rsidRPr="00F35A3F">
        <w:t>γ</w:t>
      </w:r>
      <w:r w:rsidRPr="00F81750">
        <w:rPr>
          <w:lang w:val="en-US"/>
        </w:rPr>
        <w:t>-producing T and NK cells (</w:t>
      </w:r>
      <w:r w:rsidR="00A326AF">
        <w:rPr>
          <w:lang w:val="en-US"/>
        </w:rPr>
        <w:t>i</w:t>
      </w:r>
      <w:r w:rsidRPr="00F81750">
        <w:rPr>
          <w:lang w:val="en-US"/>
        </w:rPr>
        <w:t>) were calculated based on flow cytometry results.</w:t>
      </w:r>
    </w:p>
    <w:p w:rsidR="00EF2066" w:rsidRPr="00FE539C" w:rsidRDefault="00413777" w:rsidP="00FE539C">
      <w:pPr>
        <w:pStyle w:val="a4"/>
        <w:spacing w:line="480" w:lineRule="auto"/>
        <w:ind w:left="0"/>
        <w:jc w:val="both"/>
        <w:rPr>
          <w:lang w:val="en-GB"/>
        </w:rPr>
      </w:pPr>
      <w:r>
        <w:rPr>
          <w:lang w:val="en-US"/>
        </w:rPr>
        <w:t>(</w:t>
      </w:r>
      <w:r w:rsidR="00A326AF">
        <w:rPr>
          <w:lang w:val="en-US"/>
        </w:rPr>
        <w:t>j</w:t>
      </w:r>
      <w:r>
        <w:rPr>
          <w:lang w:val="en-US"/>
        </w:rPr>
        <w:t xml:space="preserve">) </w:t>
      </w:r>
      <w:r w:rsidRPr="006121AD">
        <w:rPr>
          <w:lang w:val="en-GB"/>
        </w:rPr>
        <w:t xml:space="preserve">Gating strategy for BMDC subpopulations. After </w:t>
      </w:r>
      <w:r w:rsidRPr="006121AD">
        <w:rPr>
          <w:i/>
          <w:iCs/>
          <w:lang w:val="en-GB"/>
        </w:rPr>
        <w:t>in vitro</w:t>
      </w:r>
      <w:r w:rsidRPr="006121AD">
        <w:rPr>
          <w:lang w:val="en-GB"/>
        </w:rPr>
        <w:t xml:space="preserve"> </w:t>
      </w:r>
      <w:r w:rsidR="0096289E">
        <w:rPr>
          <w:rFonts w:hint="eastAsia"/>
          <w:lang w:val="en-GB" w:eastAsia="zh-CN"/>
        </w:rPr>
        <w:t>FLT3L</w:t>
      </w:r>
      <w:r w:rsidRPr="006121AD">
        <w:rPr>
          <w:lang w:val="en-GB"/>
        </w:rPr>
        <w:t xml:space="preserve"> and GM-CSF expansion, BMDCs were stained for DC markers and </w:t>
      </w:r>
      <w:r w:rsidR="000D5FD6">
        <w:rPr>
          <w:rFonts w:hint="eastAsia"/>
          <w:lang w:val="en-GB" w:eastAsia="zh-CN"/>
        </w:rPr>
        <w:t>measured</w:t>
      </w:r>
      <w:r w:rsidRPr="006121AD">
        <w:rPr>
          <w:lang w:val="en-GB"/>
        </w:rPr>
        <w:t xml:space="preserve"> </w:t>
      </w:r>
      <w:r w:rsidR="002E5856">
        <w:rPr>
          <w:lang w:val="en-GB"/>
        </w:rPr>
        <w:t>by</w:t>
      </w:r>
      <w:r w:rsidRPr="006121AD">
        <w:rPr>
          <w:lang w:val="en-GB"/>
        </w:rPr>
        <w:t xml:space="preserve"> flow cytometry. Percentage</w:t>
      </w:r>
      <w:r w:rsidR="000D5FD6">
        <w:rPr>
          <w:rFonts w:hint="eastAsia"/>
          <w:lang w:val="en-GB" w:eastAsia="zh-CN"/>
        </w:rPr>
        <w:t>s</w:t>
      </w:r>
      <w:r w:rsidRPr="006121AD">
        <w:rPr>
          <w:lang w:val="en-GB"/>
        </w:rPr>
        <w:t xml:space="preserve"> of </w:t>
      </w:r>
      <w:r w:rsidR="00D35C9E">
        <w:rPr>
          <w:lang w:val="en-GB"/>
        </w:rPr>
        <w:t xml:space="preserve">total </w:t>
      </w:r>
      <w:r w:rsidRPr="006121AD">
        <w:rPr>
          <w:lang w:val="en-GB"/>
        </w:rPr>
        <w:t>CD11c</w:t>
      </w:r>
      <w:r w:rsidRPr="006121AD">
        <w:rPr>
          <w:vertAlign w:val="superscript"/>
          <w:lang w:val="en-GB"/>
        </w:rPr>
        <w:t>+</w:t>
      </w:r>
      <w:r w:rsidR="00D35C9E">
        <w:rPr>
          <w:vertAlign w:val="superscript"/>
          <w:lang w:val="en-GB"/>
        </w:rPr>
        <w:t xml:space="preserve"> </w:t>
      </w:r>
      <w:r w:rsidR="00D35C9E" w:rsidRPr="00FE539C">
        <w:rPr>
          <w:lang w:val="en-GB"/>
        </w:rPr>
        <w:t>cells</w:t>
      </w:r>
      <w:r w:rsidR="00D35C9E">
        <w:rPr>
          <w:lang w:val="en-GB"/>
        </w:rPr>
        <w:t xml:space="preserve"> (lower panel) and </w:t>
      </w:r>
      <w:r w:rsidRPr="006121AD">
        <w:rPr>
          <w:lang w:val="en-GB"/>
        </w:rPr>
        <w:t>CD8a</w:t>
      </w:r>
      <w:r w:rsidRPr="006121AD">
        <w:rPr>
          <w:vertAlign w:val="superscript"/>
          <w:lang w:val="en-GB"/>
        </w:rPr>
        <w:t>+</w:t>
      </w:r>
      <w:r w:rsidRPr="006121AD">
        <w:rPr>
          <w:lang w:val="en-GB"/>
        </w:rPr>
        <w:t>, CD11b</w:t>
      </w:r>
      <w:r w:rsidRPr="006121AD">
        <w:rPr>
          <w:vertAlign w:val="superscript"/>
          <w:lang w:val="en-GB"/>
        </w:rPr>
        <w:t>+</w:t>
      </w:r>
      <w:r w:rsidRPr="006121AD">
        <w:rPr>
          <w:lang w:val="en-GB"/>
        </w:rPr>
        <w:t xml:space="preserve"> and PDCA-1</w:t>
      </w:r>
      <w:r w:rsidRPr="006121AD">
        <w:rPr>
          <w:vertAlign w:val="superscript"/>
          <w:lang w:val="en-GB"/>
        </w:rPr>
        <w:t xml:space="preserve">+ </w:t>
      </w:r>
      <w:r w:rsidRPr="006121AD">
        <w:rPr>
          <w:lang w:val="en-GB"/>
        </w:rPr>
        <w:t>B220</w:t>
      </w:r>
      <w:r w:rsidRPr="006121AD">
        <w:rPr>
          <w:vertAlign w:val="superscript"/>
          <w:lang w:val="en-GB"/>
        </w:rPr>
        <w:t>+</w:t>
      </w:r>
      <w:r w:rsidRPr="006121AD">
        <w:rPr>
          <w:lang w:val="en-GB"/>
        </w:rPr>
        <w:t xml:space="preserve"> </w:t>
      </w:r>
      <w:r w:rsidR="00D35C9E">
        <w:rPr>
          <w:lang w:val="en-GB"/>
        </w:rPr>
        <w:t>subtypes (right panels)</w:t>
      </w:r>
      <w:r w:rsidRPr="006121AD">
        <w:rPr>
          <w:lang w:val="en-GB"/>
        </w:rPr>
        <w:t xml:space="preserve"> were </w:t>
      </w:r>
      <w:r w:rsidR="000D5FD6">
        <w:rPr>
          <w:rFonts w:hint="eastAsia"/>
          <w:lang w:val="en-GB" w:eastAsia="zh-CN"/>
        </w:rPr>
        <w:t>analyzed</w:t>
      </w:r>
      <w:r w:rsidRPr="006121AD">
        <w:rPr>
          <w:lang w:val="en-GB"/>
        </w:rPr>
        <w:t xml:space="preserve"> by FlowJo software (n = 3)</w:t>
      </w:r>
      <w:r>
        <w:rPr>
          <w:lang w:val="en-GB"/>
        </w:rPr>
        <w:t>.</w:t>
      </w:r>
    </w:p>
    <w:p w:rsidR="000630C7" w:rsidRPr="00AB7CF9" w:rsidRDefault="000630C7" w:rsidP="003C5CF0">
      <w:pPr>
        <w:spacing w:line="480" w:lineRule="auto"/>
        <w:jc w:val="both"/>
        <w:rPr>
          <w:lang w:val="en-US"/>
        </w:rPr>
      </w:pPr>
      <w:r w:rsidRPr="00F81750">
        <w:rPr>
          <w:lang w:val="en-US"/>
        </w:rPr>
        <w:t xml:space="preserve">Data are expressed as mean + SD.  </w:t>
      </w:r>
      <w:r w:rsidRPr="00F35A3F">
        <w:t>* p &lt; 0.05, ** p &lt; 0.01, *** p &lt; 0.001.</w:t>
      </w:r>
    </w:p>
    <w:p w:rsidR="000630C7" w:rsidRDefault="003C5CF0" w:rsidP="000630C7">
      <w:pPr>
        <w:spacing w:line="480" w:lineRule="auto"/>
        <w:jc w:val="both"/>
        <w:rPr>
          <w:b/>
          <w:bCs/>
          <w:lang w:val="en-US"/>
        </w:rPr>
      </w:pPr>
      <w:r>
        <w:rPr>
          <w:noProof/>
          <w:lang w:val="en-US" w:eastAsia="zh-CN"/>
        </w:rPr>
        <w:lastRenderedPageBreak/>
        <w:drawing>
          <wp:inline distT="0" distB="0" distL="0" distR="0">
            <wp:extent cx="6120130" cy="709549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9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0C7" w:rsidRPr="0012006E" w:rsidRDefault="00A326AF" w:rsidP="000630C7">
      <w:pPr>
        <w:spacing w:line="480" w:lineRule="auto"/>
        <w:jc w:val="both"/>
        <w:rPr>
          <w:rFonts w:hint="eastAsia"/>
          <w:b/>
          <w:bCs/>
          <w:lang w:val="en-US" w:eastAsia="zh-CN"/>
        </w:rPr>
      </w:pPr>
      <w:r>
        <w:rPr>
          <w:b/>
          <w:bCs/>
          <w:lang w:val="en-US"/>
        </w:rPr>
        <w:t xml:space="preserve">Supplementary </w:t>
      </w:r>
      <w:r w:rsidR="000630C7" w:rsidRPr="0012006E">
        <w:rPr>
          <w:b/>
          <w:bCs/>
          <w:lang w:val="en-US"/>
        </w:rPr>
        <w:t>Fig. 2. OTUB1 inhibits TLR2/</w:t>
      </w:r>
      <w:r w:rsidR="002E5856">
        <w:rPr>
          <w:b/>
          <w:bCs/>
          <w:lang w:val="en-US"/>
        </w:rPr>
        <w:t>3/</w:t>
      </w:r>
      <w:r w:rsidR="000630C7" w:rsidRPr="0012006E">
        <w:rPr>
          <w:b/>
          <w:bCs/>
          <w:lang w:val="en-US"/>
        </w:rPr>
        <w:t xml:space="preserve">7/9/12-induced cytokine </w:t>
      </w:r>
      <w:r w:rsidR="009846FC">
        <w:rPr>
          <w:b/>
          <w:bCs/>
          <w:lang w:val="en-US"/>
        </w:rPr>
        <w:t>production</w:t>
      </w:r>
    </w:p>
    <w:p w:rsidR="000630C7" w:rsidRPr="00413777" w:rsidRDefault="000630C7" w:rsidP="00413777">
      <w:pPr>
        <w:pStyle w:val="a4"/>
        <w:spacing w:line="480" w:lineRule="auto"/>
        <w:ind w:left="0"/>
        <w:jc w:val="both"/>
        <w:rPr>
          <w:lang w:val="en-US"/>
        </w:rPr>
      </w:pPr>
      <w:r w:rsidRPr="00413777">
        <w:rPr>
          <w:lang w:val="en-US"/>
        </w:rPr>
        <w:t>(</w:t>
      </w:r>
      <w:r w:rsidR="00A326AF">
        <w:rPr>
          <w:lang w:val="en-US"/>
        </w:rPr>
        <w:t>a</w:t>
      </w:r>
      <w:r w:rsidRPr="00413777">
        <w:rPr>
          <w:lang w:val="en-US"/>
        </w:rPr>
        <w:t xml:space="preserve"> and </w:t>
      </w:r>
      <w:r w:rsidR="00A326AF">
        <w:rPr>
          <w:lang w:val="en-US"/>
        </w:rPr>
        <w:t>b</w:t>
      </w:r>
      <w:r w:rsidRPr="00413777">
        <w:rPr>
          <w:lang w:val="en-US"/>
        </w:rPr>
        <w:t>) FLT3L-expanded BMDC were stimulated with TgPFN (</w:t>
      </w:r>
      <w:r w:rsidR="00A326AF">
        <w:rPr>
          <w:lang w:val="en-US"/>
        </w:rPr>
        <w:t>a</w:t>
      </w:r>
      <w:r w:rsidRPr="00413777">
        <w:rPr>
          <w:lang w:val="en-US"/>
        </w:rPr>
        <w:t>) or LPS (</w:t>
      </w:r>
      <w:r w:rsidR="00A326AF">
        <w:rPr>
          <w:lang w:val="en-US"/>
        </w:rPr>
        <w:t>b</w:t>
      </w:r>
      <w:r w:rsidRPr="00413777">
        <w:rPr>
          <w:lang w:val="en-US"/>
        </w:rPr>
        <w:t>) for the indicated time points. mRNA expression of IL-12</w:t>
      </w:r>
      <w:r>
        <w:t>α</w:t>
      </w:r>
      <w:r w:rsidRPr="00413777">
        <w:rPr>
          <w:lang w:val="en-US"/>
        </w:rPr>
        <w:t>, IL-12</w:t>
      </w:r>
      <w:r>
        <w:t>β</w:t>
      </w:r>
      <w:r w:rsidRPr="00413777">
        <w:rPr>
          <w:lang w:val="en-US"/>
        </w:rPr>
        <w:t xml:space="preserve">, TNF and IL-6 was measured by qPCR. Data show the relative increase over naïve controls. </w:t>
      </w:r>
    </w:p>
    <w:p w:rsidR="00413777" w:rsidRDefault="000630C7" w:rsidP="000630C7">
      <w:pPr>
        <w:spacing w:line="480" w:lineRule="auto"/>
        <w:jc w:val="both"/>
        <w:rPr>
          <w:lang w:val="en-US"/>
        </w:rPr>
      </w:pPr>
      <w:r w:rsidRPr="0012006E">
        <w:rPr>
          <w:lang w:val="en-US"/>
        </w:rPr>
        <w:lastRenderedPageBreak/>
        <w:t>(</w:t>
      </w:r>
      <w:r w:rsidR="00A326AF">
        <w:rPr>
          <w:lang w:val="en-US"/>
        </w:rPr>
        <w:t>c</w:t>
      </w:r>
      <w:r w:rsidRPr="0012006E">
        <w:rPr>
          <w:lang w:val="en-US"/>
        </w:rPr>
        <w:t>) FLT3L-expanded BMDCs were stimulated with PGN</w:t>
      </w:r>
      <w:r w:rsidR="002E5856">
        <w:rPr>
          <w:lang w:val="en-US"/>
        </w:rPr>
        <w:t xml:space="preserve"> (TLR2 agonist)</w:t>
      </w:r>
      <w:r w:rsidRPr="0012006E">
        <w:rPr>
          <w:lang w:val="en-US"/>
        </w:rPr>
        <w:t>, Imiquimod (IMQ)</w:t>
      </w:r>
      <w:r w:rsidR="002E5856">
        <w:rPr>
          <w:lang w:val="en-US"/>
        </w:rPr>
        <w:t xml:space="preserve"> (TLR7 agonist)</w:t>
      </w:r>
      <w:r w:rsidRPr="0012006E">
        <w:rPr>
          <w:lang w:val="en-US"/>
        </w:rPr>
        <w:t xml:space="preserve">, </w:t>
      </w:r>
      <w:r>
        <w:rPr>
          <w:lang w:val="en-US"/>
        </w:rPr>
        <w:t xml:space="preserve">CpG </w:t>
      </w:r>
      <w:r w:rsidRPr="0012006E">
        <w:rPr>
          <w:lang w:val="en-US"/>
        </w:rPr>
        <w:t>ODN</w:t>
      </w:r>
      <w:r w:rsidR="002E5856">
        <w:rPr>
          <w:lang w:val="en-US"/>
        </w:rPr>
        <w:t xml:space="preserve"> (TLR9 agonist)</w:t>
      </w:r>
      <w:r w:rsidR="00413777">
        <w:rPr>
          <w:lang w:val="en-US"/>
        </w:rPr>
        <w:t xml:space="preserve"> and Poly I:C</w:t>
      </w:r>
      <w:r w:rsidR="002E5856">
        <w:rPr>
          <w:lang w:val="en-US"/>
        </w:rPr>
        <w:t xml:space="preserve"> (TLR3 agonist)</w:t>
      </w:r>
      <w:r w:rsidRPr="0012006E">
        <w:rPr>
          <w:lang w:val="en-US"/>
        </w:rPr>
        <w:t xml:space="preserve"> for 24 h</w:t>
      </w:r>
      <w:r w:rsidR="0096494A">
        <w:rPr>
          <w:rFonts w:hint="eastAsia"/>
          <w:lang w:val="en-US" w:eastAsia="zh-CN"/>
        </w:rPr>
        <w:t>.</w:t>
      </w:r>
      <w:r w:rsidR="0096494A" w:rsidRPr="0012006E">
        <w:rPr>
          <w:lang w:val="en-US"/>
        </w:rPr>
        <w:t xml:space="preserve"> </w:t>
      </w:r>
      <w:r w:rsidR="0096494A">
        <w:rPr>
          <w:rFonts w:hint="eastAsia"/>
          <w:lang w:val="en-US" w:eastAsia="zh-CN"/>
        </w:rPr>
        <w:t>C</w:t>
      </w:r>
      <w:r w:rsidR="0096494A" w:rsidRPr="0012006E">
        <w:rPr>
          <w:lang w:val="en-US"/>
        </w:rPr>
        <w:t xml:space="preserve">ytokines </w:t>
      </w:r>
      <w:r w:rsidRPr="0012006E">
        <w:rPr>
          <w:lang w:val="en-US"/>
        </w:rPr>
        <w:t xml:space="preserve">in the supernatant were analyzed by ELISA (n = </w:t>
      </w:r>
      <w:r w:rsidR="001B4273">
        <w:rPr>
          <w:lang w:val="en-US"/>
        </w:rPr>
        <w:t>7</w:t>
      </w:r>
      <w:r w:rsidRPr="0012006E">
        <w:rPr>
          <w:lang w:val="en-US"/>
        </w:rPr>
        <w:t xml:space="preserve">). </w:t>
      </w:r>
    </w:p>
    <w:p w:rsidR="00413777" w:rsidRDefault="00413777" w:rsidP="00D932CC">
      <w:pPr>
        <w:spacing w:line="480" w:lineRule="auto"/>
        <w:jc w:val="both"/>
        <w:rPr>
          <w:lang w:val="en-US" w:eastAsia="zh-CN"/>
        </w:rPr>
      </w:pPr>
      <w:r>
        <w:rPr>
          <w:lang w:val="en-US"/>
        </w:rPr>
        <w:t>(</w:t>
      </w:r>
      <w:r w:rsidR="00A326AF">
        <w:rPr>
          <w:lang w:val="en-US"/>
        </w:rPr>
        <w:t>d</w:t>
      </w:r>
      <w:r>
        <w:rPr>
          <w:lang w:val="en-US"/>
        </w:rPr>
        <w:t xml:space="preserve"> to </w:t>
      </w:r>
      <w:r w:rsidR="00A326AF">
        <w:rPr>
          <w:lang w:val="en-US"/>
        </w:rPr>
        <w:t>h</w:t>
      </w:r>
      <w:r>
        <w:rPr>
          <w:lang w:val="en-US"/>
        </w:rPr>
        <w:t xml:space="preserve">) </w:t>
      </w:r>
      <w:r w:rsidRPr="00B44474">
        <w:rPr>
          <w:lang w:val="en-US"/>
        </w:rPr>
        <w:t xml:space="preserve">FLT3L-expanded BMDCs were stimulated with </w:t>
      </w:r>
      <w:r w:rsidR="006B0CE2">
        <w:rPr>
          <w:lang w:val="en-US"/>
        </w:rPr>
        <w:t>P</w:t>
      </w:r>
      <w:r>
        <w:rPr>
          <w:lang w:val="en-US"/>
        </w:rPr>
        <w:t>oly I:C (</w:t>
      </w:r>
      <w:r w:rsidR="00A326AF">
        <w:rPr>
          <w:lang w:val="en-US"/>
        </w:rPr>
        <w:t>d</w:t>
      </w:r>
      <w:r>
        <w:rPr>
          <w:lang w:val="en-US"/>
        </w:rPr>
        <w:t>), TNF (</w:t>
      </w:r>
      <w:r w:rsidR="00A326AF">
        <w:rPr>
          <w:lang w:val="en-US"/>
        </w:rPr>
        <w:t>e</w:t>
      </w:r>
      <w:r>
        <w:rPr>
          <w:lang w:val="en-US"/>
        </w:rPr>
        <w:t>), IL-1β (</w:t>
      </w:r>
      <w:r w:rsidR="00A326AF">
        <w:rPr>
          <w:lang w:val="en-US"/>
        </w:rPr>
        <w:t>f</w:t>
      </w:r>
      <w:r>
        <w:rPr>
          <w:lang w:val="en-US"/>
        </w:rPr>
        <w:t xml:space="preserve">), </w:t>
      </w:r>
      <w:r w:rsidRPr="00B44474">
        <w:rPr>
          <w:lang w:val="en-US"/>
        </w:rPr>
        <w:t>TgPFN</w:t>
      </w:r>
      <w:r>
        <w:rPr>
          <w:lang w:val="en-US"/>
        </w:rPr>
        <w:t xml:space="preserve"> (</w:t>
      </w:r>
      <w:r w:rsidR="00A326AF">
        <w:rPr>
          <w:lang w:val="en-US"/>
        </w:rPr>
        <w:t>g</w:t>
      </w:r>
      <w:r>
        <w:rPr>
          <w:lang w:val="en-US"/>
        </w:rPr>
        <w:t>) or LPS (</w:t>
      </w:r>
      <w:r w:rsidR="00A326AF">
        <w:rPr>
          <w:lang w:val="en-US"/>
        </w:rPr>
        <w:t>h</w:t>
      </w:r>
      <w:r>
        <w:rPr>
          <w:lang w:val="en-US"/>
        </w:rPr>
        <w:t>)</w:t>
      </w:r>
      <w:r w:rsidRPr="00B44474">
        <w:rPr>
          <w:lang w:val="en-US"/>
        </w:rPr>
        <w:t xml:space="preserve"> for indicated time points.</w:t>
      </w:r>
      <w:r>
        <w:rPr>
          <w:lang w:val="en-US"/>
        </w:rPr>
        <w:t xml:space="preserve"> </w:t>
      </w:r>
      <w:r w:rsidRPr="0012006E">
        <w:rPr>
          <w:lang w:val="en-US"/>
        </w:rPr>
        <w:t>Whole cell lysate</w:t>
      </w:r>
      <w:r>
        <w:rPr>
          <w:lang w:val="en-US"/>
        </w:rPr>
        <w:t>s</w:t>
      </w:r>
      <w:r w:rsidRPr="0012006E">
        <w:rPr>
          <w:lang w:val="en-US"/>
        </w:rPr>
        <w:t xml:space="preserve"> were analy</w:t>
      </w:r>
      <w:r>
        <w:rPr>
          <w:lang w:val="en-US"/>
        </w:rPr>
        <w:t>z</w:t>
      </w:r>
      <w:r w:rsidRPr="0012006E">
        <w:rPr>
          <w:lang w:val="en-US"/>
        </w:rPr>
        <w:t>ed by WB with indicated antibodies. Intensity of p-p38</w:t>
      </w:r>
      <w:r>
        <w:rPr>
          <w:lang w:val="en-US"/>
        </w:rPr>
        <w:t xml:space="preserve">, </w:t>
      </w:r>
      <w:r w:rsidRPr="0012006E">
        <w:rPr>
          <w:lang w:val="en-US"/>
        </w:rPr>
        <w:t>p-ERK</w:t>
      </w:r>
      <w:r>
        <w:rPr>
          <w:lang w:val="en-US"/>
        </w:rPr>
        <w:t>1/2 and p-JNK</w:t>
      </w:r>
      <w:r w:rsidRPr="0012006E">
        <w:rPr>
          <w:lang w:val="en-US"/>
        </w:rPr>
        <w:t xml:space="preserve"> w</w:t>
      </w:r>
      <w:r>
        <w:rPr>
          <w:lang w:val="en-US"/>
        </w:rPr>
        <w:t>as</w:t>
      </w:r>
      <w:r w:rsidRPr="0012006E">
        <w:rPr>
          <w:lang w:val="en-US"/>
        </w:rPr>
        <w:t xml:space="preserve"> quantified and nor</w:t>
      </w:r>
      <w:r w:rsidR="00EA4DC9">
        <w:rPr>
          <w:lang w:val="en-US"/>
        </w:rPr>
        <w:t>malized to unstimulated samples</w:t>
      </w:r>
      <w:r w:rsidR="002E5856">
        <w:rPr>
          <w:lang w:val="en-US"/>
        </w:rPr>
        <w:t xml:space="preserve"> (n=4)</w:t>
      </w:r>
      <w:r w:rsidR="00EA4DC9">
        <w:rPr>
          <w:rFonts w:hint="eastAsia"/>
          <w:lang w:val="en-US" w:eastAsia="zh-CN"/>
        </w:rPr>
        <w:t>.</w:t>
      </w:r>
      <w:r w:rsidRPr="0012006E">
        <w:rPr>
          <w:lang w:val="en-US"/>
        </w:rPr>
        <w:t xml:space="preserve"> </w:t>
      </w:r>
    </w:p>
    <w:p w:rsidR="00413777" w:rsidRDefault="00D932CC" w:rsidP="00D932CC">
      <w:pPr>
        <w:spacing w:line="480" w:lineRule="auto"/>
        <w:rPr>
          <w:lang w:val="en-US"/>
        </w:rPr>
        <w:sectPr w:rsidR="00413777" w:rsidSect="00411FAB"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  <w:r>
        <w:rPr>
          <w:rFonts w:hint="eastAsia"/>
          <w:lang w:val="en-GB" w:eastAsia="zh-CN"/>
        </w:rPr>
        <w:t xml:space="preserve">Data are shown as mean + SD (a-c) or mean </w:t>
      </w:r>
      <w:r w:rsidRPr="00D932CC">
        <w:rPr>
          <w:rFonts w:hint="eastAsia"/>
          <w:u w:val="single"/>
          <w:lang w:val="en-GB" w:eastAsia="zh-CN"/>
        </w:rPr>
        <w:t>+</w:t>
      </w:r>
      <w:r w:rsidRPr="00D932CC">
        <w:rPr>
          <w:rFonts w:hint="eastAsia"/>
          <w:lang w:val="en-GB" w:eastAsia="zh-CN"/>
        </w:rPr>
        <w:t xml:space="preserve"> SD</w:t>
      </w:r>
      <w:r>
        <w:rPr>
          <w:rFonts w:hint="eastAsia"/>
          <w:lang w:val="en-GB" w:eastAsia="zh-CN"/>
        </w:rPr>
        <w:t xml:space="preserve"> (g-h). </w:t>
      </w:r>
      <w:r w:rsidRPr="009376F7">
        <w:rPr>
          <w:lang w:val="en-GB"/>
        </w:rPr>
        <w:t>* p &lt; 0.05, ** p &lt; 0.01, *** p &lt; 0.00</w:t>
      </w:r>
      <w:r>
        <w:rPr>
          <w:rFonts w:hint="eastAsia"/>
          <w:lang w:val="en-GB" w:eastAsia="zh-CN"/>
        </w:rPr>
        <w:t>1</w:t>
      </w:r>
      <w:r w:rsidR="00EA4DC9">
        <w:rPr>
          <w:rFonts w:hint="eastAsia"/>
          <w:lang w:val="en-GB" w:eastAsia="zh-CN"/>
        </w:rPr>
        <w:t>.</w:t>
      </w:r>
    </w:p>
    <w:p w:rsidR="00B44474" w:rsidRPr="009F2C3C" w:rsidRDefault="003C5CF0" w:rsidP="00B44474">
      <w:pPr>
        <w:spacing w:line="480" w:lineRule="auto"/>
        <w:jc w:val="both"/>
        <w:rPr>
          <w:b/>
          <w:bCs/>
          <w:lang w:val="en-US"/>
        </w:rPr>
      </w:pPr>
      <w:r>
        <w:rPr>
          <w:noProof/>
          <w:lang w:val="en-US" w:eastAsia="zh-CN"/>
        </w:rPr>
        <w:lastRenderedPageBreak/>
        <w:drawing>
          <wp:inline distT="0" distB="0" distL="0" distR="0">
            <wp:extent cx="6120130" cy="5497195"/>
            <wp:effectExtent l="0" t="0" r="0" b="825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9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6AF">
        <w:rPr>
          <w:b/>
          <w:bCs/>
          <w:lang w:val="en-US"/>
        </w:rPr>
        <w:t xml:space="preserve">Supplementary </w:t>
      </w:r>
      <w:r w:rsidR="00B44474" w:rsidRPr="009F2C3C">
        <w:rPr>
          <w:b/>
          <w:bCs/>
          <w:lang w:val="en-US"/>
        </w:rPr>
        <w:t xml:space="preserve">Fig. </w:t>
      </w:r>
      <w:r w:rsidR="00812BB7">
        <w:rPr>
          <w:b/>
          <w:bCs/>
          <w:lang w:val="en-US"/>
        </w:rPr>
        <w:t>3</w:t>
      </w:r>
      <w:r w:rsidR="00B44474" w:rsidRPr="009F2C3C">
        <w:rPr>
          <w:b/>
          <w:bCs/>
          <w:lang w:val="en-US"/>
        </w:rPr>
        <w:t>. OTUB1 regulates NF-</w:t>
      </w:r>
      <w:r w:rsidR="00B44474" w:rsidRPr="00F0604A">
        <w:rPr>
          <w:b/>
          <w:bCs/>
        </w:rPr>
        <w:t>κ</w:t>
      </w:r>
      <w:r w:rsidR="00B44474" w:rsidRPr="009F2C3C">
        <w:rPr>
          <w:b/>
          <w:bCs/>
          <w:lang w:val="en-US"/>
        </w:rPr>
        <w:t>B activation by stabilizing UBC13</w:t>
      </w:r>
    </w:p>
    <w:p w:rsidR="00B44474" w:rsidRPr="009F2C3C" w:rsidRDefault="00B44474" w:rsidP="00B44474">
      <w:pPr>
        <w:spacing w:line="480" w:lineRule="auto"/>
        <w:jc w:val="both"/>
        <w:rPr>
          <w:lang w:val="en-US"/>
        </w:rPr>
      </w:pPr>
      <w:r w:rsidRPr="009F2C3C">
        <w:rPr>
          <w:lang w:val="en-US"/>
        </w:rPr>
        <w:t>(</w:t>
      </w:r>
      <w:r w:rsidR="00A326AF">
        <w:rPr>
          <w:lang w:val="en-US"/>
        </w:rPr>
        <w:t>a</w:t>
      </w:r>
      <w:r w:rsidRPr="009F2C3C">
        <w:rPr>
          <w:lang w:val="en-US"/>
        </w:rPr>
        <w:t xml:space="preserve"> and </w:t>
      </w:r>
      <w:r w:rsidR="00A326AF">
        <w:rPr>
          <w:lang w:val="en-US"/>
        </w:rPr>
        <w:t>b</w:t>
      </w:r>
      <w:r w:rsidRPr="009F2C3C">
        <w:rPr>
          <w:lang w:val="en-US"/>
        </w:rPr>
        <w:t xml:space="preserve">) GM-CSF-expanded BMDCs were left untreated or stimulated with TgPFN for 30 min. Cytoplasmic proteins were isolated and immunoprecipitated with anti-OTUB1 antibodies. </w:t>
      </w:r>
      <w:proofErr w:type="spellStart"/>
      <w:r w:rsidRPr="009F2C3C">
        <w:rPr>
          <w:lang w:val="en-US"/>
        </w:rPr>
        <w:t>Immunoprecipitates</w:t>
      </w:r>
      <w:proofErr w:type="spellEnd"/>
      <w:r w:rsidRPr="009F2C3C">
        <w:rPr>
          <w:lang w:val="en-US"/>
        </w:rPr>
        <w:t xml:space="preserve"> and input were analyzed with indicated antibodies. </w:t>
      </w:r>
    </w:p>
    <w:p w:rsidR="00B44474" w:rsidRPr="009F2C3C" w:rsidRDefault="00B44474" w:rsidP="004256DC">
      <w:pPr>
        <w:spacing w:line="480" w:lineRule="auto"/>
        <w:jc w:val="both"/>
        <w:rPr>
          <w:lang w:val="en-US"/>
        </w:rPr>
      </w:pPr>
      <w:r w:rsidRPr="009F2C3C">
        <w:rPr>
          <w:lang w:val="en-US"/>
        </w:rPr>
        <w:t>(</w:t>
      </w:r>
      <w:r w:rsidR="00A326AF">
        <w:rPr>
          <w:lang w:val="en-US"/>
        </w:rPr>
        <w:t>c</w:t>
      </w:r>
      <w:r w:rsidRPr="009F2C3C">
        <w:rPr>
          <w:lang w:val="en-US"/>
        </w:rPr>
        <w:t xml:space="preserve">) </w:t>
      </w:r>
      <w:bookmarkStart w:id="0" w:name="_Hlk25937618"/>
      <w:r w:rsidRPr="009F2C3C">
        <w:rPr>
          <w:lang w:val="en-US"/>
        </w:rPr>
        <w:t>FLT3L-expanded BMDCs were stimulated with TgPFN for indicated time points.</w:t>
      </w:r>
      <w:bookmarkEnd w:id="0"/>
      <w:r w:rsidRPr="009F2C3C">
        <w:rPr>
          <w:lang w:val="en-US"/>
        </w:rPr>
        <w:t xml:space="preserve"> UBC13 mRNA expression was determined by qPCR (n = 4). Data are shown as mean + SD.  </w:t>
      </w:r>
    </w:p>
    <w:p w:rsidR="00B44474" w:rsidRDefault="00B44474" w:rsidP="004256DC">
      <w:pPr>
        <w:spacing w:line="480" w:lineRule="auto"/>
        <w:jc w:val="both"/>
        <w:rPr>
          <w:lang w:val="en-US" w:eastAsia="zh-CN"/>
        </w:rPr>
      </w:pPr>
      <w:r w:rsidRPr="009F2C3C">
        <w:rPr>
          <w:lang w:val="en-US"/>
        </w:rPr>
        <w:t>(</w:t>
      </w:r>
      <w:r w:rsidR="00A326AF">
        <w:rPr>
          <w:lang w:val="en-US"/>
        </w:rPr>
        <w:t>d</w:t>
      </w:r>
      <w:r w:rsidRPr="009F2C3C">
        <w:rPr>
          <w:lang w:val="en-US"/>
        </w:rPr>
        <w:t xml:space="preserve">) NIH 3T3 cells were transfected with </w:t>
      </w:r>
      <w:proofErr w:type="spellStart"/>
      <w:r w:rsidRPr="009F2C3C">
        <w:rPr>
          <w:lang w:val="en-US"/>
        </w:rPr>
        <w:t>siRNA</w:t>
      </w:r>
      <w:proofErr w:type="spellEnd"/>
      <w:r w:rsidRPr="009F2C3C">
        <w:rPr>
          <w:lang w:val="en-US"/>
        </w:rPr>
        <w:t xml:space="preserve"> for </w:t>
      </w:r>
      <w:r w:rsidR="00027110">
        <w:rPr>
          <w:rFonts w:hint="eastAsia"/>
          <w:lang w:val="en-US" w:eastAsia="zh-CN"/>
        </w:rPr>
        <w:t>36</w:t>
      </w:r>
      <w:r w:rsidRPr="009F2C3C">
        <w:rPr>
          <w:lang w:val="en-US"/>
        </w:rPr>
        <w:t xml:space="preserve"> h. Thereafter, cells were stimulated with LPS and CHX for 0, 3, 6 and 9 h. Protein levels of UBC13 were analyzed by WB.</w:t>
      </w:r>
    </w:p>
    <w:p w:rsidR="00F0652F" w:rsidRDefault="00F0652F" w:rsidP="004256DC">
      <w:pPr>
        <w:spacing w:line="480" w:lineRule="auto"/>
        <w:jc w:val="both"/>
        <w:rPr>
          <w:lang w:val="en-US"/>
        </w:rPr>
      </w:pPr>
      <w:r>
        <w:rPr>
          <w:lang w:val="en-US"/>
        </w:rPr>
        <w:lastRenderedPageBreak/>
        <w:t>(</w:t>
      </w:r>
      <w:r>
        <w:rPr>
          <w:rFonts w:hint="eastAsia"/>
          <w:lang w:val="en-US" w:eastAsia="zh-CN"/>
        </w:rPr>
        <w:t>e</w:t>
      </w:r>
      <w:r>
        <w:rPr>
          <w:lang w:val="en-US"/>
        </w:rPr>
        <w:t>)</w:t>
      </w:r>
      <w:r w:rsidRPr="00413777">
        <w:rPr>
          <w:lang w:val="en-US"/>
        </w:rPr>
        <w:t xml:space="preserve"> </w:t>
      </w:r>
      <w:r w:rsidRPr="00812BB7">
        <w:rPr>
          <w:lang w:val="en-US"/>
        </w:rPr>
        <w:t xml:space="preserve">OTUB1-sufficient and -deficient FLT3L-expanded BMDCs were pre-treated with </w:t>
      </w:r>
      <w:proofErr w:type="spellStart"/>
      <w:r w:rsidRPr="00812BB7">
        <w:rPr>
          <w:lang w:val="en-US"/>
        </w:rPr>
        <w:t>TgPFN</w:t>
      </w:r>
      <w:proofErr w:type="spellEnd"/>
      <w:r w:rsidRPr="00812BB7">
        <w:rPr>
          <w:lang w:val="en-US"/>
        </w:rPr>
        <w:t xml:space="preserve"> (1 </w:t>
      </w:r>
      <w:proofErr w:type="spellStart"/>
      <w:r w:rsidRPr="00812BB7">
        <w:rPr>
          <w:lang w:val="en-US"/>
        </w:rPr>
        <w:t>μg</w:t>
      </w:r>
      <w:proofErr w:type="spellEnd"/>
      <w:r w:rsidRPr="00812BB7">
        <w:rPr>
          <w:lang w:val="en-US"/>
        </w:rPr>
        <w:t>/ml) for 1</w:t>
      </w:r>
      <w:r w:rsidR="00FF7D29">
        <w:rPr>
          <w:rFonts w:hint="eastAsia"/>
          <w:lang w:val="en-US" w:eastAsia="zh-CN"/>
        </w:rPr>
        <w:t xml:space="preserve"> </w:t>
      </w:r>
      <w:r w:rsidRPr="00812BB7">
        <w:rPr>
          <w:lang w:val="en-US"/>
        </w:rPr>
        <w:t xml:space="preserve">h or left </w:t>
      </w:r>
      <w:proofErr w:type="spellStart"/>
      <w:r w:rsidRPr="00812BB7">
        <w:rPr>
          <w:lang w:val="en-US"/>
        </w:rPr>
        <w:t>unstimulated</w:t>
      </w:r>
      <w:proofErr w:type="spellEnd"/>
      <w:r w:rsidRPr="00812BB7">
        <w:rPr>
          <w:lang w:val="en-US"/>
        </w:rPr>
        <w:t xml:space="preserve">. Then, </w:t>
      </w:r>
      <w:r w:rsidR="0070277C">
        <w:rPr>
          <w:rFonts w:hint="eastAsia"/>
          <w:lang w:val="en-US" w:eastAsia="zh-CN"/>
        </w:rPr>
        <w:t>CHX</w:t>
      </w:r>
      <w:r w:rsidRPr="00812BB7">
        <w:rPr>
          <w:lang w:val="en-US"/>
        </w:rPr>
        <w:t xml:space="preserve"> was added for the indicated time points. Protein levels of Uev1a in whole cell </w:t>
      </w:r>
      <w:proofErr w:type="spellStart"/>
      <w:r w:rsidRPr="00812BB7">
        <w:rPr>
          <w:lang w:val="en-US"/>
        </w:rPr>
        <w:t>lysates</w:t>
      </w:r>
      <w:proofErr w:type="spellEnd"/>
      <w:r w:rsidRPr="00812BB7">
        <w:rPr>
          <w:lang w:val="en-US"/>
        </w:rPr>
        <w:t xml:space="preserve"> were analyzed by WB</w:t>
      </w:r>
      <w:r>
        <w:rPr>
          <w:lang w:val="en-US"/>
        </w:rPr>
        <w:t>.</w:t>
      </w:r>
      <w:r w:rsidRPr="00812BB7">
        <w:rPr>
          <w:lang w:val="en-US"/>
        </w:rPr>
        <w:t xml:space="preserve"> </w:t>
      </w:r>
    </w:p>
    <w:p w:rsidR="00F0652F" w:rsidRDefault="00F0652F" w:rsidP="004256DC">
      <w:pPr>
        <w:spacing w:line="480" w:lineRule="auto"/>
        <w:jc w:val="both"/>
        <w:rPr>
          <w:lang w:val="en-US"/>
        </w:rPr>
      </w:pPr>
      <w:r>
        <w:rPr>
          <w:lang w:val="en-US"/>
        </w:rPr>
        <w:t>(</w:t>
      </w:r>
      <w:r>
        <w:rPr>
          <w:rFonts w:hint="eastAsia"/>
          <w:lang w:val="en-US" w:eastAsia="zh-CN"/>
        </w:rPr>
        <w:t>f</w:t>
      </w:r>
      <w:r>
        <w:rPr>
          <w:lang w:val="en-US"/>
        </w:rPr>
        <w:t xml:space="preserve">) </w:t>
      </w:r>
      <w:r w:rsidRPr="00B44474">
        <w:rPr>
          <w:lang w:val="en-US"/>
        </w:rPr>
        <w:t>FLT3L-expanded BMDCs were stimulated with TgPFN</w:t>
      </w:r>
      <w:r>
        <w:rPr>
          <w:lang w:val="en-US"/>
        </w:rPr>
        <w:t xml:space="preserve"> </w:t>
      </w:r>
      <w:r>
        <w:rPr>
          <w:rFonts w:hint="eastAsia"/>
          <w:lang w:val="en-US" w:eastAsia="zh-CN"/>
        </w:rPr>
        <w:t xml:space="preserve">(upper panel) </w:t>
      </w:r>
      <w:r>
        <w:rPr>
          <w:lang w:val="en-US"/>
        </w:rPr>
        <w:t>or LPS (</w:t>
      </w:r>
      <w:r>
        <w:rPr>
          <w:rFonts w:hint="eastAsia"/>
          <w:lang w:val="en-US" w:eastAsia="zh-CN"/>
        </w:rPr>
        <w:t>lower panel</w:t>
      </w:r>
      <w:r>
        <w:rPr>
          <w:lang w:val="en-US"/>
        </w:rPr>
        <w:t>)</w:t>
      </w:r>
      <w:r w:rsidRPr="00B44474">
        <w:rPr>
          <w:lang w:val="en-US"/>
        </w:rPr>
        <w:t xml:space="preserve"> for indicated time points.</w:t>
      </w:r>
      <w:r>
        <w:rPr>
          <w:lang w:val="en-US"/>
        </w:rPr>
        <w:t xml:space="preserve"> </w:t>
      </w:r>
      <w:r w:rsidRPr="0012006E">
        <w:rPr>
          <w:lang w:val="en-US"/>
        </w:rPr>
        <w:t xml:space="preserve">Whole cell </w:t>
      </w:r>
      <w:proofErr w:type="spellStart"/>
      <w:r w:rsidRPr="0012006E">
        <w:rPr>
          <w:lang w:val="en-US"/>
        </w:rPr>
        <w:t>lysate</w:t>
      </w:r>
      <w:r>
        <w:rPr>
          <w:lang w:val="en-US"/>
        </w:rPr>
        <w:t>s</w:t>
      </w:r>
      <w:proofErr w:type="spellEnd"/>
      <w:r w:rsidRPr="0012006E">
        <w:rPr>
          <w:lang w:val="en-US"/>
        </w:rPr>
        <w:t xml:space="preserve"> were analy</w:t>
      </w:r>
      <w:r>
        <w:rPr>
          <w:lang w:val="en-US"/>
        </w:rPr>
        <w:t>z</w:t>
      </w:r>
      <w:r w:rsidRPr="0012006E">
        <w:rPr>
          <w:lang w:val="en-US"/>
        </w:rPr>
        <w:t>ed by WB with indicated antibodies.</w:t>
      </w:r>
    </w:p>
    <w:p w:rsidR="00F0652F" w:rsidRPr="00DB2A42" w:rsidRDefault="00F0652F" w:rsidP="004256DC">
      <w:pPr>
        <w:spacing w:line="480" w:lineRule="auto"/>
        <w:jc w:val="both"/>
        <w:rPr>
          <w:lang w:val="en-GB"/>
        </w:rPr>
      </w:pPr>
      <w:r>
        <w:rPr>
          <w:lang w:val="en-US"/>
        </w:rPr>
        <w:t>(</w:t>
      </w:r>
      <w:r>
        <w:rPr>
          <w:rFonts w:hint="eastAsia"/>
          <w:lang w:val="en-US" w:eastAsia="zh-CN"/>
        </w:rPr>
        <w:t>g</w:t>
      </w:r>
      <w:r>
        <w:rPr>
          <w:lang w:val="en-US"/>
        </w:rPr>
        <w:t>)</w:t>
      </w:r>
      <w:r w:rsidRPr="00413777">
        <w:rPr>
          <w:lang w:val="en-GB"/>
        </w:rPr>
        <w:t xml:space="preserve"> </w:t>
      </w:r>
      <w:r w:rsidRPr="00812BB7">
        <w:rPr>
          <w:lang w:val="en-GB"/>
        </w:rPr>
        <w:t>GM</w:t>
      </w:r>
      <w:r>
        <w:rPr>
          <w:lang w:val="en-GB"/>
        </w:rPr>
        <w:t>-</w:t>
      </w:r>
      <w:r w:rsidRPr="00812BB7">
        <w:rPr>
          <w:lang w:val="en-GB"/>
        </w:rPr>
        <w:t xml:space="preserve">CSF-expanded BMDCs were left unstimulated or stimulated with TgPFN in the presence of MG132. Cytoplasmic proteins were isolated and </w:t>
      </w:r>
      <w:proofErr w:type="spellStart"/>
      <w:r w:rsidRPr="00812BB7">
        <w:rPr>
          <w:lang w:val="en-GB"/>
        </w:rPr>
        <w:t>immunoprecipitated</w:t>
      </w:r>
      <w:proofErr w:type="spellEnd"/>
      <w:r w:rsidRPr="00812BB7">
        <w:rPr>
          <w:lang w:val="en-GB"/>
        </w:rPr>
        <w:t xml:space="preserve"> with anti-TRAF6 antibod</w:t>
      </w:r>
      <w:r>
        <w:rPr>
          <w:lang w:val="en-GB"/>
        </w:rPr>
        <w:t>y</w:t>
      </w:r>
      <w:r w:rsidRPr="00812BB7">
        <w:rPr>
          <w:lang w:val="en-GB"/>
        </w:rPr>
        <w:t>. Immunoprecipitates and input were analyzed with indicated antibodies.</w:t>
      </w:r>
    </w:p>
    <w:p w:rsidR="00F0652F" w:rsidRDefault="00F0652F" w:rsidP="004256DC">
      <w:pPr>
        <w:spacing w:line="480" w:lineRule="auto"/>
        <w:jc w:val="both"/>
        <w:rPr>
          <w:lang w:val="en-US" w:eastAsia="zh-CN"/>
        </w:rPr>
      </w:pPr>
      <w:r>
        <w:rPr>
          <w:lang w:val="en-US"/>
        </w:rPr>
        <w:t>(</w:t>
      </w:r>
      <w:r>
        <w:rPr>
          <w:rFonts w:hint="eastAsia"/>
          <w:lang w:val="en-US" w:eastAsia="zh-CN"/>
        </w:rPr>
        <w:t>h</w:t>
      </w:r>
      <w:r>
        <w:rPr>
          <w:lang w:val="en-US"/>
        </w:rPr>
        <w:t xml:space="preserve">) </w:t>
      </w:r>
      <w:r w:rsidRPr="009F2C3C">
        <w:rPr>
          <w:lang w:val="en-US"/>
        </w:rPr>
        <w:t xml:space="preserve">FLT3L-expanded BMDCs were left untreated or </w:t>
      </w:r>
      <w:proofErr w:type="spellStart"/>
      <w:r w:rsidRPr="009F2C3C">
        <w:rPr>
          <w:lang w:val="en-US"/>
        </w:rPr>
        <w:t>transduced</w:t>
      </w:r>
      <w:proofErr w:type="spellEnd"/>
      <w:r w:rsidRPr="009F2C3C">
        <w:rPr>
          <w:lang w:val="en-US"/>
        </w:rPr>
        <w:t xml:space="preserve"> with </w:t>
      </w:r>
      <w:proofErr w:type="spellStart"/>
      <w:r w:rsidRPr="009F2C3C">
        <w:rPr>
          <w:lang w:val="en-US"/>
        </w:rPr>
        <w:t>lentivirus</w:t>
      </w:r>
      <w:proofErr w:type="spellEnd"/>
      <w:r w:rsidRPr="009F2C3C">
        <w:rPr>
          <w:lang w:val="en-US"/>
        </w:rPr>
        <w:t xml:space="preserve"> for 72 h. The expression of UBC13 was measured by WB.</w:t>
      </w:r>
    </w:p>
    <w:p w:rsidR="00B44474" w:rsidRPr="00B44474" w:rsidRDefault="00B44474" w:rsidP="004256DC">
      <w:pPr>
        <w:spacing w:line="480" w:lineRule="auto"/>
        <w:jc w:val="both"/>
        <w:rPr>
          <w:lang w:val="en-US"/>
        </w:rPr>
      </w:pPr>
      <w:r w:rsidRPr="00B44474">
        <w:rPr>
          <w:lang w:val="en-US"/>
        </w:rPr>
        <w:t>(</w:t>
      </w:r>
      <w:r w:rsidR="00A326AF">
        <w:rPr>
          <w:lang w:val="en-US"/>
        </w:rPr>
        <w:t>i</w:t>
      </w:r>
      <w:r>
        <w:rPr>
          <w:lang w:val="en-US"/>
        </w:rPr>
        <w:t xml:space="preserve">) </w:t>
      </w:r>
      <w:r w:rsidRPr="00B44474">
        <w:rPr>
          <w:lang w:val="en-US"/>
        </w:rPr>
        <w:t>GM-CSF-expanded BMDCs were left untreated or stimulated with TgPFN for 30 min.</w:t>
      </w:r>
      <w:r>
        <w:rPr>
          <w:lang w:val="en-US"/>
        </w:rPr>
        <w:t xml:space="preserve"> Whole cell lysate were incubated for two times with TUBE-ubiquitin for </w:t>
      </w:r>
      <w:r w:rsidR="004A331C">
        <w:rPr>
          <w:rFonts w:hint="eastAsia"/>
          <w:lang w:val="en-US" w:eastAsia="zh-CN"/>
        </w:rPr>
        <w:t>1 h</w:t>
      </w:r>
      <w:r w:rsidR="004A331C">
        <w:rPr>
          <w:lang w:val="en-US"/>
        </w:rPr>
        <w:t xml:space="preserve"> </w:t>
      </w:r>
      <w:r>
        <w:rPr>
          <w:lang w:val="en-US"/>
        </w:rPr>
        <w:t xml:space="preserve">and only unbonded proteins were used for WB analysis.  </w:t>
      </w:r>
      <w:r w:rsidR="002E5856">
        <w:rPr>
          <w:lang w:val="en-US"/>
        </w:rPr>
        <w:t>S</w:t>
      </w:r>
      <w:r>
        <w:rPr>
          <w:lang w:val="en-US"/>
        </w:rPr>
        <w:t xml:space="preserve">hort exposure </w:t>
      </w:r>
      <w:r w:rsidR="002E5856">
        <w:rPr>
          <w:lang w:val="en-US"/>
        </w:rPr>
        <w:t>(left) and</w:t>
      </w:r>
      <w:r>
        <w:rPr>
          <w:lang w:val="en-US"/>
        </w:rPr>
        <w:t xml:space="preserve"> long exposure</w:t>
      </w:r>
      <w:r w:rsidR="002E5856">
        <w:rPr>
          <w:lang w:val="en-US"/>
        </w:rPr>
        <w:t xml:space="preserve"> (right)</w:t>
      </w:r>
      <w:r>
        <w:rPr>
          <w:lang w:val="en-US"/>
        </w:rPr>
        <w:t xml:space="preserve"> </w:t>
      </w:r>
      <w:r w:rsidR="002E5856">
        <w:rPr>
          <w:lang w:val="en-US"/>
        </w:rPr>
        <w:t>are</w:t>
      </w:r>
      <w:r>
        <w:rPr>
          <w:lang w:val="en-US"/>
        </w:rPr>
        <w:t xml:space="preserve"> shown.</w:t>
      </w:r>
    </w:p>
    <w:p w:rsidR="00B44474" w:rsidRDefault="00B44474" w:rsidP="004256DC">
      <w:pPr>
        <w:spacing w:line="480" w:lineRule="auto"/>
        <w:jc w:val="both"/>
        <w:rPr>
          <w:lang w:val="en-US"/>
        </w:rPr>
        <w:sectPr w:rsidR="00B44474" w:rsidSect="00411FAB"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  <w:r w:rsidRPr="0012006E">
        <w:rPr>
          <w:lang w:val="en-US"/>
        </w:rPr>
        <w:t xml:space="preserve"> </w:t>
      </w:r>
    </w:p>
    <w:p w:rsidR="00A963B5" w:rsidRDefault="00A963B5" w:rsidP="000630C7">
      <w:pPr>
        <w:spacing w:line="360" w:lineRule="auto"/>
        <w:jc w:val="both"/>
        <w:rPr>
          <w:lang w:val="en-US"/>
        </w:rPr>
        <w:sectPr w:rsidR="00A963B5" w:rsidSect="004B7D93">
          <w:type w:val="continuous"/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</w:p>
    <w:p w:rsidR="000630C7" w:rsidRPr="009376F7" w:rsidRDefault="003C5CF0" w:rsidP="000630C7">
      <w:pPr>
        <w:spacing w:line="480" w:lineRule="auto"/>
        <w:jc w:val="both"/>
        <w:rPr>
          <w:b/>
          <w:lang w:val="en-GB"/>
        </w:rPr>
      </w:pPr>
      <w:r>
        <w:rPr>
          <w:noProof/>
          <w:lang w:val="en-US" w:eastAsia="zh-CN"/>
        </w:rPr>
        <w:lastRenderedPageBreak/>
        <w:drawing>
          <wp:inline distT="0" distB="0" distL="0" distR="0">
            <wp:extent cx="6120130" cy="7329805"/>
            <wp:effectExtent l="0" t="0" r="0" b="444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32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6AF">
        <w:rPr>
          <w:b/>
          <w:lang w:val="en-GB"/>
        </w:rPr>
        <w:t xml:space="preserve">Supplementary </w:t>
      </w:r>
      <w:r w:rsidR="000630C7" w:rsidRPr="009376F7">
        <w:rPr>
          <w:b/>
          <w:lang w:val="en-GB"/>
        </w:rPr>
        <w:t>Fig</w:t>
      </w:r>
      <w:r w:rsidR="000630C7">
        <w:rPr>
          <w:b/>
          <w:lang w:val="en-GB"/>
        </w:rPr>
        <w:t>.</w:t>
      </w:r>
      <w:r w:rsidR="000630C7" w:rsidRPr="009376F7">
        <w:rPr>
          <w:b/>
          <w:lang w:val="en-GB"/>
        </w:rPr>
        <w:t xml:space="preserve"> </w:t>
      </w:r>
      <w:r w:rsidR="000555C3">
        <w:rPr>
          <w:b/>
          <w:lang w:val="en-GB"/>
        </w:rPr>
        <w:t>4</w:t>
      </w:r>
      <w:r w:rsidR="000630C7" w:rsidRPr="009376F7">
        <w:rPr>
          <w:b/>
          <w:lang w:val="en-GB"/>
        </w:rPr>
        <w:t xml:space="preserve">. </w:t>
      </w:r>
      <w:r w:rsidR="000630C7">
        <w:rPr>
          <w:b/>
          <w:lang w:val="en-GB"/>
        </w:rPr>
        <w:t>C</w:t>
      </w:r>
      <w:r w:rsidR="000630C7" w:rsidRPr="009376F7">
        <w:rPr>
          <w:b/>
          <w:lang w:val="en-GB"/>
        </w:rPr>
        <w:t xml:space="preserve">ytokine production upon </w:t>
      </w:r>
      <w:r w:rsidR="000630C7" w:rsidRPr="009376F7">
        <w:rPr>
          <w:b/>
          <w:i/>
          <w:lang w:val="en-GB"/>
        </w:rPr>
        <w:t>T.</w:t>
      </w:r>
      <w:r w:rsidR="000630C7">
        <w:rPr>
          <w:b/>
          <w:i/>
          <w:lang w:val="en-GB"/>
        </w:rPr>
        <w:t xml:space="preserve"> </w:t>
      </w:r>
      <w:proofErr w:type="spellStart"/>
      <w:r w:rsidR="000630C7" w:rsidRPr="009376F7">
        <w:rPr>
          <w:b/>
          <w:i/>
          <w:lang w:val="en-GB"/>
        </w:rPr>
        <w:t>gondii</w:t>
      </w:r>
      <w:proofErr w:type="spellEnd"/>
      <w:r w:rsidR="000630C7" w:rsidRPr="009376F7">
        <w:rPr>
          <w:b/>
          <w:lang w:val="en-GB"/>
        </w:rPr>
        <w:t xml:space="preserve"> infection</w:t>
      </w:r>
    </w:p>
    <w:p w:rsidR="000630C7" w:rsidRPr="009376F7" w:rsidRDefault="000630C7" w:rsidP="000630C7">
      <w:pPr>
        <w:spacing w:line="480" w:lineRule="auto"/>
        <w:jc w:val="both"/>
        <w:rPr>
          <w:lang w:val="en-US"/>
        </w:rPr>
      </w:pPr>
      <w:r w:rsidRPr="009376F7">
        <w:rPr>
          <w:lang w:val="en-GB"/>
        </w:rPr>
        <w:t>(</w:t>
      </w:r>
      <w:r w:rsidR="00A326AF">
        <w:rPr>
          <w:lang w:val="en-GB"/>
        </w:rPr>
        <w:t>a</w:t>
      </w:r>
      <w:r w:rsidRPr="009376F7">
        <w:rPr>
          <w:lang w:val="en-GB"/>
        </w:rPr>
        <w:t xml:space="preserve"> to </w:t>
      </w:r>
      <w:r w:rsidR="00A326AF">
        <w:rPr>
          <w:lang w:val="en-GB"/>
        </w:rPr>
        <w:t>c</w:t>
      </w:r>
      <w:r w:rsidRPr="009376F7">
        <w:rPr>
          <w:lang w:val="en-GB"/>
        </w:rPr>
        <w:t>)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and CD11c-Cre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mice were left untreated or infected i.p. with 50.000 tachyzoites for 48 h. Peritoneal cells were collected by lavage of the peritoneal cavity and analyzed by flow cytometry for IL-12-producing macrophages (</w:t>
      </w:r>
      <w:r w:rsidR="00A326AF">
        <w:rPr>
          <w:lang w:val="en-GB"/>
        </w:rPr>
        <w:t>a</w:t>
      </w:r>
      <w:r w:rsidRPr="009376F7">
        <w:rPr>
          <w:lang w:val="en-GB"/>
        </w:rPr>
        <w:t>), IL-6-producing DCs (</w:t>
      </w:r>
      <w:r w:rsidR="00A326AF">
        <w:rPr>
          <w:lang w:val="en-GB"/>
        </w:rPr>
        <w:t>b</w:t>
      </w:r>
      <w:r w:rsidRPr="009376F7">
        <w:rPr>
          <w:lang w:val="en-GB"/>
        </w:rPr>
        <w:t>), and TNF-producing DCs (</w:t>
      </w:r>
      <w:r w:rsidR="00A326AF">
        <w:rPr>
          <w:lang w:val="en-GB"/>
        </w:rPr>
        <w:t>c</w:t>
      </w:r>
      <w:r w:rsidRPr="009376F7">
        <w:rPr>
          <w:lang w:val="en-GB"/>
        </w:rPr>
        <w:t xml:space="preserve">). </w:t>
      </w:r>
      <w:r w:rsidRPr="009376F7">
        <w:rPr>
          <w:lang w:val="en-US"/>
        </w:rPr>
        <w:t>Representative flow cytometry plots and statistics are shown (n = 4).</w:t>
      </w:r>
    </w:p>
    <w:p w:rsidR="000630C7" w:rsidRPr="009376F7" w:rsidRDefault="000630C7" w:rsidP="000630C7">
      <w:pPr>
        <w:spacing w:line="480" w:lineRule="auto"/>
        <w:jc w:val="both"/>
        <w:rPr>
          <w:lang w:val="en-US"/>
        </w:rPr>
      </w:pPr>
      <w:r w:rsidRPr="009376F7">
        <w:rPr>
          <w:lang w:val="en-GB"/>
        </w:rPr>
        <w:lastRenderedPageBreak/>
        <w:t>(</w:t>
      </w:r>
      <w:r w:rsidR="00A326AF">
        <w:rPr>
          <w:lang w:val="en-GB"/>
        </w:rPr>
        <w:t>d</w:t>
      </w:r>
      <w:r>
        <w:rPr>
          <w:lang w:val="en-GB"/>
        </w:rPr>
        <w:t xml:space="preserve"> and </w:t>
      </w:r>
      <w:r w:rsidR="00A326AF">
        <w:rPr>
          <w:lang w:val="en-GB"/>
        </w:rPr>
        <w:t>e</w:t>
      </w:r>
      <w:r w:rsidRPr="009376F7">
        <w:rPr>
          <w:lang w:val="en-GB"/>
        </w:rPr>
        <w:t>)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and CD11c-Cre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mice were left untreated or infected i.p. with 50.000 tachyzoites for indicated time points. IFN-γ-producing peritoneal CD4</w:t>
      </w:r>
      <w:r w:rsidRPr="009376F7">
        <w:rPr>
          <w:vertAlign w:val="superscript"/>
          <w:lang w:val="en-GB"/>
        </w:rPr>
        <w:t>+</w:t>
      </w:r>
      <w:r w:rsidRPr="009376F7">
        <w:rPr>
          <w:lang w:val="en-GB"/>
        </w:rPr>
        <w:t xml:space="preserve"> and CD8</w:t>
      </w:r>
      <w:r w:rsidRPr="009376F7">
        <w:rPr>
          <w:vertAlign w:val="superscript"/>
          <w:lang w:val="en-GB"/>
        </w:rPr>
        <w:t>+</w:t>
      </w:r>
      <w:r w:rsidRPr="009376F7">
        <w:rPr>
          <w:lang w:val="en-GB"/>
        </w:rPr>
        <w:t xml:space="preserve"> T cells were analyzed by flow </w:t>
      </w:r>
      <w:proofErr w:type="spellStart"/>
      <w:r w:rsidRPr="009376F7">
        <w:rPr>
          <w:lang w:val="en-GB"/>
        </w:rPr>
        <w:t>cytometr</w:t>
      </w:r>
      <w:proofErr w:type="spellEnd"/>
      <w:r w:rsidRPr="009376F7">
        <w:rPr>
          <w:lang w:val="en-US"/>
        </w:rPr>
        <w:t>y</w:t>
      </w:r>
      <w:r>
        <w:rPr>
          <w:lang w:val="en-US"/>
        </w:rPr>
        <w:t xml:space="preserve"> (</w:t>
      </w:r>
      <w:r w:rsidR="00A326AF">
        <w:rPr>
          <w:lang w:val="en-US"/>
        </w:rPr>
        <w:t>d</w:t>
      </w:r>
      <w:r>
        <w:rPr>
          <w:lang w:val="en-US"/>
        </w:rPr>
        <w:t>)</w:t>
      </w:r>
      <w:r w:rsidRPr="009376F7">
        <w:rPr>
          <w:lang w:val="en-US"/>
        </w:rPr>
        <w:t xml:space="preserve">. Shown are representative flow cytometry plots and statistics (n = 4). </w:t>
      </w:r>
      <w:r>
        <w:rPr>
          <w:lang w:val="en-US"/>
        </w:rPr>
        <w:t>Sera from infected mice were collected and cytokines were measured by ELISA (</w:t>
      </w:r>
      <w:r w:rsidR="00A326AF">
        <w:rPr>
          <w:lang w:val="en-US"/>
        </w:rPr>
        <w:t>e</w:t>
      </w:r>
      <w:r>
        <w:rPr>
          <w:lang w:val="en-US"/>
        </w:rPr>
        <w:t>) (n = 4).</w:t>
      </w:r>
    </w:p>
    <w:p w:rsidR="000630C7" w:rsidRPr="009F2C3C" w:rsidRDefault="000630C7" w:rsidP="00264DA6">
      <w:pPr>
        <w:spacing w:line="480" w:lineRule="auto"/>
        <w:rPr>
          <w:lang w:val="en-GB" w:eastAsia="zh-CN"/>
        </w:rPr>
        <w:sectPr w:rsidR="000630C7" w:rsidRPr="009F2C3C" w:rsidSect="004B7D93"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  <w:r w:rsidRPr="009376F7">
        <w:rPr>
          <w:lang w:val="en-US"/>
        </w:rPr>
        <w:t xml:space="preserve">Data are </w:t>
      </w:r>
      <w:r w:rsidRPr="009376F7">
        <w:rPr>
          <w:lang w:val="en-GB"/>
        </w:rPr>
        <w:t>shown as mean + SD.  * p &lt; 0.05, ** p &lt; 0.01, *** p &lt; 0.00</w:t>
      </w:r>
      <w:r w:rsidR="00C941ED">
        <w:rPr>
          <w:rFonts w:hint="eastAsia"/>
          <w:lang w:val="en-GB" w:eastAsia="zh-CN"/>
        </w:rPr>
        <w:t>1</w:t>
      </w:r>
      <w:r w:rsidR="00CB6F0A">
        <w:rPr>
          <w:rFonts w:hint="eastAsia"/>
          <w:lang w:val="en-GB" w:eastAsia="zh-CN"/>
        </w:rPr>
        <w:t>.</w:t>
      </w:r>
    </w:p>
    <w:p w:rsidR="000630C7" w:rsidRPr="009376F7" w:rsidRDefault="003C5CF0" w:rsidP="000630C7">
      <w:pPr>
        <w:spacing w:line="480" w:lineRule="auto"/>
        <w:jc w:val="both"/>
        <w:rPr>
          <w:b/>
          <w:lang w:val="en-GB"/>
        </w:rPr>
      </w:pPr>
      <w:r>
        <w:rPr>
          <w:noProof/>
          <w:lang w:val="en-US" w:eastAsia="zh-CN"/>
        </w:rPr>
        <w:lastRenderedPageBreak/>
        <w:drawing>
          <wp:inline distT="0" distB="0" distL="0" distR="0">
            <wp:extent cx="6120130" cy="6012180"/>
            <wp:effectExtent l="0" t="0" r="0" b="762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1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6AF">
        <w:rPr>
          <w:b/>
          <w:lang w:val="en-GB"/>
        </w:rPr>
        <w:t xml:space="preserve">Supplementary </w:t>
      </w:r>
      <w:r w:rsidR="000630C7" w:rsidRPr="009376F7">
        <w:rPr>
          <w:b/>
          <w:lang w:val="en-GB"/>
        </w:rPr>
        <w:t>Fig</w:t>
      </w:r>
      <w:r w:rsidR="000630C7">
        <w:rPr>
          <w:b/>
          <w:lang w:val="en-GB"/>
        </w:rPr>
        <w:t>.</w:t>
      </w:r>
      <w:r w:rsidR="000630C7" w:rsidRPr="009376F7">
        <w:rPr>
          <w:b/>
          <w:lang w:val="en-GB"/>
        </w:rPr>
        <w:t xml:space="preserve"> </w:t>
      </w:r>
      <w:r w:rsidR="000555C3">
        <w:rPr>
          <w:b/>
          <w:lang w:val="en-GB"/>
        </w:rPr>
        <w:t>5</w:t>
      </w:r>
      <w:r w:rsidR="000630C7" w:rsidRPr="009376F7">
        <w:rPr>
          <w:b/>
          <w:lang w:val="en-GB"/>
        </w:rPr>
        <w:t>. OTUB1 in DCs is required for surviving toxoplasmosis but is dispensable for leukocyte recruitment,</w:t>
      </w:r>
      <w:r w:rsidR="000630C7">
        <w:rPr>
          <w:b/>
          <w:lang w:val="en-GB"/>
        </w:rPr>
        <w:t xml:space="preserve"> intracellular </w:t>
      </w:r>
      <w:r w:rsidR="002E5856">
        <w:rPr>
          <w:b/>
          <w:lang w:val="en-GB"/>
        </w:rPr>
        <w:t xml:space="preserve">parasite </w:t>
      </w:r>
      <w:r w:rsidR="000630C7">
        <w:rPr>
          <w:b/>
          <w:lang w:val="en-GB"/>
        </w:rPr>
        <w:t>killing and mobility</w:t>
      </w:r>
    </w:p>
    <w:p w:rsidR="000630C7" w:rsidRPr="004D2C25" w:rsidRDefault="000630C7" w:rsidP="000630C7">
      <w:pPr>
        <w:spacing w:line="480" w:lineRule="auto"/>
        <w:jc w:val="both"/>
        <w:rPr>
          <w:lang w:val="en-GB"/>
        </w:rPr>
      </w:pPr>
      <w:r w:rsidRPr="004D2C25">
        <w:rPr>
          <w:lang w:val="en-GB"/>
        </w:rPr>
        <w:t>(</w:t>
      </w:r>
      <w:r w:rsidR="00A326AF">
        <w:rPr>
          <w:lang w:val="en-GB"/>
        </w:rPr>
        <w:t>a</w:t>
      </w:r>
      <w:r>
        <w:rPr>
          <w:lang w:val="en-GB"/>
        </w:rPr>
        <w:t xml:space="preserve">) </w:t>
      </w:r>
      <w:r w:rsidRPr="004D2C25">
        <w:rPr>
          <w:lang w:val="en-GB"/>
        </w:rPr>
        <w:t>OTUB1</w:t>
      </w:r>
      <w:r w:rsidRPr="004D2C25">
        <w:rPr>
          <w:vertAlign w:val="superscript"/>
          <w:lang w:val="en-GB"/>
        </w:rPr>
        <w:t>fl/fl</w:t>
      </w:r>
      <w:r w:rsidRPr="004D2C25">
        <w:rPr>
          <w:lang w:val="en-GB"/>
        </w:rPr>
        <w:t xml:space="preserve"> and CD11c-Cre OTUB1</w:t>
      </w:r>
      <w:r w:rsidRPr="004D2C25">
        <w:rPr>
          <w:vertAlign w:val="superscript"/>
          <w:lang w:val="en-GB"/>
        </w:rPr>
        <w:t>fl/fl</w:t>
      </w:r>
      <w:r w:rsidRPr="004D2C25">
        <w:rPr>
          <w:lang w:val="en-GB"/>
        </w:rPr>
        <w:t xml:space="preserve"> mice were infected i.p. with 50.000 tachyzoites for indicated time points. Peritoneal cells were collected by lavage of the peritoneal cavity with PBS and analyzed by flow cytometry (n = 8).</w:t>
      </w:r>
    </w:p>
    <w:p w:rsidR="000630C7" w:rsidRPr="009376F7" w:rsidRDefault="000630C7" w:rsidP="000630C7">
      <w:pPr>
        <w:spacing w:line="480" w:lineRule="auto"/>
        <w:jc w:val="both"/>
        <w:rPr>
          <w:lang w:val="en-GB"/>
        </w:rPr>
      </w:pPr>
      <w:r>
        <w:rPr>
          <w:lang w:val="en-GB"/>
        </w:rPr>
        <w:t>(</w:t>
      </w:r>
      <w:r w:rsidR="00A326AF">
        <w:rPr>
          <w:lang w:val="en-GB"/>
        </w:rPr>
        <w:t>b</w:t>
      </w:r>
      <w:r>
        <w:rPr>
          <w:lang w:val="en-GB"/>
        </w:rPr>
        <w:t xml:space="preserve"> and </w:t>
      </w:r>
      <w:r w:rsidR="00A326AF">
        <w:rPr>
          <w:lang w:val="en-GB"/>
        </w:rPr>
        <w:t>c</w:t>
      </w:r>
      <w:r>
        <w:rPr>
          <w:lang w:val="en-GB"/>
        </w:rPr>
        <w:t xml:space="preserve">) </w:t>
      </w:r>
      <w:r w:rsidRPr="009376F7">
        <w:rPr>
          <w:lang w:val="en-GB"/>
        </w:rPr>
        <w:t xml:space="preserve">OTUB1-sufficient and -deficient BMDCs were untreated or pre-treated with 10 ng/ml of IFN-γ for 24 h followed by infection with </w:t>
      </w:r>
      <w:r w:rsidRPr="009376F7">
        <w:rPr>
          <w:i/>
          <w:lang w:val="en-GB"/>
        </w:rPr>
        <w:t>T. gondii</w:t>
      </w:r>
      <w:r w:rsidRPr="009376F7">
        <w:rPr>
          <w:lang w:val="en-GB"/>
        </w:rPr>
        <w:t xml:space="preserve"> tachyzoites (MOI = 3) for 24 h. Parasite load (</w:t>
      </w:r>
      <w:r w:rsidR="00A326AF">
        <w:rPr>
          <w:lang w:val="en-GB"/>
        </w:rPr>
        <w:t>b</w:t>
      </w:r>
      <w:r w:rsidRPr="009376F7">
        <w:rPr>
          <w:lang w:val="en-GB"/>
        </w:rPr>
        <w:t xml:space="preserve">) and </w:t>
      </w:r>
      <w:r>
        <w:rPr>
          <w:lang w:val="en-GB"/>
        </w:rPr>
        <w:t>anti-</w:t>
      </w:r>
      <w:r w:rsidRPr="009376F7">
        <w:rPr>
          <w:lang w:val="en-GB"/>
        </w:rPr>
        <w:t>parasitic gene expression (</w:t>
      </w:r>
      <w:r w:rsidR="00A326AF">
        <w:rPr>
          <w:lang w:val="en-GB"/>
        </w:rPr>
        <w:t>c</w:t>
      </w:r>
      <w:r w:rsidRPr="009376F7">
        <w:rPr>
          <w:lang w:val="en-GB"/>
        </w:rPr>
        <w:t>) w</w:t>
      </w:r>
      <w:r>
        <w:rPr>
          <w:lang w:val="en-GB"/>
        </w:rPr>
        <w:t>ere</w:t>
      </w:r>
      <w:r w:rsidRPr="009376F7">
        <w:rPr>
          <w:lang w:val="en-GB"/>
        </w:rPr>
        <w:t xml:space="preserve"> determined by PCR (n = 4).</w:t>
      </w:r>
    </w:p>
    <w:p w:rsidR="000630C7" w:rsidRPr="004D2C25" w:rsidRDefault="000630C7" w:rsidP="000630C7">
      <w:pPr>
        <w:spacing w:line="480" w:lineRule="auto"/>
        <w:jc w:val="both"/>
        <w:rPr>
          <w:lang w:val="en-GB"/>
        </w:rPr>
      </w:pPr>
      <w:r w:rsidRPr="009376F7">
        <w:rPr>
          <w:lang w:val="en-GB"/>
        </w:rPr>
        <w:lastRenderedPageBreak/>
        <w:t>(</w:t>
      </w:r>
      <w:r w:rsidR="00A326AF">
        <w:rPr>
          <w:lang w:val="en-GB"/>
        </w:rPr>
        <w:t>d</w:t>
      </w:r>
      <w:r w:rsidRPr="009376F7">
        <w:rPr>
          <w:lang w:val="en-GB"/>
        </w:rPr>
        <w:t xml:space="preserve">) Motility of OTUB1-sufficient and -deficient BMDCs was calculated before and after infection with </w:t>
      </w:r>
      <w:r w:rsidRPr="009376F7">
        <w:rPr>
          <w:i/>
          <w:lang w:val="en-GB"/>
        </w:rPr>
        <w:t>T. gondii</w:t>
      </w:r>
      <w:r w:rsidRPr="009376F7">
        <w:rPr>
          <w:lang w:val="en-GB"/>
        </w:rPr>
        <w:t xml:space="preserve"> tachyzoites at a</w:t>
      </w:r>
      <w:r>
        <w:rPr>
          <w:lang w:val="en-GB"/>
        </w:rPr>
        <w:t>n</w:t>
      </w:r>
      <w:r w:rsidRPr="009376F7">
        <w:rPr>
          <w:lang w:val="en-GB"/>
        </w:rPr>
        <w:t xml:space="preserve"> MOI of 3 (n = 3).</w:t>
      </w:r>
    </w:p>
    <w:p w:rsidR="000630C7" w:rsidRPr="009376F7" w:rsidRDefault="000630C7" w:rsidP="000630C7">
      <w:pPr>
        <w:spacing w:line="480" w:lineRule="auto"/>
        <w:jc w:val="both"/>
        <w:rPr>
          <w:lang w:val="en-GB"/>
        </w:rPr>
      </w:pPr>
      <w:r w:rsidRPr="009376F7">
        <w:rPr>
          <w:lang w:val="en-GB"/>
        </w:rPr>
        <w:t>(</w:t>
      </w:r>
      <w:r w:rsidR="00A326AF">
        <w:rPr>
          <w:lang w:val="en-GB"/>
        </w:rPr>
        <w:t>e</w:t>
      </w:r>
      <w:r w:rsidRPr="009376F7">
        <w:rPr>
          <w:lang w:val="en-GB"/>
        </w:rPr>
        <w:t xml:space="preserve"> to </w:t>
      </w:r>
      <w:r w:rsidR="00A326AF">
        <w:rPr>
          <w:lang w:val="en-GB"/>
        </w:rPr>
        <w:t>i</w:t>
      </w:r>
      <w:r w:rsidRPr="009376F7">
        <w:rPr>
          <w:lang w:val="en-GB"/>
        </w:rPr>
        <w:t>)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and CD11c-Cre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mice were left untreated or infected i.p. with </w:t>
      </w:r>
      <w:r>
        <w:rPr>
          <w:lang w:val="en-GB"/>
        </w:rPr>
        <w:t>3</w:t>
      </w:r>
      <w:r w:rsidRPr="009376F7">
        <w:rPr>
          <w:lang w:val="en-GB"/>
        </w:rPr>
        <w:t xml:space="preserve"> cysts for 30 days. After that, leukocytes were harvested from the brain and analyzed by flow cytometry for percentages of CD45</w:t>
      </w:r>
      <w:r w:rsidRPr="009376F7">
        <w:rPr>
          <w:vertAlign w:val="superscript"/>
          <w:lang w:val="en-GB"/>
        </w:rPr>
        <w:t>+</w:t>
      </w:r>
      <w:r w:rsidRPr="009376F7">
        <w:rPr>
          <w:lang w:val="en-GB"/>
        </w:rPr>
        <w:t xml:space="preserve"> cells (</w:t>
      </w:r>
      <w:r w:rsidR="00A326AF">
        <w:rPr>
          <w:lang w:val="en-GB"/>
        </w:rPr>
        <w:t>e</w:t>
      </w:r>
      <w:r w:rsidRPr="009376F7">
        <w:rPr>
          <w:lang w:val="en-GB"/>
        </w:rPr>
        <w:t>), absolute numbers of leukocyte (</w:t>
      </w:r>
      <w:r w:rsidR="00A326AF">
        <w:rPr>
          <w:lang w:val="en-GB"/>
        </w:rPr>
        <w:t>f</w:t>
      </w:r>
      <w:r w:rsidRPr="009376F7">
        <w:rPr>
          <w:lang w:val="en-GB"/>
        </w:rPr>
        <w:t>) and DC (</w:t>
      </w:r>
      <w:r w:rsidR="00A326AF">
        <w:rPr>
          <w:lang w:val="en-GB"/>
        </w:rPr>
        <w:t>g</w:t>
      </w:r>
      <w:r w:rsidRPr="009376F7">
        <w:rPr>
          <w:lang w:val="en-GB"/>
        </w:rPr>
        <w:t>) subsets, as well as absolute numbers of IL-12 (</w:t>
      </w:r>
      <w:r w:rsidR="00A326AF">
        <w:rPr>
          <w:lang w:val="en-GB"/>
        </w:rPr>
        <w:t>h</w:t>
      </w:r>
      <w:r w:rsidRPr="009376F7">
        <w:rPr>
          <w:lang w:val="en-GB"/>
        </w:rPr>
        <w:t>) and IFN-γ (</w:t>
      </w:r>
      <w:r w:rsidR="00A326AF">
        <w:rPr>
          <w:lang w:val="en-GB"/>
        </w:rPr>
        <w:t>i</w:t>
      </w:r>
      <w:r w:rsidRPr="009376F7">
        <w:rPr>
          <w:lang w:val="en-GB"/>
        </w:rPr>
        <w:t xml:space="preserve">) producing cells (n = 4). </w:t>
      </w:r>
    </w:p>
    <w:p w:rsidR="000630C7" w:rsidRPr="009376F7" w:rsidRDefault="000630C7" w:rsidP="000630C7">
      <w:pPr>
        <w:spacing w:line="480" w:lineRule="auto"/>
        <w:jc w:val="both"/>
        <w:rPr>
          <w:lang w:val="en-GB"/>
        </w:rPr>
      </w:pPr>
      <w:r w:rsidRPr="009376F7">
        <w:rPr>
          <w:lang w:val="en-GB"/>
        </w:rPr>
        <w:t>(</w:t>
      </w:r>
      <w:r w:rsidR="00A326AF">
        <w:rPr>
          <w:lang w:val="en-GB"/>
        </w:rPr>
        <w:t>j</w:t>
      </w:r>
      <w:r w:rsidRPr="009376F7">
        <w:rPr>
          <w:lang w:val="en-GB"/>
        </w:rPr>
        <w:t>) Transcription of genes in the brain of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and CD11c-Cre OTUB1</w:t>
      </w:r>
      <w:r w:rsidRPr="009376F7">
        <w:rPr>
          <w:vertAlign w:val="superscript"/>
          <w:lang w:val="en-GB"/>
        </w:rPr>
        <w:t>fl/fl</w:t>
      </w:r>
      <w:r w:rsidRPr="009376F7">
        <w:rPr>
          <w:lang w:val="en-GB"/>
        </w:rPr>
        <w:t xml:space="preserve"> mice at day 30 p.i. was measured by qPCR (n = 4).</w:t>
      </w:r>
    </w:p>
    <w:p w:rsidR="000630C7" w:rsidRDefault="000630C7" w:rsidP="000630C7">
      <w:pPr>
        <w:spacing w:line="480" w:lineRule="auto"/>
        <w:jc w:val="both"/>
        <w:rPr>
          <w:lang w:val="en-GB"/>
        </w:rPr>
      </w:pPr>
      <w:r w:rsidRPr="009376F7">
        <w:rPr>
          <w:lang w:val="en-GB"/>
        </w:rPr>
        <w:t xml:space="preserve"> </w:t>
      </w:r>
      <w:r w:rsidRPr="009376F7">
        <w:rPr>
          <w:lang w:val="en-US"/>
        </w:rPr>
        <w:t xml:space="preserve">Data are </w:t>
      </w:r>
      <w:r w:rsidRPr="009376F7">
        <w:rPr>
          <w:lang w:val="en-GB"/>
        </w:rPr>
        <w:t>shown as mean + SD.  * p &lt; 0.05.</w:t>
      </w:r>
    </w:p>
    <w:p w:rsidR="000555C3" w:rsidRDefault="000555C3" w:rsidP="000630C7">
      <w:pPr>
        <w:spacing w:line="480" w:lineRule="auto"/>
        <w:jc w:val="both"/>
        <w:rPr>
          <w:lang w:val="en-GB"/>
        </w:rPr>
        <w:sectPr w:rsidR="000555C3" w:rsidSect="004B7D93"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</w:p>
    <w:p w:rsidR="000555C3" w:rsidRDefault="003C5CF0" w:rsidP="000630C7">
      <w:pPr>
        <w:spacing w:line="480" w:lineRule="auto"/>
        <w:jc w:val="both"/>
        <w:rPr>
          <w:lang w:val="en-GB"/>
        </w:rPr>
      </w:pPr>
      <w:r>
        <w:rPr>
          <w:noProof/>
          <w:lang w:val="en-US" w:eastAsia="zh-CN"/>
        </w:rPr>
        <w:lastRenderedPageBreak/>
        <w:drawing>
          <wp:inline distT="0" distB="0" distL="0" distR="0">
            <wp:extent cx="4144645" cy="7378700"/>
            <wp:effectExtent l="0" t="0" r="825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645" cy="737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5C3" w:rsidRPr="00FE539C" w:rsidRDefault="00A326AF" w:rsidP="000630C7">
      <w:pPr>
        <w:spacing w:line="480" w:lineRule="auto"/>
        <w:jc w:val="both"/>
        <w:rPr>
          <w:rFonts w:hint="eastAsia"/>
          <w:b/>
          <w:bCs/>
          <w:lang w:val="en-GB" w:eastAsia="zh-CN"/>
        </w:rPr>
      </w:pPr>
      <w:r>
        <w:rPr>
          <w:b/>
          <w:bCs/>
          <w:lang w:val="en-GB"/>
        </w:rPr>
        <w:t xml:space="preserve">Supplementary </w:t>
      </w:r>
      <w:r w:rsidR="00872FDA" w:rsidRPr="00FE539C">
        <w:rPr>
          <w:b/>
          <w:bCs/>
          <w:lang w:val="en-GB"/>
        </w:rPr>
        <w:t xml:space="preserve">Fig. 6. </w:t>
      </w:r>
      <w:r w:rsidR="004A331C">
        <w:rPr>
          <w:rFonts w:hint="eastAsia"/>
          <w:b/>
          <w:bCs/>
          <w:lang w:val="en-GB" w:eastAsia="zh-CN"/>
        </w:rPr>
        <w:t>DC</w:t>
      </w:r>
      <w:r w:rsidR="00872FDA" w:rsidRPr="00FE539C">
        <w:rPr>
          <w:b/>
          <w:bCs/>
          <w:lang w:val="en-GB"/>
        </w:rPr>
        <w:t xml:space="preserve"> response to MCMV is independent of OTUB1</w:t>
      </w:r>
    </w:p>
    <w:p w:rsidR="000555C3" w:rsidRDefault="000555C3" w:rsidP="000630C7">
      <w:pPr>
        <w:spacing w:line="480" w:lineRule="auto"/>
        <w:jc w:val="both"/>
        <w:rPr>
          <w:shd w:val="clear" w:color="auto" w:fill="FFFFFF"/>
          <w:lang w:val="en-GB" w:eastAsia="zh-CN"/>
        </w:rPr>
      </w:pPr>
      <w:r>
        <w:rPr>
          <w:lang w:val="en-GB"/>
        </w:rPr>
        <w:t>(</w:t>
      </w:r>
      <w:r w:rsidR="00A326AF">
        <w:rPr>
          <w:lang w:val="en-GB"/>
        </w:rPr>
        <w:t>a</w:t>
      </w:r>
      <w:r>
        <w:rPr>
          <w:lang w:val="en-GB"/>
        </w:rPr>
        <w:t xml:space="preserve"> to </w:t>
      </w:r>
      <w:r w:rsidR="00A326AF">
        <w:rPr>
          <w:lang w:val="en-GB"/>
        </w:rPr>
        <w:t>h</w:t>
      </w:r>
      <w:r>
        <w:rPr>
          <w:lang w:val="en-GB"/>
        </w:rPr>
        <w:t xml:space="preserve">) </w:t>
      </w:r>
      <w:r w:rsidRPr="004D2C25">
        <w:rPr>
          <w:lang w:val="en-GB"/>
        </w:rPr>
        <w:t>OTUB1</w:t>
      </w:r>
      <w:r w:rsidRPr="004D2C25">
        <w:rPr>
          <w:vertAlign w:val="superscript"/>
          <w:lang w:val="en-GB"/>
        </w:rPr>
        <w:t>fl/fl</w:t>
      </w:r>
      <w:r w:rsidRPr="004D2C25">
        <w:rPr>
          <w:lang w:val="en-GB"/>
        </w:rPr>
        <w:t xml:space="preserve"> and CD11c-Cre OTUB1</w:t>
      </w:r>
      <w:r w:rsidRPr="004D2C25">
        <w:rPr>
          <w:vertAlign w:val="superscript"/>
          <w:lang w:val="en-GB"/>
        </w:rPr>
        <w:t>fl/fl</w:t>
      </w:r>
      <w:r w:rsidRPr="004D2C25">
        <w:rPr>
          <w:lang w:val="en-GB"/>
        </w:rPr>
        <w:t xml:space="preserve"> mice were infected i.</w:t>
      </w:r>
      <w:r>
        <w:rPr>
          <w:lang w:val="en-GB"/>
        </w:rPr>
        <w:t>v</w:t>
      </w:r>
      <w:r w:rsidRPr="004D2C25">
        <w:rPr>
          <w:lang w:val="en-GB"/>
        </w:rPr>
        <w:t>. with</w:t>
      </w:r>
      <w:r>
        <w:rPr>
          <w:lang w:val="en-GB"/>
        </w:rPr>
        <w:t xml:space="preserve"> 10</w:t>
      </w:r>
      <w:r w:rsidR="00872FDA" w:rsidRPr="00FE539C">
        <w:rPr>
          <w:vertAlign w:val="superscript"/>
          <w:lang w:val="en-GB"/>
        </w:rPr>
        <w:t>6</w:t>
      </w:r>
      <w:r>
        <w:rPr>
          <w:vertAlign w:val="superscript"/>
          <w:lang w:val="en-GB"/>
        </w:rPr>
        <w:t xml:space="preserve"> </w:t>
      </w:r>
      <w:r>
        <w:rPr>
          <w:lang w:val="en-GB"/>
        </w:rPr>
        <w:t xml:space="preserve">MCMV and after 36 h mice were sacrificed </w:t>
      </w:r>
      <w:r w:rsidR="009A71EE">
        <w:rPr>
          <w:rFonts w:hint="eastAsia"/>
          <w:lang w:val="en-GB" w:eastAsia="zh-CN"/>
        </w:rPr>
        <w:t>for the collection of</w:t>
      </w:r>
      <w:r>
        <w:rPr>
          <w:lang w:val="en-GB"/>
        </w:rPr>
        <w:t xml:space="preserve"> liver</w:t>
      </w:r>
      <w:r w:rsidR="009A71EE">
        <w:rPr>
          <w:rFonts w:hint="eastAsia"/>
          <w:lang w:val="en-GB" w:eastAsia="zh-CN"/>
        </w:rPr>
        <w:t>s</w:t>
      </w:r>
      <w:r>
        <w:rPr>
          <w:lang w:val="en-GB"/>
        </w:rPr>
        <w:t>, spleen</w:t>
      </w:r>
      <w:r w:rsidR="009A71EE">
        <w:rPr>
          <w:rFonts w:hint="eastAsia"/>
          <w:lang w:val="en-GB" w:eastAsia="zh-CN"/>
        </w:rPr>
        <w:t>s</w:t>
      </w:r>
      <w:r>
        <w:rPr>
          <w:lang w:val="en-GB"/>
        </w:rPr>
        <w:t>, lung</w:t>
      </w:r>
      <w:r w:rsidR="009A71EE">
        <w:rPr>
          <w:rFonts w:hint="eastAsia"/>
          <w:lang w:val="en-GB" w:eastAsia="zh-CN"/>
        </w:rPr>
        <w:t>s</w:t>
      </w:r>
      <w:r>
        <w:rPr>
          <w:lang w:val="en-GB"/>
        </w:rPr>
        <w:t xml:space="preserve"> and lymph nodes (n = 4)</w:t>
      </w:r>
      <w:r w:rsidR="009A71EE">
        <w:rPr>
          <w:rFonts w:hint="eastAsia"/>
          <w:lang w:val="en-GB" w:eastAsia="zh-CN"/>
        </w:rPr>
        <w:t>.</w:t>
      </w:r>
      <w:r>
        <w:rPr>
          <w:lang w:val="en-GB"/>
        </w:rPr>
        <w:t xml:space="preserve"> (</w:t>
      </w:r>
      <w:r w:rsidR="00A326AF">
        <w:rPr>
          <w:lang w:val="en-GB"/>
        </w:rPr>
        <w:t>a</w:t>
      </w:r>
      <w:r>
        <w:rPr>
          <w:lang w:val="en-GB"/>
        </w:rPr>
        <w:t xml:space="preserve"> to </w:t>
      </w:r>
      <w:r w:rsidR="00A326AF">
        <w:rPr>
          <w:lang w:val="en-GB"/>
        </w:rPr>
        <w:t>c</w:t>
      </w:r>
      <w:r>
        <w:rPr>
          <w:lang w:val="en-GB"/>
        </w:rPr>
        <w:t>) Flow cytometry analysis of leukocytes isolated from</w:t>
      </w:r>
      <w:r w:rsidR="00807055">
        <w:rPr>
          <w:rFonts w:hint="eastAsia"/>
          <w:lang w:val="en-GB" w:eastAsia="zh-CN"/>
        </w:rPr>
        <w:t xml:space="preserve"> the</w:t>
      </w:r>
      <w:r>
        <w:rPr>
          <w:lang w:val="en-GB"/>
        </w:rPr>
        <w:t xml:space="preserve"> liver. (</w:t>
      </w:r>
      <w:r w:rsidR="00A326AF">
        <w:rPr>
          <w:lang w:val="en-GB"/>
        </w:rPr>
        <w:t>d</w:t>
      </w:r>
      <w:r>
        <w:rPr>
          <w:lang w:val="en-GB"/>
        </w:rPr>
        <w:t xml:space="preserve"> to </w:t>
      </w:r>
      <w:r w:rsidR="00A326AF">
        <w:rPr>
          <w:lang w:val="en-GB"/>
        </w:rPr>
        <w:t>f</w:t>
      </w:r>
      <w:r>
        <w:rPr>
          <w:lang w:val="en-GB"/>
        </w:rPr>
        <w:t xml:space="preserve">) Flow cytometry analysis of </w:t>
      </w:r>
      <w:r>
        <w:rPr>
          <w:lang w:val="en-GB"/>
        </w:rPr>
        <w:lastRenderedPageBreak/>
        <w:t xml:space="preserve">leukocytes isolated from </w:t>
      </w:r>
      <w:r w:rsidR="00807055">
        <w:rPr>
          <w:rFonts w:hint="eastAsia"/>
          <w:lang w:val="en-GB" w:eastAsia="zh-CN"/>
        </w:rPr>
        <w:t xml:space="preserve">the </w:t>
      </w:r>
      <w:r>
        <w:rPr>
          <w:lang w:val="en-GB"/>
        </w:rPr>
        <w:t>spleen. (</w:t>
      </w:r>
      <w:r w:rsidR="00A326AF">
        <w:rPr>
          <w:lang w:val="en-GB"/>
        </w:rPr>
        <w:t>g</w:t>
      </w:r>
      <w:r>
        <w:rPr>
          <w:lang w:val="en-GB"/>
        </w:rPr>
        <w:t>) Cytokines in the serum were measured by ELISA. (</w:t>
      </w:r>
      <w:r w:rsidR="00A326AF">
        <w:rPr>
          <w:lang w:val="en-GB"/>
        </w:rPr>
        <w:t>h</w:t>
      </w:r>
      <w:r>
        <w:rPr>
          <w:lang w:val="en-GB"/>
        </w:rPr>
        <w:t xml:space="preserve">) </w:t>
      </w:r>
      <w:r w:rsidR="003C5CF0">
        <w:rPr>
          <w:lang w:val="en-GB"/>
        </w:rPr>
        <w:t>O</w:t>
      </w:r>
      <w:r w:rsidR="003C5CF0" w:rsidRPr="00B8753B">
        <w:rPr>
          <w:shd w:val="clear" w:color="auto" w:fill="FFFFFF"/>
          <w:lang w:val="en-GB"/>
        </w:rPr>
        <w:t>rgan homogenates were plated in serial log10 dilutions on primary murine embryonic fibroblasts. Plaques were counted after 4 days of culture under a light microscope.</w:t>
      </w:r>
      <w:bookmarkStart w:id="1" w:name="_GoBack"/>
      <w:bookmarkEnd w:id="1"/>
    </w:p>
    <w:p w:rsidR="00D932CC" w:rsidRPr="000555C3" w:rsidRDefault="00D932CC" w:rsidP="000630C7">
      <w:pPr>
        <w:spacing w:line="480" w:lineRule="auto"/>
        <w:jc w:val="both"/>
        <w:rPr>
          <w:lang w:val="en-GB" w:eastAsia="zh-CN"/>
        </w:rPr>
      </w:pPr>
      <w:r>
        <w:rPr>
          <w:rFonts w:hint="eastAsia"/>
          <w:shd w:val="clear" w:color="auto" w:fill="FFFFFF"/>
          <w:lang w:val="en-GB" w:eastAsia="zh-CN"/>
        </w:rPr>
        <w:t>Data are displayed as mean + SD.</w:t>
      </w:r>
    </w:p>
    <w:sectPr w:rsidR="00D932CC" w:rsidRPr="000555C3" w:rsidSect="004B7D93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D58" w:rsidRDefault="00521D58" w:rsidP="00F0652F">
      <w:r>
        <w:separator/>
      </w:r>
    </w:p>
  </w:endnote>
  <w:endnote w:type="continuationSeparator" w:id="0">
    <w:p w:rsidR="00521D58" w:rsidRDefault="00521D58" w:rsidP="00F06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D58" w:rsidRDefault="00521D58" w:rsidP="00F0652F">
      <w:r>
        <w:separator/>
      </w:r>
    </w:p>
  </w:footnote>
  <w:footnote w:type="continuationSeparator" w:id="0">
    <w:p w:rsidR="00521D58" w:rsidRDefault="00521D58" w:rsidP="00F065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6E9"/>
    <w:multiLevelType w:val="hybridMultilevel"/>
    <w:tmpl w:val="5BFC2E0E"/>
    <w:lvl w:ilvl="0" w:tplc="F542A076">
      <w:start w:val="1"/>
      <w:numFmt w:val="upperLetter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475367"/>
    <w:multiLevelType w:val="hybridMultilevel"/>
    <w:tmpl w:val="4584580E"/>
    <w:lvl w:ilvl="0" w:tplc="5CE8C46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238B2"/>
    <w:multiLevelType w:val="hybridMultilevel"/>
    <w:tmpl w:val="76E0FC2E"/>
    <w:lvl w:ilvl="0" w:tplc="4F8403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339A0"/>
    <w:multiLevelType w:val="hybridMultilevel"/>
    <w:tmpl w:val="F2D68A64"/>
    <w:lvl w:ilvl="0" w:tplc="CE8447FC">
      <w:start w:val="1"/>
      <w:numFmt w:val="upperLetter"/>
      <w:lvlText w:val="(%1)"/>
      <w:lvlJc w:val="left"/>
      <w:pPr>
        <w:ind w:left="786" w:hanging="42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76872"/>
    <w:multiLevelType w:val="hybridMultilevel"/>
    <w:tmpl w:val="F4062380"/>
    <w:lvl w:ilvl="0" w:tplc="B72A71B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630C7"/>
    <w:rsid w:val="00027110"/>
    <w:rsid w:val="000555C3"/>
    <w:rsid w:val="00057FFB"/>
    <w:rsid w:val="000630C7"/>
    <w:rsid w:val="00095CBD"/>
    <w:rsid w:val="000D5FD6"/>
    <w:rsid w:val="00171BFC"/>
    <w:rsid w:val="00190A1A"/>
    <w:rsid w:val="001A38F5"/>
    <w:rsid w:val="001B4273"/>
    <w:rsid w:val="00264DA6"/>
    <w:rsid w:val="002722FE"/>
    <w:rsid w:val="002E5856"/>
    <w:rsid w:val="00373B3E"/>
    <w:rsid w:val="003C5CF0"/>
    <w:rsid w:val="00413777"/>
    <w:rsid w:val="004256DC"/>
    <w:rsid w:val="004A331C"/>
    <w:rsid w:val="00521D58"/>
    <w:rsid w:val="006121AD"/>
    <w:rsid w:val="00655A79"/>
    <w:rsid w:val="006B0CE2"/>
    <w:rsid w:val="0070277C"/>
    <w:rsid w:val="0079678D"/>
    <w:rsid w:val="00807055"/>
    <w:rsid w:val="00812BB7"/>
    <w:rsid w:val="00872FDA"/>
    <w:rsid w:val="008A1F64"/>
    <w:rsid w:val="008F52D8"/>
    <w:rsid w:val="0096289E"/>
    <w:rsid w:val="0096494A"/>
    <w:rsid w:val="009846FC"/>
    <w:rsid w:val="009A71EE"/>
    <w:rsid w:val="00A326AF"/>
    <w:rsid w:val="00A963B5"/>
    <w:rsid w:val="00B233D5"/>
    <w:rsid w:val="00B44474"/>
    <w:rsid w:val="00BE7136"/>
    <w:rsid w:val="00C941ED"/>
    <w:rsid w:val="00CB6F0A"/>
    <w:rsid w:val="00D35C9E"/>
    <w:rsid w:val="00D932CC"/>
    <w:rsid w:val="00EA4DC9"/>
    <w:rsid w:val="00EF2066"/>
    <w:rsid w:val="00F0652F"/>
    <w:rsid w:val="00F3549B"/>
    <w:rsid w:val="00FA7C0B"/>
    <w:rsid w:val="00FE539C"/>
    <w:rsid w:val="00FF3AC8"/>
    <w:rsid w:val="00FF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C7"/>
    <w:pPr>
      <w:spacing w:after="0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630C7"/>
  </w:style>
  <w:style w:type="paragraph" w:styleId="a4">
    <w:name w:val="List Paragraph"/>
    <w:basedOn w:val="a"/>
    <w:uiPriority w:val="34"/>
    <w:qFormat/>
    <w:rsid w:val="008A1F6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963B5"/>
    <w:rPr>
      <w:rFonts w:ascii="Segoe UI" w:hAnsi="Segoe UI" w:cs="Segoe UI"/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963B5"/>
    <w:rPr>
      <w:rFonts w:ascii="Segoe UI" w:hAnsi="Segoe UI" w:cs="Segoe UI"/>
      <w:sz w:val="18"/>
      <w:szCs w:val="18"/>
      <w:lang w:val="de-DE" w:eastAsia="de-DE"/>
    </w:rPr>
  </w:style>
  <w:style w:type="character" w:styleId="a6">
    <w:name w:val="annotation reference"/>
    <w:basedOn w:val="a0"/>
    <w:uiPriority w:val="99"/>
    <w:semiHidden/>
    <w:unhideWhenUsed/>
    <w:rsid w:val="00655A79"/>
    <w:rPr>
      <w:sz w:val="21"/>
      <w:szCs w:val="21"/>
    </w:rPr>
  </w:style>
  <w:style w:type="paragraph" w:styleId="a7">
    <w:name w:val="annotation text"/>
    <w:basedOn w:val="a"/>
    <w:link w:val="Char0"/>
    <w:uiPriority w:val="99"/>
    <w:semiHidden/>
    <w:unhideWhenUsed/>
    <w:rsid w:val="00655A79"/>
  </w:style>
  <w:style w:type="character" w:customStyle="1" w:styleId="Char0">
    <w:name w:val="批注文字 Char"/>
    <w:basedOn w:val="a0"/>
    <w:link w:val="a7"/>
    <w:uiPriority w:val="99"/>
    <w:semiHidden/>
    <w:rsid w:val="00655A79"/>
    <w:rPr>
      <w:rFonts w:ascii="Times New Roman" w:hAnsi="Times New Roman" w:cs="Times New Roman"/>
      <w:sz w:val="24"/>
      <w:szCs w:val="24"/>
      <w:lang w:val="de-DE" w:eastAsia="de-DE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655A79"/>
    <w:rPr>
      <w:b/>
      <w:bCs/>
    </w:rPr>
  </w:style>
  <w:style w:type="character" w:customStyle="1" w:styleId="Char1">
    <w:name w:val="批注主题 Char"/>
    <w:basedOn w:val="Char0"/>
    <w:link w:val="a8"/>
    <w:uiPriority w:val="99"/>
    <w:semiHidden/>
    <w:rsid w:val="00655A79"/>
    <w:rPr>
      <w:rFonts w:ascii="Times New Roman" w:hAnsi="Times New Roman" w:cs="Times New Roman"/>
      <w:b/>
      <w:bCs/>
      <w:sz w:val="24"/>
      <w:szCs w:val="24"/>
      <w:lang w:val="de-DE" w:eastAsia="de-DE"/>
    </w:rPr>
  </w:style>
  <w:style w:type="paragraph" w:styleId="a9">
    <w:name w:val="header"/>
    <w:basedOn w:val="a"/>
    <w:link w:val="Char2"/>
    <w:uiPriority w:val="99"/>
    <w:semiHidden/>
    <w:unhideWhenUsed/>
    <w:rsid w:val="00F06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semiHidden/>
    <w:rsid w:val="00F0652F"/>
    <w:rPr>
      <w:rFonts w:ascii="Times New Roman" w:hAnsi="Times New Roman" w:cs="Times New Roman"/>
      <w:sz w:val="18"/>
      <w:szCs w:val="18"/>
      <w:lang w:val="de-DE" w:eastAsia="de-DE"/>
    </w:rPr>
  </w:style>
  <w:style w:type="paragraph" w:styleId="aa">
    <w:name w:val="footer"/>
    <w:basedOn w:val="a"/>
    <w:link w:val="Char3"/>
    <w:uiPriority w:val="99"/>
    <w:semiHidden/>
    <w:unhideWhenUsed/>
    <w:rsid w:val="00F065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semiHidden/>
    <w:rsid w:val="00F0652F"/>
    <w:rPr>
      <w:rFonts w:ascii="Times New Roman" w:hAnsi="Times New Roman" w:cs="Times New Roman"/>
      <w:sz w:val="18"/>
      <w:szCs w:val="18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8059C-7F86-4270-A4D4-D4E68BCE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Floriana Mulas</dc:creator>
  <cp:keywords/>
  <dc:description/>
  <cp:lastModifiedBy>Administrator</cp:lastModifiedBy>
  <cp:revision>19</cp:revision>
  <cp:lastPrinted>2019-07-06T16:35:00Z</cp:lastPrinted>
  <dcterms:created xsi:type="dcterms:W3CDTF">2019-12-20T16:52:00Z</dcterms:created>
  <dcterms:modified xsi:type="dcterms:W3CDTF">2019-12-25T02:26:00Z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