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24A4" w:rsidRDefault="002224A4" w:rsidP="002224A4">
      <w:pPr>
        <w:spacing w:line="360" w:lineRule="auto"/>
        <w:jc w:val="center"/>
        <w:rPr>
          <w:rFonts w:ascii="Times New Roman" w:hAnsi="Times New Roman"/>
          <w:b/>
          <w:sz w:val="32"/>
          <w:szCs w:val="28"/>
        </w:rPr>
      </w:pPr>
      <w:r>
        <w:rPr>
          <w:rFonts w:ascii="Times New Roman" w:hAnsi="Times New Roman"/>
          <w:b/>
          <w:sz w:val="32"/>
          <w:szCs w:val="28"/>
        </w:rPr>
        <w:t>Supplementary Figure Legends</w:t>
      </w:r>
    </w:p>
    <w:p w:rsidR="002224A4" w:rsidRDefault="002224A4" w:rsidP="002224A4">
      <w:pPr>
        <w:spacing w:line="360" w:lineRule="auto"/>
        <w:jc w:val="both"/>
        <w:rPr>
          <w:rFonts w:ascii="Times New Roman" w:hAnsi="Times New Roman"/>
        </w:rPr>
      </w:pPr>
    </w:p>
    <w:p w:rsidR="002224A4" w:rsidRDefault="002224A4" w:rsidP="002224A4">
      <w:pPr>
        <w:spacing w:line="360" w:lineRule="auto"/>
        <w:jc w:val="both"/>
        <w:rPr>
          <w:rFonts w:ascii="Times New Roman" w:hAnsi="Times New Roman"/>
          <w:bCs/>
        </w:rPr>
      </w:pPr>
    </w:p>
    <w:p w:rsidR="002224A4" w:rsidRDefault="002224A4" w:rsidP="002224A4">
      <w:pPr>
        <w:spacing w:line="360" w:lineRule="auto"/>
        <w:jc w:val="both"/>
        <w:rPr>
          <w:rFonts w:ascii="Times New Roman" w:hAnsi="Times New Roman"/>
          <w:b/>
        </w:rPr>
      </w:pPr>
      <w:bookmarkStart w:id="0" w:name="OLE_LINK8"/>
      <w:r>
        <w:rPr>
          <w:rFonts w:ascii="Times New Roman" w:hAnsi="Times New Roman"/>
          <w:b/>
        </w:rPr>
        <w:t>Supplementary Figure 1.</w:t>
      </w:r>
      <w:bookmarkEnd w:id="0"/>
    </w:p>
    <w:p w:rsidR="002224A4" w:rsidRDefault="002224A4" w:rsidP="002224A4">
      <w:pPr>
        <w:spacing w:line="360" w:lineRule="auto"/>
        <w:jc w:val="both"/>
        <w:rPr>
          <w:rFonts w:ascii="Times New Roman" w:hAnsi="Times New Roman"/>
          <w:bCs/>
        </w:rPr>
      </w:pPr>
      <w:r>
        <w:rPr>
          <w:rFonts w:ascii="Times New Roman" w:hAnsi="Times New Roman"/>
          <w:b/>
          <w:lang w:eastAsia="zh-CN"/>
        </w:rPr>
        <w:t>Effects of the n</w:t>
      </w:r>
      <w:r>
        <w:rPr>
          <w:rFonts w:ascii="Times New Roman" w:hAnsi="Times New Roman"/>
          <w:b/>
        </w:rPr>
        <w:t xml:space="preserve">ew formula (NF) </w:t>
      </w:r>
      <w:r>
        <w:rPr>
          <w:rFonts w:ascii="Times New Roman" w:hAnsi="Times New Roman"/>
          <w:b/>
          <w:lang w:eastAsia="zh-CN"/>
        </w:rPr>
        <w:t xml:space="preserve">on the </w:t>
      </w:r>
      <w:r>
        <w:rPr>
          <w:rFonts w:ascii="Times New Roman" w:hAnsi="Times New Roman"/>
          <w:b/>
        </w:rPr>
        <w:t>proliferation, differentiation and apoptosis of Vγ9Vδ2 T cells.</w:t>
      </w:r>
      <w:r>
        <w:rPr>
          <w:rFonts w:ascii="Times New Roman" w:hAnsi="Times New Roman"/>
        </w:rPr>
        <w:t xml:space="preserve"> </w:t>
      </w:r>
      <w:r>
        <w:rPr>
          <w:rFonts w:ascii="Times New Roman" w:hAnsi="Times New Roman"/>
          <w:b/>
        </w:rPr>
        <w:t>(A-</w:t>
      </w:r>
      <w:r>
        <w:rPr>
          <w:rFonts w:ascii="Times New Roman" w:hAnsi="Times New Roman"/>
          <w:b/>
          <w:lang w:eastAsia="zh-CN"/>
        </w:rPr>
        <w:t>B</w:t>
      </w:r>
      <w:r>
        <w:rPr>
          <w:rFonts w:ascii="Times New Roman" w:hAnsi="Times New Roman"/>
          <w:b/>
        </w:rPr>
        <w:t>)</w:t>
      </w:r>
      <w:r>
        <w:rPr>
          <w:rFonts w:ascii="Times New Roman" w:hAnsi="Times New Roman"/>
          <w:b/>
          <w:lang w:eastAsia="zh-CN"/>
        </w:rPr>
        <w:t xml:space="preserve"> </w:t>
      </w:r>
      <w:r>
        <w:rPr>
          <w:rFonts w:ascii="Times New Roman" w:hAnsi="Times New Roman"/>
          <w:bCs/>
        </w:rPr>
        <w:t xml:space="preserve">Heatmaps of </w:t>
      </w:r>
      <w:r>
        <w:rPr>
          <w:rFonts w:ascii="Times New Roman" w:hAnsi="Times New Roman"/>
          <w:bCs/>
          <w:lang w:eastAsia="zh-CN"/>
        </w:rPr>
        <w:t>d</w:t>
      </w:r>
      <w:r>
        <w:rPr>
          <w:rFonts w:ascii="Times New Roman" w:hAnsi="Times New Roman"/>
          <w:bCs/>
        </w:rPr>
        <w:t xml:space="preserve">ifferentially </w:t>
      </w:r>
      <w:r>
        <w:rPr>
          <w:rFonts w:ascii="Times New Roman" w:hAnsi="Times New Roman"/>
          <w:bCs/>
          <w:lang w:eastAsia="zh-CN"/>
        </w:rPr>
        <w:t>e</w:t>
      </w:r>
      <w:r>
        <w:rPr>
          <w:rFonts w:ascii="Times New Roman" w:hAnsi="Times New Roman"/>
          <w:bCs/>
        </w:rPr>
        <w:t xml:space="preserve">xpressed </w:t>
      </w:r>
      <w:r>
        <w:rPr>
          <w:rFonts w:ascii="Times New Roman" w:hAnsi="Times New Roman"/>
          <w:bCs/>
          <w:lang w:eastAsia="zh-CN"/>
        </w:rPr>
        <w:t>g</w:t>
      </w:r>
      <w:r>
        <w:rPr>
          <w:rFonts w:ascii="Times New Roman" w:hAnsi="Times New Roman"/>
          <w:bCs/>
        </w:rPr>
        <w:t xml:space="preserve">enes associated with proliferation </w:t>
      </w:r>
      <w:r>
        <w:rPr>
          <w:rFonts w:ascii="Times New Roman" w:hAnsi="Times New Roman"/>
          <w:b/>
          <w:lang w:eastAsia="zh-CN"/>
        </w:rPr>
        <w:t>(A)</w:t>
      </w:r>
      <w:r>
        <w:rPr>
          <w:rFonts w:ascii="Times New Roman" w:hAnsi="Times New Roman"/>
          <w:bCs/>
        </w:rPr>
        <w:t xml:space="preserve"> or apoptosis </w:t>
      </w:r>
      <w:r>
        <w:rPr>
          <w:rFonts w:ascii="Times New Roman" w:hAnsi="Times New Roman"/>
          <w:b/>
          <w:lang w:eastAsia="zh-CN"/>
        </w:rPr>
        <w:t>(B)</w:t>
      </w:r>
      <w:r>
        <w:rPr>
          <w:rFonts w:ascii="Times New Roman" w:hAnsi="Times New Roman"/>
          <w:bCs/>
        </w:rPr>
        <w:t>. The heatmaps were generated from the log 2 expression of counts normalized to transcript size and million mapped read (FPMK) values. Differentially expressed genes (DEGs) are listed along the Y axis in the order they clustered in, as indicated by the colored line along the Y axis.</w:t>
      </w:r>
      <w:r>
        <w:rPr>
          <w:rFonts w:ascii="Times New Roman" w:hAnsi="Times New Roman"/>
          <w:bCs/>
          <w:lang w:eastAsia="zh-CN"/>
        </w:rPr>
        <w:t xml:space="preserve"> </w:t>
      </w:r>
      <w:r>
        <w:rPr>
          <w:rFonts w:ascii="Times New Roman" w:hAnsi="Times New Roman"/>
          <w:bCs/>
        </w:rPr>
        <w:t xml:space="preserve">Each column contains expression values for an individual </w:t>
      </w:r>
      <w:commentRangeStart w:id="1"/>
      <w:r>
        <w:rPr>
          <w:rFonts w:ascii="Times New Roman" w:hAnsi="Times New Roman"/>
          <w:bCs/>
        </w:rPr>
        <w:t>bird</w:t>
      </w:r>
      <w:commentRangeEnd w:id="1"/>
      <w:r>
        <w:rPr>
          <w:rStyle w:val="CommentReference"/>
        </w:rPr>
        <w:commentReference w:id="1"/>
      </w:r>
      <w:r>
        <w:rPr>
          <w:rFonts w:ascii="Times New Roman" w:hAnsi="Times New Roman"/>
          <w:bCs/>
        </w:rPr>
        <w:t>, with groups indicated along the X axis, and clustering indicated by the dendrogram above the figure. Deeper red colors indicate higher upregulation of gene expression, while deeper blue colors indicate lower downregulation.</w:t>
      </w:r>
      <w:bookmarkStart w:id="2" w:name="OLE_LINK7"/>
      <w:r>
        <w:rPr>
          <w:rFonts w:ascii="Times New Roman" w:hAnsi="Times New Roman"/>
          <w:bCs/>
          <w:lang w:eastAsia="zh-CN"/>
        </w:rPr>
        <w:t xml:space="preserve"> </w:t>
      </w:r>
      <w:r>
        <w:rPr>
          <w:rFonts w:ascii="Times New Roman" w:hAnsi="Times New Roman"/>
          <w:b/>
        </w:rPr>
        <w:t>(</w:t>
      </w:r>
      <w:r>
        <w:rPr>
          <w:rFonts w:ascii="Times New Roman" w:hAnsi="Times New Roman"/>
          <w:b/>
          <w:lang w:eastAsia="zh-CN"/>
        </w:rPr>
        <w:t>C</w:t>
      </w:r>
      <w:r>
        <w:rPr>
          <w:rFonts w:ascii="Times New Roman" w:hAnsi="Times New Roman"/>
          <w:b/>
        </w:rPr>
        <w:t>)</w:t>
      </w:r>
      <w:bookmarkEnd w:id="2"/>
      <w:r>
        <w:rPr>
          <w:rFonts w:ascii="Times New Roman" w:hAnsi="Times New Roman"/>
          <w:b/>
        </w:rPr>
        <w:t xml:space="preserve"> </w:t>
      </w:r>
      <w:r>
        <w:rPr>
          <w:rFonts w:ascii="Times New Roman" w:hAnsi="Times New Roman"/>
          <w:bCs/>
        </w:rPr>
        <w:t xml:space="preserve">Western blot results </w:t>
      </w:r>
      <w:r>
        <w:rPr>
          <w:rFonts w:ascii="Times New Roman" w:hAnsi="Times New Roman"/>
          <w:bCs/>
          <w:lang w:eastAsia="zh-CN"/>
        </w:rPr>
        <w:t>(original WB scan image).</w:t>
      </w:r>
      <w:r>
        <w:rPr>
          <w:rFonts w:ascii="Times New Roman" w:hAnsi="Times New Roman"/>
          <w:bCs/>
        </w:rPr>
        <w:t xml:space="preserve"> The expression of the antiapoptotic gene Bcl2 was significantly upregulated in IL-2+IL15+vitamin C cells (NF-cells), while the levels of the apoptosis genes Fas-L and Caspase 3 were noticeably reduced in NF-cells compared with IL-2-treated cells (OF-cells).</w:t>
      </w:r>
    </w:p>
    <w:p w:rsidR="002224A4" w:rsidRDefault="002224A4" w:rsidP="002224A4">
      <w:pPr>
        <w:spacing w:line="360" w:lineRule="auto"/>
        <w:jc w:val="both"/>
        <w:rPr>
          <w:rFonts w:ascii="Times New Roman" w:hAnsi="Times New Roman"/>
          <w:b/>
        </w:rPr>
      </w:pPr>
    </w:p>
    <w:p w:rsidR="002224A4" w:rsidRDefault="002224A4" w:rsidP="002224A4">
      <w:pPr>
        <w:spacing w:line="360" w:lineRule="auto"/>
        <w:jc w:val="both"/>
        <w:rPr>
          <w:rFonts w:ascii="Times New Roman" w:hAnsi="Times New Roman"/>
          <w:b/>
        </w:rPr>
      </w:pPr>
    </w:p>
    <w:p w:rsidR="002224A4" w:rsidRDefault="002224A4" w:rsidP="002224A4">
      <w:pPr>
        <w:spacing w:line="360" w:lineRule="auto"/>
        <w:jc w:val="both"/>
        <w:rPr>
          <w:rFonts w:ascii="Times New Roman" w:hAnsi="Times New Roman"/>
          <w:b/>
        </w:rPr>
      </w:pPr>
      <w:r>
        <w:rPr>
          <w:rFonts w:ascii="Times New Roman" w:hAnsi="Times New Roman"/>
          <w:b/>
        </w:rPr>
        <w:t xml:space="preserve">Supplementary Figure </w:t>
      </w:r>
      <w:r>
        <w:rPr>
          <w:rFonts w:ascii="Times New Roman" w:hAnsi="Times New Roman"/>
          <w:b/>
          <w:lang w:eastAsia="zh-CN"/>
        </w:rPr>
        <w:t>2</w:t>
      </w:r>
      <w:r>
        <w:rPr>
          <w:rFonts w:ascii="Times New Roman" w:hAnsi="Times New Roman"/>
          <w:b/>
        </w:rPr>
        <w:t>.</w:t>
      </w:r>
    </w:p>
    <w:p w:rsidR="002224A4" w:rsidRDefault="002224A4" w:rsidP="002224A4">
      <w:pPr>
        <w:spacing w:line="360" w:lineRule="auto"/>
        <w:jc w:val="both"/>
        <w:rPr>
          <w:rFonts w:ascii="Times New Roman" w:hAnsi="Times New Roman"/>
          <w:bCs/>
          <w:lang w:eastAsia="zh-CN"/>
        </w:rPr>
      </w:pPr>
      <w:r>
        <w:rPr>
          <w:rFonts w:ascii="Times New Roman" w:hAnsi="Times New Roman"/>
          <w:b/>
        </w:rPr>
        <w:t xml:space="preserve">Cytotoxicity of Vγ9Vδ2 T cells against normal </w:t>
      </w:r>
      <w:r>
        <w:rPr>
          <w:rFonts w:ascii="Times New Roman" w:hAnsi="Times New Roman"/>
          <w:b/>
          <w:lang w:eastAsia="zh-CN"/>
        </w:rPr>
        <w:t xml:space="preserve">cells </w:t>
      </w:r>
      <w:r>
        <w:rPr>
          <w:rFonts w:ascii="Times New Roman" w:hAnsi="Times New Roman"/>
          <w:b/>
        </w:rPr>
        <w:t>and tumor cells</w:t>
      </w:r>
      <w:r>
        <w:rPr>
          <w:rFonts w:ascii="Times New Roman" w:hAnsi="Times New Roman"/>
          <w:b/>
          <w:lang w:eastAsia="zh-CN"/>
        </w:rPr>
        <w:t xml:space="preserve">. (A) </w:t>
      </w:r>
      <w:r>
        <w:rPr>
          <w:rFonts w:ascii="Times New Roman" w:hAnsi="Times New Roman"/>
          <w:bCs/>
        </w:rPr>
        <w:t>Vγ9Vδ2 T cells</w:t>
      </w:r>
      <w:r>
        <w:rPr>
          <w:rFonts w:ascii="Times New Roman" w:hAnsi="Times New Roman"/>
          <w:bCs/>
          <w:lang w:eastAsia="zh-CN"/>
        </w:rPr>
        <w:t xml:space="preserve"> did not kill CD8</w:t>
      </w:r>
      <w:r>
        <w:rPr>
          <w:rFonts w:ascii="Times New Roman" w:hAnsi="Times New Roman"/>
          <w:bCs/>
          <w:vertAlign w:val="superscript"/>
          <w:lang w:eastAsia="zh-CN"/>
        </w:rPr>
        <w:t>+</w:t>
      </w:r>
      <w:r>
        <w:rPr>
          <w:rFonts w:ascii="Times New Roman" w:hAnsi="Times New Roman"/>
          <w:bCs/>
          <w:lang w:eastAsia="zh-CN"/>
        </w:rPr>
        <w:t xml:space="preserve"> T cells or PBMCs. CD8</w:t>
      </w:r>
      <w:r>
        <w:rPr>
          <w:rFonts w:ascii="Times New Roman" w:hAnsi="Times New Roman"/>
          <w:bCs/>
          <w:vertAlign w:val="superscript"/>
          <w:lang w:eastAsia="zh-CN"/>
        </w:rPr>
        <w:t>+</w:t>
      </w:r>
      <w:r>
        <w:rPr>
          <w:rFonts w:ascii="Times New Roman" w:hAnsi="Times New Roman"/>
          <w:bCs/>
          <w:lang w:eastAsia="zh-CN"/>
        </w:rPr>
        <w:t xml:space="preserve"> T cells were isolated from PBMCs with anti-human CD8 magnetic particles (BD). PBMCs</w:t>
      </w:r>
      <w:r>
        <w:rPr>
          <w:rFonts w:ascii="Times New Roman" w:hAnsi="Times New Roman"/>
          <w:bCs/>
          <w:color w:val="0000FF"/>
          <w:lang w:eastAsia="zh-CN"/>
        </w:rPr>
        <w:t xml:space="preserve"> and HUVECs were labeled with CFSE and then cocultured with </w:t>
      </w:r>
      <w:r>
        <w:rPr>
          <w:rFonts w:ascii="Times New Roman" w:hAnsi="Times New Roman"/>
          <w:color w:val="0000FF"/>
        </w:rPr>
        <w:t>allogeneic</w:t>
      </w:r>
      <w:r>
        <w:rPr>
          <w:rFonts w:ascii="Times New Roman" w:hAnsi="Times New Roman"/>
          <w:b/>
          <w:bCs/>
          <w:color w:val="0000FF"/>
          <w:lang w:eastAsia="zh-CN"/>
        </w:rPr>
        <w:t xml:space="preserve"> </w:t>
      </w:r>
      <w:r>
        <w:rPr>
          <w:rFonts w:ascii="Times New Roman" w:hAnsi="Times New Roman"/>
          <w:color w:val="0000FF"/>
          <w:lang w:eastAsia="zh-CN"/>
        </w:rPr>
        <w:t>NF-</w:t>
      </w:r>
      <w:r>
        <w:rPr>
          <w:rFonts w:ascii="Times New Roman" w:hAnsi="Times New Roman"/>
          <w:bCs/>
          <w:color w:val="0000FF"/>
          <w:lang w:eastAsia="zh-CN"/>
        </w:rPr>
        <w:t>Vγ9Vδ2 T cells for 24 h at different E:T (</w:t>
      </w:r>
      <w:r>
        <w:rPr>
          <w:rFonts w:ascii="Symbol" w:hAnsi="Symbol" w:hint="eastAsia"/>
          <w:color w:val="0000FF"/>
        </w:rPr>
        <w:sym w:font="Symbol" w:char="F067"/>
      </w:r>
      <w:r>
        <w:rPr>
          <w:rFonts w:ascii="Times New Roman" w:hAnsi="Times New Roman"/>
          <w:color w:val="0000FF"/>
        </w:rPr>
        <w:t xml:space="preserve">δ:CD8; </w:t>
      </w:r>
      <w:r>
        <w:rPr>
          <w:rFonts w:ascii="Symbol" w:hAnsi="Symbol" w:hint="eastAsia"/>
          <w:color w:val="0000FF"/>
        </w:rPr>
        <w:sym w:font="Symbol" w:char="F067"/>
      </w:r>
      <w:r>
        <w:rPr>
          <w:rFonts w:ascii="Times New Roman" w:hAnsi="Times New Roman"/>
          <w:color w:val="0000FF"/>
        </w:rPr>
        <w:t>δ:PBMC</w:t>
      </w:r>
      <w:r>
        <w:rPr>
          <w:rFonts w:ascii="Times New Roman" w:hAnsi="Times New Roman"/>
          <w:bCs/>
          <w:color w:val="0000FF"/>
          <w:lang w:eastAsia="zh-CN"/>
        </w:rPr>
        <w:t>) ratios (0:1 (control group) and 10:1). The CD8</w:t>
      </w:r>
      <w:r>
        <w:rPr>
          <w:rFonts w:ascii="Times New Roman" w:hAnsi="Times New Roman"/>
          <w:bCs/>
          <w:color w:val="0000FF"/>
          <w:vertAlign w:val="superscript"/>
          <w:lang w:eastAsia="zh-CN"/>
        </w:rPr>
        <w:t>+</w:t>
      </w:r>
      <w:r>
        <w:rPr>
          <w:rFonts w:ascii="Times New Roman" w:hAnsi="Times New Roman"/>
          <w:bCs/>
          <w:color w:val="0000FF"/>
          <w:lang w:eastAsia="zh-CN"/>
        </w:rPr>
        <w:t xml:space="preserve"> T cells, PBMCs and NF-cells were from unrelated donors.</w:t>
      </w:r>
      <w:r>
        <w:rPr>
          <w:rFonts w:ascii="Times New Roman" w:hAnsi="Times New Roman"/>
          <w:bCs/>
          <w:lang w:eastAsia="zh-CN"/>
        </w:rPr>
        <w:t xml:space="preserve"> An anti-CD8 fluorophore-conjugated antibody and propidium iodide (PI) were used to identify dead CD8</w:t>
      </w:r>
      <w:r>
        <w:rPr>
          <w:rFonts w:ascii="Times New Roman" w:hAnsi="Times New Roman"/>
          <w:bCs/>
          <w:vertAlign w:val="superscript"/>
          <w:lang w:eastAsia="zh-CN"/>
        </w:rPr>
        <w:t>+</w:t>
      </w:r>
      <w:r>
        <w:rPr>
          <w:rFonts w:ascii="Times New Roman" w:hAnsi="Times New Roman"/>
          <w:bCs/>
          <w:lang w:eastAsia="zh-CN"/>
        </w:rPr>
        <w:t xml:space="preserve"> T cells. The death of CD8</w:t>
      </w:r>
      <w:r>
        <w:rPr>
          <w:rFonts w:ascii="Times New Roman" w:hAnsi="Times New Roman"/>
          <w:bCs/>
          <w:vertAlign w:val="superscript"/>
          <w:lang w:eastAsia="zh-CN"/>
        </w:rPr>
        <w:t>+</w:t>
      </w:r>
      <w:r>
        <w:rPr>
          <w:rFonts w:ascii="Times New Roman" w:hAnsi="Times New Roman"/>
          <w:bCs/>
          <w:lang w:eastAsia="zh-CN"/>
        </w:rPr>
        <w:t xml:space="preserve"> T cells and dead PBMCs are shown as the percentage of PI</w:t>
      </w:r>
      <w:r>
        <w:rPr>
          <w:rFonts w:ascii="Times New Roman" w:hAnsi="Times New Roman"/>
          <w:bCs/>
          <w:vertAlign w:val="superscript"/>
          <w:lang w:eastAsia="zh-CN"/>
        </w:rPr>
        <w:t>+</w:t>
      </w:r>
      <w:r>
        <w:rPr>
          <w:rFonts w:ascii="Times New Roman" w:hAnsi="Times New Roman"/>
          <w:bCs/>
          <w:lang w:eastAsia="zh-CN"/>
        </w:rPr>
        <w:t xml:space="preserve"> cells in the CD8</w:t>
      </w:r>
      <w:r>
        <w:rPr>
          <w:rFonts w:ascii="Times New Roman" w:hAnsi="Times New Roman"/>
          <w:bCs/>
          <w:vertAlign w:val="superscript"/>
          <w:lang w:eastAsia="zh-CN"/>
        </w:rPr>
        <w:t xml:space="preserve">+ </w:t>
      </w:r>
      <w:r>
        <w:rPr>
          <w:rFonts w:ascii="Times New Roman" w:hAnsi="Times New Roman"/>
          <w:bCs/>
          <w:lang w:eastAsia="zh-CN"/>
        </w:rPr>
        <w:t>population or CFSE</w:t>
      </w:r>
      <w:r>
        <w:rPr>
          <w:rFonts w:ascii="Times New Roman" w:hAnsi="Times New Roman"/>
          <w:bCs/>
          <w:vertAlign w:val="superscript"/>
          <w:lang w:eastAsia="zh-CN"/>
        </w:rPr>
        <w:t>+</w:t>
      </w:r>
      <w:r>
        <w:rPr>
          <w:rFonts w:ascii="Times New Roman" w:hAnsi="Times New Roman"/>
          <w:bCs/>
          <w:lang w:eastAsia="zh-CN"/>
        </w:rPr>
        <w:t xml:space="preserve"> population. </w:t>
      </w:r>
      <w:r>
        <w:rPr>
          <w:rFonts w:ascii="Times New Roman" w:hAnsi="Times New Roman"/>
          <w:b/>
          <w:lang w:eastAsia="zh-CN"/>
        </w:rPr>
        <w:t xml:space="preserve">(B) </w:t>
      </w:r>
      <w:r>
        <w:rPr>
          <w:rFonts w:ascii="Times New Roman" w:hAnsi="Times New Roman"/>
          <w:lang w:eastAsia="zh-CN"/>
        </w:rPr>
        <w:t xml:space="preserve">Results </w:t>
      </w:r>
      <w:r>
        <w:rPr>
          <w:rFonts w:ascii="Times New Roman" w:hAnsi="Times New Roman"/>
          <w:bCs/>
          <w:lang w:eastAsia="zh-CN"/>
        </w:rPr>
        <w:t xml:space="preserve">for </w:t>
      </w:r>
      <w:r>
        <w:rPr>
          <w:rFonts w:ascii="Symbol" w:hAnsi="Symbol" w:hint="eastAsia"/>
        </w:rPr>
        <w:sym w:font="Symbol" w:char="F067"/>
      </w:r>
      <w:r>
        <w:rPr>
          <w:rFonts w:ascii="Times New Roman" w:hAnsi="Times New Roman"/>
        </w:rPr>
        <w:t xml:space="preserve">δ T cell killing of cancer cells at a </w:t>
      </w:r>
      <w:r>
        <w:rPr>
          <w:rFonts w:ascii="Times New Roman" w:hAnsi="Times New Roman"/>
          <w:lang w:eastAsia="zh-CN"/>
        </w:rPr>
        <w:t xml:space="preserve">low </w:t>
      </w:r>
      <w:r>
        <w:rPr>
          <w:rFonts w:ascii="Times New Roman" w:hAnsi="Times New Roman"/>
          <w:bCs/>
          <w:lang w:eastAsia="zh-CN"/>
        </w:rPr>
        <w:t>E:T ratio (1:1)</w:t>
      </w:r>
      <w:r>
        <w:rPr>
          <w:rFonts w:ascii="Times New Roman" w:hAnsi="Times New Roman"/>
        </w:rPr>
        <w:t>.</w:t>
      </w:r>
      <w:r>
        <w:rPr>
          <w:rFonts w:ascii="Times New Roman" w:hAnsi="Times New Roman"/>
          <w:bCs/>
          <w:lang w:eastAsia="zh-CN"/>
        </w:rPr>
        <w:t xml:space="preserve"> The death of CFSE-labeled </w:t>
      </w:r>
      <w:r>
        <w:rPr>
          <w:rFonts w:ascii="Times New Roman" w:hAnsi="Times New Roman"/>
        </w:rPr>
        <w:t>A549, Jurkat, MCF-7, BJAB</w:t>
      </w:r>
      <w:r>
        <w:rPr>
          <w:rFonts w:ascii="Times New Roman" w:hAnsi="Times New Roman"/>
          <w:bCs/>
          <w:lang w:eastAsia="zh-CN"/>
        </w:rPr>
        <w:t>, K562, Raji and Daudi target cells was analyzed after 6 hr of coculture with Vγ9Vδ2-T cells by PI staining and flow cytometry.</w:t>
      </w:r>
      <w:r>
        <w:rPr>
          <w:rFonts w:ascii="Times New Roman" w:hAnsi="Times New Roman"/>
          <w:bCs/>
          <w:color w:val="0000FF"/>
          <w:lang w:eastAsia="zh-CN"/>
        </w:rPr>
        <w:t xml:space="preserve"> </w:t>
      </w:r>
      <w:r>
        <w:rPr>
          <w:rFonts w:ascii="Times New Roman" w:hAnsi="Times New Roman"/>
          <w:color w:val="0000FF"/>
        </w:rPr>
        <w:t xml:space="preserve">Each linked line between OF and NF in all graphs represents γδ T </w:t>
      </w:r>
      <w:r>
        <w:rPr>
          <w:rFonts w:ascii="Times New Roman" w:hAnsi="Times New Roman"/>
          <w:color w:val="0000FF"/>
        </w:rPr>
        <w:lastRenderedPageBreak/>
        <w:t xml:space="preserve">cells from an individual donor. </w:t>
      </w:r>
      <w:r>
        <w:rPr>
          <w:rFonts w:ascii="Times New Roman" w:hAnsi="Times New Roman"/>
          <w:b/>
          <w:bCs/>
          <w:color w:val="0000FF"/>
        </w:rPr>
        <w:t>(C)</w:t>
      </w:r>
      <w:r>
        <w:rPr>
          <w:rFonts w:ascii="Times New Roman" w:hAnsi="Times New Roman"/>
          <w:color w:val="0000FF"/>
        </w:rPr>
        <w:t xml:space="preserve"> Representative example graphs showing the flow cytometry gating strategy.</w:t>
      </w:r>
    </w:p>
    <w:p w:rsidR="002224A4" w:rsidRDefault="002224A4" w:rsidP="002224A4">
      <w:pPr>
        <w:spacing w:line="360" w:lineRule="auto"/>
        <w:jc w:val="both"/>
        <w:rPr>
          <w:rFonts w:ascii="Times New Roman" w:hAnsi="Times New Roman"/>
          <w:bCs/>
          <w:lang w:eastAsia="zh-CN"/>
        </w:rPr>
      </w:pPr>
    </w:p>
    <w:p w:rsidR="002224A4" w:rsidRDefault="002224A4" w:rsidP="002224A4">
      <w:pPr>
        <w:spacing w:line="360" w:lineRule="auto"/>
        <w:jc w:val="both"/>
        <w:rPr>
          <w:rFonts w:ascii="Times New Roman" w:hAnsi="Times New Roman"/>
          <w:bCs/>
          <w:lang w:eastAsia="zh-CN"/>
        </w:rPr>
      </w:pPr>
    </w:p>
    <w:p w:rsidR="002224A4" w:rsidRDefault="002224A4" w:rsidP="002224A4">
      <w:pPr>
        <w:spacing w:line="360" w:lineRule="auto"/>
        <w:jc w:val="both"/>
        <w:rPr>
          <w:rFonts w:ascii="Times New Roman" w:hAnsi="Times New Roman"/>
          <w:b/>
        </w:rPr>
      </w:pPr>
      <w:bookmarkStart w:id="3" w:name="OLE_LINK12"/>
      <w:r>
        <w:rPr>
          <w:rFonts w:ascii="Times New Roman" w:hAnsi="Times New Roman"/>
          <w:b/>
        </w:rPr>
        <w:t xml:space="preserve">Supplementary Figure </w:t>
      </w:r>
      <w:r>
        <w:rPr>
          <w:rFonts w:ascii="Times New Roman" w:hAnsi="Times New Roman"/>
          <w:b/>
          <w:lang w:eastAsia="zh-CN"/>
        </w:rPr>
        <w:t>3</w:t>
      </w:r>
      <w:r>
        <w:rPr>
          <w:rFonts w:ascii="Times New Roman" w:hAnsi="Times New Roman"/>
          <w:b/>
        </w:rPr>
        <w:t>.</w:t>
      </w:r>
      <w:bookmarkEnd w:id="3"/>
    </w:p>
    <w:p w:rsidR="002224A4" w:rsidRDefault="002224A4" w:rsidP="002224A4">
      <w:pPr>
        <w:spacing w:line="360" w:lineRule="auto"/>
        <w:jc w:val="both"/>
        <w:rPr>
          <w:rFonts w:ascii="Times New Roman" w:hAnsi="Times New Roman"/>
          <w:bCs/>
        </w:rPr>
      </w:pPr>
      <w:r>
        <w:rPr>
          <w:rFonts w:ascii="Times New Roman" w:hAnsi="Times New Roman"/>
          <w:b/>
          <w:bCs/>
        </w:rPr>
        <w:t>Representative histological images of hematoxylin and eosin-stained lungs, livers, kidneys, and hearts from tumor</w:t>
      </w:r>
      <w:r>
        <w:rPr>
          <w:rFonts w:ascii="Times New Roman" w:hAnsi="Times New Roman"/>
          <w:b/>
          <w:bCs/>
          <w:lang w:eastAsia="zh-CN"/>
        </w:rPr>
        <w:t>-</w:t>
      </w:r>
      <w:r>
        <w:rPr>
          <w:rFonts w:ascii="Times New Roman" w:hAnsi="Times New Roman"/>
          <w:b/>
          <w:bCs/>
        </w:rPr>
        <w:t>bearing humanized mice.</w:t>
      </w:r>
      <w:r>
        <w:rPr>
          <w:rFonts w:ascii="Times New Roman" w:hAnsi="Times New Roman"/>
          <w:bCs/>
        </w:rPr>
        <w:t xml:space="preserve"> NF-cell treatment had no side effects on these organs (magnification: 10×).</w:t>
      </w:r>
    </w:p>
    <w:p w:rsidR="002224A4" w:rsidRDefault="002224A4" w:rsidP="002224A4">
      <w:pPr>
        <w:spacing w:line="360" w:lineRule="auto"/>
        <w:jc w:val="both"/>
        <w:rPr>
          <w:rFonts w:ascii="Times New Roman" w:hAnsi="Times New Roman"/>
          <w:bCs/>
        </w:rPr>
      </w:pPr>
    </w:p>
    <w:p w:rsidR="002224A4" w:rsidRDefault="002224A4" w:rsidP="002224A4">
      <w:pPr>
        <w:spacing w:line="360" w:lineRule="auto"/>
        <w:jc w:val="both"/>
        <w:rPr>
          <w:rFonts w:ascii="Times New Roman" w:hAnsi="Times New Roman"/>
          <w:bCs/>
        </w:rPr>
      </w:pPr>
    </w:p>
    <w:p w:rsidR="002224A4" w:rsidRDefault="002224A4" w:rsidP="002224A4">
      <w:pPr>
        <w:spacing w:line="360" w:lineRule="auto"/>
        <w:jc w:val="both"/>
        <w:rPr>
          <w:rFonts w:ascii="Times New Roman" w:hAnsi="Times New Roman"/>
          <w:b/>
        </w:rPr>
      </w:pPr>
      <w:bookmarkStart w:id="4" w:name="OLE_LINK9"/>
      <w:r>
        <w:rPr>
          <w:rFonts w:ascii="Times New Roman" w:hAnsi="Times New Roman"/>
          <w:b/>
        </w:rPr>
        <w:t xml:space="preserve">Supplementary Figure </w:t>
      </w:r>
      <w:r>
        <w:rPr>
          <w:rFonts w:ascii="Times New Roman" w:hAnsi="Times New Roman"/>
          <w:b/>
          <w:lang w:eastAsia="zh-CN"/>
        </w:rPr>
        <w:t>4</w:t>
      </w:r>
      <w:r>
        <w:rPr>
          <w:rFonts w:ascii="Times New Roman" w:hAnsi="Times New Roman"/>
          <w:b/>
        </w:rPr>
        <w:t>.</w:t>
      </w:r>
      <w:bookmarkEnd w:id="4"/>
    </w:p>
    <w:p w:rsidR="002224A4" w:rsidRDefault="002224A4" w:rsidP="002224A4">
      <w:pPr>
        <w:spacing w:line="360" w:lineRule="auto"/>
        <w:jc w:val="both"/>
        <w:rPr>
          <w:rFonts w:ascii="Times New Roman" w:hAnsi="Times New Roman"/>
        </w:rPr>
      </w:pPr>
      <w:r>
        <w:rPr>
          <w:rFonts w:ascii="Times New Roman" w:hAnsi="Times New Roman"/>
          <w:b/>
        </w:rPr>
        <w:t xml:space="preserve">Schematic diagram for allogeneic Vγ9Vδ2 T cell expansion and infusion. </w:t>
      </w:r>
      <w:r>
        <w:rPr>
          <w:rFonts w:ascii="Times New Roman" w:hAnsi="Times New Roman"/>
        </w:rPr>
        <w:t xml:space="preserve">One hundred milliliters of peripheral blood was collected from healthy donors (step 1). PBMCs were isolated (steps 2 and 3), and γδ T cells were cultured (step 4) for approximately 14 days </w:t>
      </w:r>
      <w:r>
        <w:rPr>
          <w:rFonts w:ascii="Times New Roman" w:hAnsi="Times New Roman"/>
          <w:i/>
          <w:iCs/>
        </w:rPr>
        <w:t>in vitro</w:t>
      </w:r>
      <w:r>
        <w:rPr>
          <w:rFonts w:ascii="Times New Roman" w:hAnsi="Times New Roman"/>
        </w:rPr>
        <w:t>. After a quality check by immunofluorescence labeling plus flow cytometry analysis and pathogen testing (step 5), γδ T cells were intravenously infused (1~2×10</w:t>
      </w:r>
      <w:r>
        <w:rPr>
          <w:rFonts w:ascii="Times New Roman" w:hAnsi="Times New Roman"/>
          <w:vertAlign w:val="superscript"/>
        </w:rPr>
        <w:t>8</w:t>
      </w:r>
      <w:r>
        <w:rPr>
          <w:rFonts w:ascii="Times New Roman" w:hAnsi="Times New Roman"/>
        </w:rPr>
        <w:t xml:space="preserve"> cells per treatment) into patients (step 6). </w:t>
      </w:r>
      <w:r>
        <w:rPr>
          <w:rFonts w:ascii="Times New Roman" w:hAnsi="Times New Roman"/>
          <w:color w:val="0000FF"/>
        </w:rPr>
        <w:t>Patients received only one γδ T cell infusion on day 1 or day 2 (step 8), followed by infusion every 2~ 3 weeks for the first five treatments (step 9) and then one treatment every 30-60 days</w:t>
      </w:r>
      <w:r>
        <w:rPr>
          <w:rFonts w:ascii="Times New Roman" w:hAnsi="Times New Roman"/>
        </w:rPr>
        <w:t xml:space="preserve"> thereafter. Patient immune cell function was also analyzed (step 7) before and after γδ T cell treatments by analyzing peripheral immune phenotypes using flow cytometry. Only those patients who received more than 5 infusions were followed and further analyzed (step 10).</w:t>
      </w:r>
    </w:p>
    <w:p w:rsidR="002224A4" w:rsidRDefault="002224A4" w:rsidP="002224A4">
      <w:pPr>
        <w:spacing w:line="360" w:lineRule="auto"/>
        <w:jc w:val="both"/>
        <w:rPr>
          <w:rFonts w:ascii="Times New Roman" w:hAnsi="Times New Roman"/>
          <w:b/>
        </w:rPr>
      </w:pPr>
    </w:p>
    <w:p w:rsidR="002224A4" w:rsidRDefault="002224A4" w:rsidP="002224A4">
      <w:pPr>
        <w:spacing w:line="360" w:lineRule="auto"/>
        <w:jc w:val="both"/>
        <w:rPr>
          <w:rFonts w:ascii="Times New Roman" w:hAnsi="Times New Roman"/>
          <w:b/>
        </w:rPr>
      </w:pPr>
    </w:p>
    <w:p w:rsidR="002224A4" w:rsidRDefault="002224A4" w:rsidP="002224A4">
      <w:pPr>
        <w:spacing w:line="360" w:lineRule="auto"/>
        <w:jc w:val="both"/>
        <w:rPr>
          <w:rFonts w:ascii="Times New Roman" w:hAnsi="Times New Roman"/>
          <w:b/>
          <w:lang w:eastAsia="zh-CN"/>
        </w:rPr>
      </w:pPr>
      <w:r>
        <w:rPr>
          <w:rFonts w:ascii="Times New Roman" w:hAnsi="Times New Roman"/>
          <w:b/>
        </w:rPr>
        <w:t xml:space="preserve">Supplementary Figure </w:t>
      </w:r>
      <w:r>
        <w:rPr>
          <w:rFonts w:ascii="Times New Roman" w:hAnsi="Times New Roman"/>
          <w:b/>
          <w:lang w:eastAsia="zh-CN"/>
        </w:rPr>
        <w:t>5</w:t>
      </w:r>
      <w:r>
        <w:rPr>
          <w:rFonts w:ascii="Times New Roman" w:hAnsi="Times New Roman"/>
          <w:b/>
        </w:rPr>
        <w:t>.</w:t>
      </w:r>
    </w:p>
    <w:p w:rsidR="002224A4" w:rsidRDefault="002224A4" w:rsidP="002224A4">
      <w:pPr>
        <w:spacing w:line="360" w:lineRule="auto"/>
        <w:jc w:val="both"/>
        <w:rPr>
          <w:rFonts w:ascii="Times New Roman" w:hAnsi="Times New Roman"/>
          <w:b/>
          <w:lang w:eastAsia="zh-CN"/>
        </w:rPr>
      </w:pPr>
      <w:r>
        <w:rPr>
          <w:rFonts w:ascii="Times New Roman" w:hAnsi="Times New Roman"/>
          <w:b/>
          <w:lang w:eastAsia="zh-CN"/>
        </w:rPr>
        <w:t xml:space="preserve">Clinical safety evaluation through cytokine examination in a lung cancer patient (patient </w:t>
      </w:r>
      <w:r>
        <w:rPr>
          <w:rFonts w:ascii="Times New Roman" w:hAnsi="Times New Roman"/>
          <w:b/>
        </w:rPr>
        <w:t>#</w:t>
      </w:r>
      <w:r>
        <w:rPr>
          <w:rFonts w:ascii="Times New Roman" w:hAnsi="Times New Roman"/>
          <w:b/>
          <w:lang w:eastAsia="zh-CN"/>
        </w:rPr>
        <w:t>6</w:t>
      </w:r>
      <w:r>
        <w:rPr>
          <w:rFonts w:ascii="Times New Roman" w:hAnsi="Times New Roman"/>
          <w:b/>
        </w:rPr>
        <w:t xml:space="preserve"> in Table 1</w:t>
      </w:r>
      <w:r>
        <w:rPr>
          <w:rFonts w:ascii="Times New Roman" w:hAnsi="Times New Roman"/>
          <w:b/>
          <w:lang w:eastAsia="zh-CN"/>
        </w:rPr>
        <w:t xml:space="preserve">) and a liver cancer patient (patient </w:t>
      </w:r>
      <w:r>
        <w:rPr>
          <w:rFonts w:ascii="Times New Roman" w:hAnsi="Times New Roman"/>
          <w:b/>
        </w:rPr>
        <w:t>#</w:t>
      </w:r>
      <w:r>
        <w:rPr>
          <w:rFonts w:ascii="Times New Roman" w:hAnsi="Times New Roman"/>
          <w:b/>
          <w:lang w:eastAsia="zh-CN"/>
        </w:rPr>
        <w:t>2</w:t>
      </w:r>
      <w:r>
        <w:rPr>
          <w:rFonts w:ascii="Times New Roman" w:hAnsi="Times New Roman"/>
          <w:b/>
        </w:rPr>
        <w:t xml:space="preserve"> in Table 1</w:t>
      </w:r>
      <w:r>
        <w:rPr>
          <w:rFonts w:ascii="Times New Roman" w:hAnsi="Times New Roman"/>
          <w:b/>
          <w:bCs/>
          <w:lang w:eastAsia="zh-CN"/>
        </w:rPr>
        <w:t xml:space="preserve">) after cell therapy. </w:t>
      </w:r>
      <w:r>
        <w:rPr>
          <w:rFonts w:ascii="Times New Roman" w:hAnsi="Times New Roman"/>
        </w:rPr>
        <w:t>According to clinical observations, allogeneic Vγ9Vδ2 T cells did not induce significant cytokine storm</w:t>
      </w:r>
      <w:r>
        <w:rPr>
          <w:rFonts w:ascii="Times New Roman" w:hAnsi="Times New Roman"/>
          <w:lang w:eastAsia="zh-CN"/>
        </w:rPr>
        <w:t>.</w:t>
      </w:r>
      <w:r>
        <w:rPr>
          <w:rFonts w:ascii="Times New Roman" w:hAnsi="Times New Roman"/>
          <w:bCs/>
          <w:lang w:eastAsia="zh-CN"/>
        </w:rPr>
        <w:t xml:space="preserve"> Serum was collected at 24 hours post </w:t>
      </w:r>
      <w:r>
        <w:rPr>
          <w:rFonts w:ascii="Symbol" w:hAnsi="Symbol" w:hint="eastAsia"/>
        </w:rPr>
        <w:sym w:font="Symbol" w:char="F067"/>
      </w:r>
      <w:r>
        <w:rPr>
          <w:rFonts w:ascii="Times New Roman" w:hAnsi="Times New Roman"/>
        </w:rPr>
        <w:t>δ T</w:t>
      </w:r>
      <w:r>
        <w:rPr>
          <w:rFonts w:ascii="Times New Roman" w:hAnsi="Times New Roman"/>
          <w:bCs/>
          <w:lang w:eastAsia="zh-CN"/>
        </w:rPr>
        <w:t xml:space="preserve"> cell infusion, and the serum levels of inflammatory cytokines were measured using the BD CBA Human Inflammation Kit at different time points.</w:t>
      </w:r>
      <w:r>
        <w:rPr>
          <w:rFonts w:ascii="Times New Roman" w:hAnsi="Times New Roman"/>
          <w:bCs/>
          <w:color w:val="0000FF"/>
          <w:lang w:eastAsia="zh-CN"/>
        </w:rPr>
        <w:t xml:space="preserve"> Cytokines were analyzed at different time points, as shown in f</w:t>
      </w:r>
      <w:commentRangeStart w:id="5"/>
      <w:r>
        <w:rPr>
          <w:rFonts w:ascii="Times New Roman" w:hAnsi="Times New Roman"/>
          <w:bCs/>
          <w:color w:val="0000FF"/>
          <w:lang w:eastAsia="zh-CN"/>
        </w:rPr>
        <w:t xml:space="preserve">igures </w:t>
      </w:r>
      <w:commentRangeEnd w:id="5"/>
      <w:r>
        <w:rPr>
          <w:rStyle w:val="CommentReference"/>
        </w:rPr>
        <w:commentReference w:id="5"/>
      </w:r>
      <w:r>
        <w:rPr>
          <w:rFonts w:ascii="Times New Roman" w:hAnsi="Times New Roman"/>
          <w:bCs/>
          <w:color w:val="0000FF"/>
          <w:lang w:eastAsia="zh-CN"/>
        </w:rPr>
        <w:t xml:space="preserve">(number ‘0, 1, 2, 3, 4, 5, 6, 7, 8, 9’). The dashed red line indicates the normal range, and the parameters for the normal range </w:t>
      </w:r>
      <w:r>
        <w:rPr>
          <w:rFonts w:ascii="Times New Roman" w:hAnsi="Times New Roman"/>
          <w:bCs/>
          <w:color w:val="0000FF"/>
          <w:lang w:eastAsia="zh-CN"/>
        </w:rPr>
        <w:lastRenderedPageBreak/>
        <w:t xml:space="preserve">have been used in clinical practice for years. </w:t>
      </w:r>
      <w:r>
        <w:rPr>
          <w:rFonts w:ascii="Times New Roman" w:hAnsi="Times New Roman"/>
          <w:bCs/>
          <w:lang w:eastAsia="zh-CN"/>
        </w:rPr>
        <w:t>Black curve: lung cancer patient; blue curve: liver cancer patient.</w:t>
      </w:r>
    </w:p>
    <w:p w:rsidR="002224A4" w:rsidRDefault="002224A4" w:rsidP="002224A4">
      <w:pPr>
        <w:spacing w:line="360" w:lineRule="auto"/>
        <w:jc w:val="both"/>
        <w:rPr>
          <w:rFonts w:ascii="Times New Roman" w:hAnsi="Times New Roman"/>
          <w:b/>
          <w:lang w:eastAsia="zh-CN"/>
        </w:rPr>
      </w:pPr>
    </w:p>
    <w:p w:rsidR="002224A4" w:rsidRDefault="002224A4" w:rsidP="002224A4">
      <w:pPr>
        <w:spacing w:line="360" w:lineRule="auto"/>
        <w:jc w:val="both"/>
        <w:rPr>
          <w:rFonts w:ascii="Times New Roman" w:hAnsi="Times New Roman"/>
          <w:b/>
          <w:lang w:eastAsia="zh-CN"/>
        </w:rPr>
      </w:pPr>
    </w:p>
    <w:p w:rsidR="002224A4" w:rsidRDefault="002224A4" w:rsidP="002224A4">
      <w:pPr>
        <w:spacing w:line="360" w:lineRule="auto"/>
        <w:jc w:val="both"/>
        <w:rPr>
          <w:rFonts w:ascii="Times New Roman" w:hAnsi="Times New Roman"/>
          <w:b/>
          <w:lang w:eastAsia="zh-CN"/>
        </w:rPr>
      </w:pPr>
      <w:bookmarkStart w:id="6" w:name="OLE_LINK10"/>
      <w:bookmarkStart w:id="7" w:name="OLE_LINK11"/>
      <w:r>
        <w:rPr>
          <w:rFonts w:ascii="Times New Roman" w:hAnsi="Times New Roman"/>
          <w:b/>
        </w:rPr>
        <w:t xml:space="preserve">Supplementary Figure </w:t>
      </w:r>
      <w:r>
        <w:rPr>
          <w:rFonts w:ascii="Times New Roman" w:hAnsi="Times New Roman"/>
          <w:b/>
          <w:lang w:eastAsia="zh-CN"/>
        </w:rPr>
        <w:t>6</w:t>
      </w:r>
      <w:r>
        <w:rPr>
          <w:rFonts w:ascii="Times New Roman" w:hAnsi="Times New Roman"/>
          <w:b/>
        </w:rPr>
        <w:t>.</w:t>
      </w:r>
    </w:p>
    <w:p w:rsidR="002224A4" w:rsidRDefault="002224A4" w:rsidP="002224A4">
      <w:pPr>
        <w:spacing w:line="360" w:lineRule="auto"/>
        <w:jc w:val="both"/>
        <w:rPr>
          <w:rFonts w:ascii="Times New Roman" w:hAnsi="Times New Roman"/>
          <w:bCs/>
          <w:lang w:eastAsia="zh-CN"/>
        </w:rPr>
      </w:pPr>
      <w:r>
        <w:rPr>
          <w:rFonts w:ascii="Times New Roman" w:hAnsi="Times New Roman"/>
          <w:b/>
          <w:lang w:eastAsia="zh-CN"/>
        </w:rPr>
        <w:t>Computed</w:t>
      </w:r>
      <w:r>
        <w:rPr>
          <w:rFonts w:ascii="Times New Roman" w:hAnsi="Times New Roman" w:hint="eastAsia"/>
          <w:b/>
          <w:lang w:eastAsia="zh-CN"/>
        </w:rPr>
        <w:t> </w:t>
      </w:r>
      <w:r>
        <w:rPr>
          <w:rFonts w:ascii="Times New Roman" w:hAnsi="Times New Roman"/>
          <w:b/>
          <w:lang w:eastAsia="zh-CN"/>
        </w:rPr>
        <w:t>tomography (CT) scans</w:t>
      </w:r>
      <w:bookmarkEnd w:id="6"/>
      <w:r>
        <w:rPr>
          <w:rFonts w:ascii="Times New Roman" w:hAnsi="Times New Roman"/>
          <w:b/>
          <w:lang w:eastAsia="zh-CN"/>
        </w:rPr>
        <w:t xml:space="preserve"> of a lung cancer patient (patient </w:t>
      </w:r>
      <w:r>
        <w:rPr>
          <w:rFonts w:ascii="Times New Roman" w:hAnsi="Times New Roman"/>
          <w:b/>
        </w:rPr>
        <w:t>#</w:t>
      </w:r>
      <w:r>
        <w:rPr>
          <w:rFonts w:ascii="Times New Roman" w:hAnsi="Times New Roman"/>
          <w:b/>
          <w:lang w:eastAsia="zh-CN"/>
        </w:rPr>
        <w:t>6</w:t>
      </w:r>
      <w:r>
        <w:rPr>
          <w:rFonts w:ascii="Times New Roman" w:hAnsi="Times New Roman"/>
          <w:b/>
        </w:rPr>
        <w:t xml:space="preserve"> in Table 1</w:t>
      </w:r>
      <w:r>
        <w:rPr>
          <w:rFonts w:ascii="Times New Roman" w:hAnsi="Times New Roman"/>
          <w:b/>
          <w:lang w:eastAsia="zh-CN"/>
        </w:rPr>
        <w:t>)</w:t>
      </w:r>
      <w:r>
        <w:rPr>
          <w:rFonts w:ascii="Times New Roman" w:hAnsi="Times New Roman" w:hint="eastAsia"/>
          <w:b/>
          <w:lang w:eastAsia="zh-CN"/>
        </w:rPr>
        <w:t> </w:t>
      </w:r>
      <w:r>
        <w:rPr>
          <w:rFonts w:ascii="Times New Roman" w:hAnsi="Times New Roman"/>
          <w:b/>
          <w:lang w:eastAsia="zh-CN"/>
        </w:rPr>
        <w:t>performed</w:t>
      </w:r>
      <w:r>
        <w:rPr>
          <w:rFonts w:ascii="Times New Roman" w:hAnsi="Times New Roman" w:hint="eastAsia"/>
          <w:b/>
          <w:lang w:eastAsia="zh-CN"/>
        </w:rPr>
        <w:t> </w:t>
      </w:r>
      <w:r>
        <w:rPr>
          <w:rFonts w:ascii="Times New Roman" w:hAnsi="Times New Roman"/>
          <w:b/>
          <w:lang w:eastAsia="zh-CN"/>
        </w:rPr>
        <w:t>at</w:t>
      </w:r>
      <w:r>
        <w:rPr>
          <w:rFonts w:ascii="Times New Roman" w:hAnsi="Times New Roman" w:hint="eastAsia"/>
          <w:b/>
          <w:lang w:eastAsia="zh-CN"/>
        </w:rPr>
        <w:t> </w:t>
      </w:r>
      <w:r>
        <w:rPr>
          <w:rFonts w:ascii="Times New Roman" w:hAnsi="Times New Roman"/>
          <w:b/>
          <w:lang w:eastAsia="zh-CN"/>
        </w:rPr>
        <w:t>3</w:t>
      </w:r>
      <w:r>
        <w:rPr>
          <w:rFonts w:ascii="Times New Roman" w:hAnsi="Times New Roman" w:hint="eastAsia"/>
          <w:b/>
          <w:lang w:eastAsia="zh-CN"/>
        </w:rPr>
        <w:t> </w:t>
      </w:r>
      <w:r>
        <w:rPr>
          <w:rFonts w:ascii="Times New Roman" w:hAnsi="Times New Roman"/>
          <w:b/>
          <w:lang w:eastAsia="zh-CN"/>
        </w:rPr>
        <w:t xml:space="preserve">time points after eight treatments with allogeneic </w:t>
      </w:r>
      <w:r>
        <w:rPr>
          <w:rFonts w:ascii="Symbol" w:hAnsi="Symbol" w:hint="eastAsia"/>
          <w:b/>
          <w:lang w:eastAsia="zh-CN"/>
        </w:rPr>
        <w:sym w:font="Symbol" w:char="F067"/>
      </w:r>
      <w:r>
        <w:rPr>
          <w:rFonts w:ascii="Times New Roman" w:hAnsi="Times New Roman"/>
          <w:b/>
          <w:lang w:eastAsia="zh-CN"/>
        </w:rPr>
        <w:t>δ T cells.</w:t>
      </w:r>
      <w:bookmarkEnd w:id="7"/>
      <w:r>
        <w:rPr>
          <w:rFonts w:ascii="Times New Roman" w:hAnsi="Times New Roman"/>
          <w:bCs/>
          <w:lang w:eastAsia="zh-CN"/>
        </w:rPr>
        <w:t xml:space="preserve"> Before receiving </w:t>
      </w:r>
      <w:r>
        <w:rPr>
          <w:rFonts w:ascii="Times New Roman" w:hAnsi="Times New Roman"/>
        </w:rPr>
        <w:t xml:space="preserve">allogeneic </w:t>
      </w:r>
      <w:r>
        <w:rPr>
          <w:rFonts w:ascii="Symbol" w:hAnsi="Symbol" w:hint="eastAsia"/>
        </w:rPr>
        <w:sym w:font="Symbol" w:char="F067"/>
      </w:r>
      <w:r>
        <w:rPr>
          <w:rFonts w:ascii="Times New Roman" w:hAnsi="Times New Roman"/>
        </w:rPr>
        <w:t>δ</w:t>
      </w:r>
      <w:r>
        <w:rPr>
          <w:rFonts w:ascii="Times New Roman" w:hAnsi="Times New Roman"/>
          <w:b/>
          <w:bCs/>
          <w:lang w:eastAsia="zh-CN"/>
        </w:rPr>
        <w:t xml:space="preserve"> </w:t>
      </w:r>
      <w:r>
        <w:rPr>
          <w:rFonts w:ascii="Times New Roman" w:hAnsi="Times New Roman"/>
          <w:lang w:eastAsia="zh-CN"/>
        </w:rPr>
        <w:t xml:space="preserve">T </w:t>
      </w:r>
      <w:r>
        <w:rPr>
          <w:rFonts w:ascii="Times New Roman" w:hAnsi="Times New Roman"/>
          <w:bCs/>
          <w:lang w:eastAsia="zh-CN"/>
        </w:rPr>
        <w:t xml:space="preserve">cell therapy, the patient developed intraperitoneal metastasis of lung cancer. The red arrow shows a swollen lymph node </w:t>
      </w:r>
      <w:bookmarkStart w:id="8" w:name="OLE_LINK13"/>
      <w:r>
        <w:rPr>
          <w:rFonts w:ascii="Times New Roman" w:hAnsi="Times New Roman"/>
          <w:bCs/>
          <w:lang w:eastAsia="zh-CN"/>
        </w:rPr>
        <w:t>in the left posterior</w:t>
      </w:r>
      <w:bookmarkEnd w:id="8"/>
      <w:r>
        <w:rPr>
          <w:rFonts w:ascii="Times New Roman" w:hAnsi="Times New Roman"/>
          <w:bCs/>
          <w:lang w:eastAsia="zh-CN"/>
        </w:rPr>
        <w:t xml:space="preserve"> of the lower mediastinum </w:t>
      </w:r>
      <w:r>
        <w:rPr>
          <w:rFonts w:ascii="Times New Roman" w:hAnsi="Times New Roman"/>
          <w:b/>
          <w:lang w:eastAsia="zh-CN"/>
        </w:rPr>
        <w:t>(A)</w:t>
      </w:r>
      <w:r>
        <w:rPr>
          <w:rFonts w:ascii="Times New Roman" w:hAnsi="Times New Roman"/>
          <w:bCs/>
          <w:lang w:eastAsia="zh-CN"/>
        </w:rPr>
        <w:t xml:space="preserve">. No newly visible lesion in the left posterior region was observed compared with a previous abdominal CT scan after six </w:t>
      </w:r>
      <w:r>
        <w:rPr>
          <w:rFonts w:ascii="Times New Roman" w:hAnsi="Times New Roman"/>
          <w:b/>
          <w:lang w:eastAsia="zh-CN"/>
        </w:rPr>
        <w:t>(B)</w:t>
      </w:r>
      <w:r>
        <w:rPr>
          <w:rFonts w:ascii="Times New Roman" w:hAnsi="Times New Roman"/>
          <w:bCs/>
          <w:lang w:eastAsia="zh-CN"/>
        </w:rPr>
        <w:t xml:space="preserve"> and eight </w:t>
      </w:r>
      <w:r>
        <w:rPr>
          <w:rFonts w:ascii="Times New Roman" w:hAnsi="Times New Roman"/>
          <w:b/>
          <w:lang w:eastAsia="zh-CN"/>
        </w:rPr>
        <w:t>(C)</w:t>
      </w:r>
      <w:r>
        <w:rPr>
          <w:rFonts w:ascii="Times New Roman" w:hAnsi="Times New Roman"/>
          <w:bCs/>
          <w:lang w:eastAsia="zh-CN"/>
        </w:rPr>
        <w:t xml:space="preserve"> treatments with allogeneic </w:t>
      </w:r>
      <w:r>
        <w:rPr>
          <w:rFonts w:ascii="Symbol" w:hAnsi="Symbol" w:hint="eastAsia"/>
          <w:bCs/>
          <w:lang w:eastAsia="zh-CN"/>
        </w:rPr>
        <w:sym w:font="Symbol" w:char="F067"/>
      </w:r>
      <w:r>
        <w:rPr>
          <w:rFonts w:ascii="Times New Roman" w:hAnsi="Times New Roman"/>
          <w:bCs/>
          <w:lang w:eastAsia="zh-CN"/>
        </w:rPr>
        <w:t>δ T cells.</w:t>
      </w:r>
    </w:p>
    <w:p w:rsidR="002224A4" w:rsidRDefault="002224A4" w:rsidP="002224A4">
      <w:pPr>
        <w:spacing w:line="360" w:lineRule="auto"/>
        <w:jc w:val="both"/>
        <w:rPr>
          <w:rFonts w:ascii="Times New Roman" w:hAnsi="Times New Roman"/>
          <w:b/>
        </w:rPr>
      </w:pPr>
    </w:p>
    <w:p w:rsidR="002224A4" w:rsidRDefault="002224A4" w:rsidP="002224A4">
      <w:pPr>
        <w:spacing w:line="360" w:lineRule="auto"/>
        <w:jc w:val="both"/>
        <w:rPr>
          <w:rFonts w:ascii="Times New Roman" w:hAnsi="Times New Roman"/>
          <w:b/>
        </w:rPr>
      </w:pPr>
    </w:p>
    <w:p w:rsidR="002224A4" w:rsidRDefault="002224A4" w:rsidP="002224A4">
      <w:pPr>
        <w:spacing w:line="360" w:lineRule="auto"/>
        <w:jc w:val="both"/>
        <w:rPr>
          <w:rFonts w:ascii="Times New Roman" w:hAnsi="Times New Roman"/>
          <w:b/>
          <w:lang w:eastAsia="zh-CN"/>
        </w:rPr>
      </w:pPr>
      <w:r>
        <w:rPr>
          <w:rFonts w:ascii="Times New Roman" w:hAnsi="Times New Roman"/>
          <w:b/>
        </w:rPr>
        <w:t>Supplementary Figure 7.</w:t>
      </w:r>
    </w:p>
    <w:p w:rsidR="002224A4" w:rsidRDefault="002224A4" w:rsidP="002224A4">
      <w:pPr>
        <w:spacing w:line="360" w:lineRule="auto"/>
        <w:jc w:val="both"/>
        <w:rPr>
          <w:rFonts w:ascii="Times New Roman" w:hAnsi="Times New Roman"/>
          <w:bCs/>
          <w:lang w:eastAsia="zh-CN"/>
        </w:rPr>
      </w:pPr>
      <w:r>
        <w:rPr>
          <w:rFonts w:ascii="Times New Roman" w:hAnsi="Times New Roman"/>
          <w:b/>
          <w:lang w:eastAsia="zh-CN"/>
        </w:rPr>
        <w:t xml:space="preserve">Immune cell parameters were assessed in liver cancer (patients </w:t>
      </w:r>
      <w:r>
        <w:rPr>
          <w:rFonts w:ascii="Times New Roman" w:hAnsi="Times New Roman"/>
          <w:b/>
        </w:rPr>
        <w:t>#</w:t>
      </w:r>
      <w:r>
        <w:rPr>
          <w:rFonts w:ascii="Times New Roman" w:hAnsi="Times New Roman"/>
          <w:b/>
          <w:lang w:eastAsia="zh-CN"/>
        </w:rPr>
        <w:t>2 and #7</w:t>
      </w:r>
      <w:r>
        <w:rPr>
          <w:rFonts w:ascii="Times New Roman" w:hAnsi="Times New Roman"/>
          <w:b/>
        </w:rPr>
        <w:t xml:space="preserve"> in Table 1</w:t>
      </w:r>
      <w:r>
        <w:rPr>
          <w:rFonts w:ascii="Times New Roman" w:hAnsi="Times New Roman"/>
          <w:b/>
          <w:lang w:eastAsia="zh-CN"/>
        </w:rPr>
        <w:t xml:space="preserve">) (A) and lung cancer (patients </w:t>
      </w:r>
      <w:r>
        <w:rPr>
          <w:rFonts w:ascii="Times New Roman" w:hAnsi="Times New Roman"/>
          <w:b/>
        </w:rPr>
        <w:t>#</w:t>
      </w:r>
      <w:r>
        <w:rPr>
          <w:rFonts w:ascii="Times New Roman" w:hAnsi="Times New Roman"/>
          <w:b/>
          <w:lang w:eastAsia="zh-CN"/>
        </w:rPr>
        <w:t>6 and #8</w:t>
      </w:r>
      <w:r>
        <w:rPr>
          <w:rFonts w:ascii="Times New Roman" w:hAnsi="Times New Roman"/>
          <w:b/>
        </w:rPr>
        <w:t xml:space="preserve"> in Table 1</w:t>
      </w:r>
      <w:r>
        <w:rPr>
          <w:rFonts w:ascii="Times New Roman" w:hAnsi="Times New Roman"/>
          <w:b/>
          <w:lang w:eastAsia="zh-CN"/>
        </w:rPr>
        <w:t xml:space="preserve">) (B) patients before and </w:t>
      </w:r>
      <w:r>
        <w:rPr>
          <w:rFonts w:ascii="Times New Roman" w:hAnsi="Times New Roman"/>
          <w:b/>
          <w:bCs/>
          <w:lang w:eastAsia="zh-CN"/>
        </w:rPr>
        <w:t xml:space="preserve">after cell therapy. </w:t>
      </w:r>
      <w:r>
        <w:rPr>
          <w:rFonts w:ascii="Times New Roman" w:hAnsi="Times New Roman"/>
          <w:bCs/>
          <w:lang w:eastAsia="zh-CN"/>
        </w:rPr>
        <w:t xml:space="preserve">The immune phenotypes of the patients were analyzed before and after </w:t>
      </w:r>
      <w:r>
        <w:rPr>
          <w:rFonts w:ascii="Symbol" w:hAnsi="Symbol" w:hint="eastAsia"/>
          <w:bCs/>
          <w:lang w:eastAsia="zh-CN"/>
        </w:rPr>
        <w:sym w:font="Symbol" w:char="F067"/>
      </w:r>
      <w:r>
        <w:rPr>
          <w:rFonts w:ascii="Symbol" w:hAnsi="Symbol" w:hint="eastAsia"/>
          <w:bCs/>
          <w:lang w:eastAsia="zh-CN"/>
        </w:rPr>
        <w:sym w:font="Symbol" w:char="F064"/>
      </w:r>
      <w:r>
        <w:rPr>
          <w:rFonts w:ascii="Times New Roman" w:hAnsi="Times New Roman"/>
          <w:bCs/>
          <w:lang w:eastAsia="zh-CN"/>
        </w:rPr>
        <w:t xml:space="preserve"> T cell treatment</w:t>
      </w:r>
      <w:r>
        <w:rPr>
          <w:rFonts w:ascii="Times New Roman" w:hAnsi="Times New Roman"/>
          <w:b/>
          <w:lang w:eastAsia="zh-CN"/>
        </w:rPr>
        <w:t xml:space="preserve">. </w:t>
      </w:r>
      <w:r>
        <w:rPr>
          <w:rFonts w:ascii="Times New Roman" w:hAnsi="Times New Roman"/>
          <w:bCs/>
          <w:lang w:eastAsia="zh-CN"/>
        </w:rPr>
        <w:t>Five milliliters of peripheral blood was extracted from each patient each time, including 1-3 days before receiving V</w:t>
      </w:r>
      <w:r>
        <w:rPr>
          <w:rFonts w:ascii="Symbol" w:hAnsi="Symbol" w:hint="eastAsia"/>
          <w:bCs/>
          <w:lang w:eastAsia="zh-CN"/>
        </w:rPr>
        <w:sym w:font="Symbol" w:char="F067"/>
      </w:r>
      <w:r>
        <w:rPr>
          <w:rFonts w:ascii="Times New Roman" w:hAnsi="Times New Roman"/>
          <w:bCs/>
          <w:lang w:eastAsia="zh-CN"/>
        </w:rPr>
        <w:t>9V</w:t>
      </w:r>
      <w:r>
        <w:rPr>
          <w:rFonts w:ascii="Symbol" w:hAnsi="Symbol" w:hint="eastAsia"/>
          <w:bCs/>
          <w:lang w:eastAsia="zh-CN"/>
        </w:rPr>
        <w:sym w:font="Symbol" w:char="F064"/>
      </w:r>
      <w:r>
        <w:rPr>
          <w:rFonts w:ascii="Times New Roman" w:hAnsi="Times New Roman"/>
          <w:bCs/>
          <w:lang w:eastAsia="zh-CN"/>
        </w:rPr>
        <w:t xml:space="preserve">2 T cell treatment. Peripheral blood </w:t>
      </w:r>
      <w:r>
        <w:rPr>
          <w:rFonts w:ascii="Times New Roman" w:hAnsi="Times New Roman"/>
          <w:bCs/>
          <w:color w:val="0000FF"/>
          <w:lang w:eastAsia="zh-CN"/>
        </w:rPr>
        <w:t>mononuclear</w:t>
      </w:r>
      <w:r>
        <w:rPr>
          <w:rFonts w:ascii="Times New Roman" w:hAnsi="Times New Roman"/>
          <w:bCs/>
          <w:lang w:eastAsia="zh-CN"/>
        </w:rPr>
        <w:t xml:space="preserve"> cells (PBMCs) were isolated by Ficoll density gradient centrifugation and stained with the indicated antibodies. The results for one lung cancer patient and one liver cancer patient are shown. Then, fluorophore-conjugated antibody-labeled cells were analyzed using flow cytometry.</w:t>
      </w:r>
    </w:p>
    <w:p w:rsidR="002224A4" w:rsidRDefault="002224A4" w:rsidP="002224A4">
      <w:pPr>
        <w:spacing w:line="360" w:lineRule="auto"/>
        <w:jc w:val="both"/>
        <w:rPr>
          <w:rFonts w:ascii="Times New Roman" w:hAnsi="Times New Roman"/>
          <w:b/>
        </w:rPr>
      </w:pPr>
    </w:p>
    <w:p w:rsidR="002224A4" w:rsidRDefault="002224A4" w:rsidP="002224A4">
      <w:pPr>
        <w:spacing w:line="360" w:lineRule="auto"/>
        <w:jc w:val="both"/>
        <w:rPr>
          <w:rFonts w:ascii="Times New Roman" w:hAnsi="Times New Roman"/>
          <w:b/>
        </w:rPr>
      </w:pPr>
    </w:p>
    <w:p w:rsidR="002224A4" w:rsidRDefault="002224A4" w:rsidP="002224A4">
      <w:pPr>
        <w:spacing w:line="360" w:lineRule="auto"/>
        <w:jc w:val="both"/>
        <w:rPr>
          <w:rFonts w:ascii="Times New Roman" w:hAnsi="Times New Roman"/>
          <w:b/>
        </w:rPr>
      </w:pPr>
      <w:r>
        <w:rPr>
          <w:rFonts w:ascii="Times New Roman" w:hAnsi="Times New Roman"/>
          <w:b/>
        </w:rPr>
        <w:t>Supplementary Figure 8.</w:t>
      </w:r>
    </w:p>
    <w:p w:rsidR="002224A4" w:rsidRDefault="002224A4" w:rsidP="002224A4">
      <w:pPr>
        <w:spacing w:line="360" w:lineRule="auto"/>
        <w:jc w:val="both"/>
        <w:rPr>
          <w:rFonts w:ascii="Times New Roman" w:hAnsi="Times New Roman"/>
          <w:color w:val="FF0000"/>
        </w:rPr>
      </w:pPr>
      <w:r>
        <w:rPr>
          <w:rFonts w:ascii="Times New Roman" w:hAnsi="Times New Roman"/>
          <w:b/>
          <w:bCs/>
        </w:rPr>
        <w:t xml:space="preserve">HLA-A2-based tracking of </w:t>
      </w:r>
      <w:bookmarkStart w:id="9" w:name="OLE_LINK14"/>
      <w:r>
        <w:rPr>
          <w:rFonts w:ascii="Times New Roman" w:hAnsi="Times New Roman"/>
          <w:b/>
          <w:bCs/>
        </w:rPr>
        <w:t>allogeneic</w:t>
      </w:r>
      <w:bookmarkEnd w:id="9"/>
      <w:r>
        <w:rPr>
          <w:rFonts w:ascii="Times New Roman" w:hAnsi="Times New Roman"/>
          <w:b/>
          <w:bCs/>
        </w:rPr>
        <w:t xml:space="preserve"> </w:t>
      </w:r>
      <w:r>
        <w:rPr>
          <w:rFonts w:ascii="Symbol" w:hAnsi="Symbol" w:hint="eastAsia"/>
          <w:b/>
          <w:bCs/>
        </w:rPr>
        <w:sym w:font="Symbol" w:char="F067"/>
      </w:r>
      <w:r>
        <w:rPr>
          <w:rFonts w:ascii="Times New Roman" w:hAnsi="Times New Roman"/>
          <w:b/>
          <w:bCs/>
        </w:rPr>
        <w:t xml:space="preserve">δ T cells in </w:t>
      </w:r>
      <w:r>
        <w:rPr>
          <w:rFonts w:ascii="Times New Roman" w:hAnsi="Times New Roman"/>
          <w:b/>
          <w:bCs/>
          <w:lang w:eastAsia="zh-CN"/>
        </w:rPr>
        <w:t xml:space="preserve">a </w:t>
      </w:r>
      <w:r>
        <w:rPr>
          <w:rFonts w:ascii="Times New Roman" w:hAnsi="Times New Roman"/>
          <w:b/>
          <w:bCs/>
        </w:rPr>
        <w:t>patient before and after NF-cell infusion.</w:t>
      </w:r>
      <w:r>
        <w:rPr>
          <w:rFonts w:ascii="Times New Roman" w:hAnsi="Times New Roman"/>
          <w:b/>
          <w:color w:val="0000FF"/>
        </w:rPr>
        <w:t xml:space="preserve"> </w:t>
      </w:r>
      <w:r>
        <w:rPr>
          <w:rFonts w:ascii="Times New Roman" w:hAnsi="Times New Roman"/>
          <w:color w:val="0000FF"/>
        </w:rPr>
        <w:t>Allogen</w:t>
      </w:r>
      <w:r>
        <w:rPr>
          <w:rFonts w:ascii="Times New Roman" w:hAnsi="Times New Roman"/>
          <w:color w:val="0000FF"/>
          <w:lang w:eastAsia="zh-CN"/>
        </w:rPr>
        <w:t>e</w:t>
      </w:r>
      <w:r>
        <w:rPr>
          <w:rFonts w:ascii="Times New Roman" w:hAnsi="Times New Roman"/>
          <w:color w:val="0000FF"/>
        </w:rPr>
        <w:t xml:space="preserve">ic </w:t>
      </w:r>
      <w:r>
        <w:rPr>
          <w:rFonts w:ascii="Symbol" w:hAnsi="Symbol" w:hint="eastAsia"/>
          <w:color w:val="0000FF"/>
        </w:rPr>
        <w:sym w:font="Symbol" w:char="F067"/>
      </w:r>
      <w:r>
        <w:rPr>
          <w:rFonts w:ascii="Times New Roman" w:hAnsi="Times New Roman"/>
          <w:color w:val="0000FF"/>
        </w:rPr>
        <w:t>δ T cells from healthy donor</w:t>
      </w:r>
      <w:r>
        <w:rPr>
          <w:rFonts w:ascii="Times New Roman" w:hAnsi="Times New Roman"/>
          <w:color w:val="0000FF"/>
          <w:lang w:eastAsia="zh-CN"/>
        </w:rPr>
        <w:t>s</w:t>
      </w:r>
      <w:r>
        <w:rPr>
          <w:rFonts w:ascii="Times New Roman" w:hAnsi="Times New Roman"/>
          <w:color w:val="0000FF"/>
        </w:rPr>
        <w:t xml:space="preserve"> were tracked to identify their persistence </w:t>
      </w:r>
      <w:r>
        <w:rPr>
          <w:rFonts w:ascii="Times New Roman" w:hAnsi="Times New Roman"/>
          <w:i/>
          <w:color w:val="0000FF"/>
        </w:rPr>
        <w:t>in vivo</w:t>
      </w:r>
      <w:r>
        <w:rPr>
          <w:rFonts w:ascii="Times New Roman" w:hAnsi="Times New Roman"/>
          <w:color w:val="0000FF"/>
        </w:rPr>
        <w:t xml:space="preserve"> by discriminating HLA-A2 molecules </w:t>
      </w:r>
      <w:r>
        <w:rPr>
          <w:rFonts w:ascii="Times New Roman" w:hAnsi="Times New Roman"/>
          <w:lang w:eastAsia="zh-CN"/>
        </w:rPr>
        <w:t>(</w:t>
      </w:r>
      <w:r>
        <w:rPr>
          <w:rFonts w:ascii="Times New Roman" w:eastAsia="Calibri" w:hAnsi="Times New Roman"/>
        </w:rPr>
        <w:t>BD Biosciences</w:t>
      </w:r>
      <w:r>
        <w:rPr>
          <w:rFonts w:ascii="Times New Roman" w:hAnsi="Times New Roman"/>
          <w:lang w:eastAsia="zh-CN"/>
        </w:rPr>
        <w:t xml:space="preserve">, clone: BB7.2). </w:t>
      </w:r>
      <w:r>
        <w:rPr>
          <w:rFonts w:ascii="Times New Roman" w:hAnsi="Times New Roman"/>
          <w:bCs/>
        </w:rPr>
        <w:t xml:space="preserve">NF-cells from one HLA-A2-positive donor were adoptively transferred into one HLA-A2-negative recipient. PBMCs were isolated from the patient periodically and analyzed by flow cytometry for HLA-A2-positive cells. </w:t>
      </w:r>
      <w:r>
        <w:rPr>
          <w:rFonts w:ascii="Times New Roman" w:hAnsi="Times New Roman"/>
          <w:bCs/>
          <w:lang w:eastAsia="zh-CN"/>
        </w:rPr>
        <w:t xml:space="preserve">In this representative example, the </w:t>
      </w:r>
      <w:r>
        <w:rPr>
          <w:rFonts w:ascii="Times New Roman" w:hAnsi="Times New Roman"/>
          <w:bCs/>
        </w:rPr>
        <w:t xml:space="preserve">percentage of allogeneic </w:t>
      </w:r>
      <w:r>
        <w:rPr>
          <w:rFonts w:ascii="Symbol" w:hAnsi="Symbol" w:hint="eastAsia"/>
        </w:rPr>
        <w:sym w:font="Symbol" w:char="F067"/>
      </w:r>
      <w:r>
        <w:rPr>
          <w:rFonts w:ascii="Times New Roman" w:hAnsi="Times New Roman"/>
        </w:rPr>
        <w:t xml:space="preserve">δ T cells in the </w:t>
      </w:r>
      <w:r>
        <w:rPr>
          <w:rFonts w:ascii="Times New Roman" w:hAnsi="Times New Roman"/>
        </w:rPr>
        <w:lastRenderedPageBreak/>
        <w:t>patient gradually decreased from 18.7% at 4 hours to 7.23% on day 10.</w:t>
      </w:r>
      <w:r>
        <w:rPr>
          <w:rFonts w:ascii="Times New Roman" w:hAnsi="Times New Roman"/>
          <w:color w:val="0000FF"/>
        </w:rPr>
        <w:t xml:space="preserve"> </w:t>
      </w:r>
      <w:r>
        <w:rPr>
          <w:rFonts w:ascii="Times New Roman" w:hAnsi="Times New Roman"/>
          <w:b/>
          <w:bCs/>
          <w:color w:val="0000FF"/>
        </w:rPr>
        <w:t>(A)</w:t>
      </w:r>
      <w:r>
        <w:rPr>
          <w:rFonts w:ascii="Times New Roman" w:hAnsi="Times New Roman"/>
          <w:color w:val="0000FF"/>
        </w:rPr>
        <w:t xml:space="preserve"> Flow cytometry gating strategy based on an isotype control. </w:t>
      </w:r>
      <w:r>
        <w:rPr>
          <w:rFonts w:ascii="Times New Roman" w:hAnsi="Times New Roman"/>
          <w:b/>
          <w:bCs/>
          <w:color w:val="0000FF"/>
        </w:rPr>
        <w:t xml:space="preserve">(B) </w:t>
      </w:r>
      <w:r>
        <w:rPr>
          <w:rFonts w:ascii="Times New Roman" w:hAnsi="Times New Roman"/>
          <w:color w:val="0000FF"/>
        </w:rPr>
        <w:t>Representative flow graphs for the HLA-A2 analysis.</w:t>
      </w:r>
    </w:p>
    <w:p w:rsidR="002224A4" w:rsidRDefault="002224A4" w:rsidP="002224A4">
      <w:pPr>
        <w:spacing w:line="360" w:lineRule="auto"/>
        <w:jc w:val="both"/>
        <w:rPr>
          <w:rFonts w:ascii="Times New Roman" w:hAnsi="Times New Roman"/>
          <w:bCs/>
        </w:rPr>
      </w:pPr>
    </w:p>
    <w:p w:rsidR="002224A4" w:rsidRDefault="002224A4" w:rsidP="002224A4">
      <w:pPr>
        <w:spacing w:line="360" w:lineRule="auto"/>
        <w:jc w:val="both"/>
        <w:rPr>
          <w:rFonts w:ascii="Times New Roman" w:hAnsi="Times New Roman"/>
          <w:sz w:val="22"/>
          <w:lang w:eastAsia="zh-CN"/>
        </w:rPr>
      </w:pPr>
    </w:p>
    <w:p w:rsidR="002224A4" w:rsidRDefault="002224A4" w:rsidP="002224A4">
      <w:pPr>
        <w:spacing w:line="360" w:lineRule="auto"/>
        <w:jc w:val="both"/>
        <w:rPr>
          <w:rFonts w:ascii="Times New Roman" w:hAnsi="Times New Roman"/>
        </w:rPr>
      </w:pPr>
      <w:r>
        <w:rPr>
          <w:rFonts w:ascii="Times New Roman" w:hAnsi="Times New Roman"/>
          <w:b/>
        </w:rPr>
        <w:t>Supplementary Table 3</w:t>
      </w:r>
      <w:r>
        <w:rPr>
          <w:rFonts w:ascii="Times New Roman" w:hAnsi="Times New Roman"/>
        </w:rPr>
        <w:t>.</w:t>
      </w:r>
    </w:p>
    <w:p w:rsidR="002224A4" w:rsidRDefault="002224A4" w:rsidP="002224A4">
      <w:pPr>
        <w:spacing w:line="360" w:lineRule="auto"/>
        <w:jc w:val="both"/>
        <w:rPr>
          <w:rFonts w:ascii="Times New Roman" w:hAnsi="Times New Roman"/>
          <w:sz w:val="22"/>
          <w:lang w:eastAsia="zh-CN"/>
        </w:rPr>
      </w:pPr>
      <w:r>
        <w:rPr>
          <w:rFonts w:ascii="Times New Roman" w:hAnsi="Times New Roman"/>
          <w:b/>
        </w:rPr>
        <w:t xml:space="preserve">Summary of clinical safety observations for allogeneic Vγ9Vδ2 T cell infusions. </w:t>
      </w:r>
      <w:r>
        <w:rPr>
          <w:rFonts w:ascii="Times New Roman" w:hAnsi="Times New Roman"/>
        </w:rPr>
        <w:t xml:space="preserve">No </w:t>
      </w:r>
      <w:r>
        <w:rPr>
          <w:rFonts w:ascii="Times New Roman" w:hAnsi="Times New Roman"/>
          <w:lang w:eastAsia="zh-CN"/>
        </w:rPr>
        <w:t>significant adverse effects (e.g., immune rejection, cytokine storm, or GVHD effects) were observed in 132 patients with a total number of 414 infusions.</w:t>
      </w:r>
    </w:p>
    <w:p w:rsidR="0090695E" w:rsidRDefault="0090695E">
      <w:bookmarkStart w:id="10" w:name="_GoBack"/>
      <w:bookmarkEnd w:id="10"/>
    </w:p>
    <w:sectPr w:rsidR="0090695E">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Editor" w:date="2020-07-21T18:41:00Z" w:initials="Ed">
    <w:p w:rsidR="002224A4" w:rsidRDefault="002224A4" w:rsidP="002224A4">
      <w:pPr>
        <w:pStyle w:val="CommentText"/>
      </w:pPr>
      <w:r>
        <w:rPr>
          <w:rStyle w:val="CommentReference"/>
        </w:rPr>
        <w:annotationRef/>
      </w:r>
      <w:r>
        <w:t>Please consider replacing the selected text with "mouse" or “donor”.</w:t>
      </w:r>
    </w:p>
  </w:comment>
  <w:comment w:id="5" w:author="Editor" w:date="2020-07-21T18:41:00Z" w:initials="Ed">
    <w:p w:rsidR="002224A4" w:rsidRDefault="002224A4" w:rsidP="002224A4">
      <w:pPr>
        <w:pStyle w:val="CommentText"/>
      </w:pPr>
      <w:r>
        <w:rPr>
          <w:rStyle w:val="CommentReference"/>
        </w:rPr>
        <w:annotationRef/>
      </w:r>
      <w:r>
        <w:t>Please consider replacing the selected text with "the figure".</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61002A87" w:usb1="80000000" w:usb2="00000008" w:usb3="00000000" w:csb0="000101F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doNotDisplayPageBoundaries/>
  <w:displayBackgroundShape/>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24A4"/>
    <w:rsid w:val="002224A4"/>
    <w:rsid w:val="009069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24A4"/>
    <w:pPr>
      <w:spacing w:after="0" w:line="240" w:lineRule="auto"/>
    </w:pPr>
    <w:rPr>
      <w:rFonts w:ascii="Cambria" w:eastAsia="SimSun" w:hAnsi="Cambria"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qFormat/>
    <w:rsid w:val="002224A4"/>
    <w:rPr>
      <w:rFonts w:ascii="Tahoma" w:hAnsi="Tahoma" w:cs="Tahoma"/>
      <w:sz w:val="16"/>
    </w:rPr>
  </w:style>
  <w:style w:type="character" w:customStyle="1" w:styleId="CommentTextChar">
    <w:name w:val="Comment Text Char"/>
    <w:basedOn w:val="DefaultParagraphFont"/>
    <w:link w:val="CommentText"/>
    <w:uiPriority w:val="99"/>
    <w:semiHidden/>
    <w:qFormat/>
    <w:rsid w:val="002224A4"/>
    <w:rPr>
      <w:rFonts w:ascii="Tahoma" w:eastAsia="SimSun" w:hAnsi="Tahoma" w:cs="Tahoma"/>
      <w:sz w:val="16"/>
      <w:szCs w:val="24"/>
    </w:rPr>
  </w:style>
  <w:style w:type="character" w:styleId="CommentReference">
    <w:name w:val="annotation reference"/>
    <w:semiHidden/>
    <w:unhideWhenUsed/>
    <w:rsid w:val="002224A4"/>
    <w:rPr>
      <w:rFonts w:ascii="Tahoma" w:hAnsi="Tahoma" w:cs="Tahoma" w:hint="default"/>
      <w:b w:val="0"/>
      <w:bCs w:val="0"/>
      <w:i w:val="0"/>
      <w:iCs w:val="0"/>
      <w:caps w:val="0"/>
      <w:strike w:val="0"/>
      <w:dstrike w:val="0"/>
      <w:sz w:val="16"/>
      <w:szCs w:val="21"/>
      <w:u w:val="none"/>
      <w:effect w:val="none"/>
    </w:rPr>
  </w:style>
  <w:style w:type="paragraph" w:styleId="BalloonText">
    <w:name w:val="Balloon Text"/>
    <w:basedOn w:val="Normal"/>
    <w:link w:val="BalloonTextChar"/>
    <w:uiPriority w:val="99"/>
    <w:semiHidden/>
    <w:unhideWhenUsed/>
    <w:rsid w:val="002224A4"/>
    <w:rPr>
      <w:rFonts w:ascii="Tahoma" w:hAnsi="Tahoma" w:cs="Tahoma"/>
      <w:sz w:val="16"/>
      <w:szCs w:val="16"/>
    </w:rPr>
  </w:style>
  <w:style w:type="character" w:customStyle="1" w:styleId="BalloonTextChar">
    <w:name w:val="Balloon Text Char"/>
    <w:basedOn w:val="DefaultParagraphFont"/>
    <w:link w:val="BalloonText"/>
    <w:uiPriority w:val="99"/>
    <w:semiHidden/>
    <w:rsid w:val="002224A4"/>
    <w:rPr>
      <w:rFonts w:ascii="Tahoma" w:eastAsia="SimSu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24A4"/>
    <w:pPr>
      <w:spacing w:after="0" w:line="240" w:lineRule="auto"/>
    </w:pPr>
    <w:rPr>
      <w:rFonts w:ascii="Cambria" w:eastAsia="SimSun" w:hAnsi="Cambria"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qFormat/>
    <w:rsid w:val="002224A4"/>
    <w:rPr>
      <w:rFonts w:ascii="Tahoma" w:hAnsi="Tahoma" w:cs="Tahoma"/>
      <w:sz w:val="16"/>
    </w:rPr>
  </w:style>
  <w:style w:type="character" w:customStyle="1" w:styleId="CommentTextChar">
    <w:name w:val="Comment Text Char"/>
    <w:basedOn w:val="DefaultParagraphFont"/>
    <w:link w:val="CommentText"/>
    <w:uiPriority w:val="99"/>
    <w:semiHidden/>
    <w:qFormat/>
    <w:rsid w:val="002224A4"/>
    <w:rPr>
      <w:rFonts w:ascii="Tahoma" w:eastAsia="SimSun" w:hAnsi="Tahoma" w:cs="Tahoma"/>
      <w:sz w:val="16"/>
      <w:szCs w:val="24"/>
    </w:rPr>
  </w:style>
  <w:style w:type="character" w:styleId="CommentReference">
    <w:name w:val="annotation reference"/>
    <w:semiHidden/>
    <w:unhideWhenUsed/>
    <w:rsid w:val="002224A4"/>
    <w:rPr>
      <w:rFonts w:ascii="Tahoma" w:hAnsi="Tahoma" w:cs="Tahoma" w:hint="default"/>
      <w:b w:val="0"/>
      <w:bCs w:val="0"/>
      <w:i w:val="0"/>
      <w:iCs w:val="0"/>
      <w:caps w:val="0"/>
      <w:strike w:val="0"/>
      <w:dstrike w:val="0"/>
      <w:sz w:val="16"/>
      <w:szCs w:val="21"/>
      <w:u w:val="none"/>
      <w:effect w:val="none"/>
    </w:rPr>
  </w:style>
  <w:style w:type="paragraph" w:styleId="BalloonText">
    <w:name w:val="Balloon Text"/>
    <w:basedOn w:val="Normal"/>
    <w:link w:val="BalloonTextChar"/>
    <w:uiPriority w:val="99"/>
    <w:semiHidden/>
    <w:unhideWhenUsed/>
    <w:rsid w:val="002224A4"/>
    <w:rPr>
      <w:rFonts w:ascii="Tahoma" w:hAnsi="Tahoma" w:cs="Tahoma"/>
      <w:sz w:val="16"/>
      <w:szCs w:val="16"/>
    </w:rPr>
  </w:style>
  <w:style w:type="character" w:customStyle="1" w:styleId="BalloonTextChar">
    <w:name w:val="Balloon Text Char"/>
    <w:basedOn w:val="DefaultParagraphFont"/>
    <w:link w:val="BalloonText"/>
    <w:uiPriority w:val="99"/>
    <w:semiHidden/>
    <w:rsid w:val="002224A4"/>
    <w:rPr>
      <w:rFonts w:ascii="Tahoma" w:eastAsia="SimSu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422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989</Words>
  <Characters>5638</Characters>
  <Application>Microsoft Office Word</Application>
  <DocSecurity>0</DocSecurity>
  <Lines>46</Lines>
  <Paragraphs>13</Paragraphs>
  <ScaleCrop>false</ScaleCrop>
  <Company/>
  <LinksUpToDate>false</LinksUpToDate>
  <CharactersWithSpaces>6614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NPGuser 5</dc:creator>
  <cp:lastModifiedBy>NPGuser 5</cp:lastModifiedBy>
  <cp:revision>1</cp:revision>
  <dcterms:created xsi:type="dcterms:W3CDTF">2020-07-21T13:11:00Z</dcterms:created>
  <dcterms:modified xsi:type="dcterms:W3CDTF">2020-07-21T13:11:00Z</dcterms:modified>
</cp:coreProperties>
</file>