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49D4E" w14:textId="11AC19FE" w:rsidR="00943AB7" w:rsidRPr="00943AB7" w:rsidRDefault="00943AB7">
      <w:pPr>
        <w:rPr>
          <w:rFonts w:ascii="Times New Roman" w:hAnsi="Times New Roman" w:cs="Times New Roman"/>
          <w:sz w:val="28"/>
          <w:szCs w:val="28"/>
        </w:rPr>
      </w:pPr>
      <w:r w:rsidRPr="00943AB7">
        <w:rPr>
          <w:rFonts w:ascii="Times New Roman" w:hAnsi="Times New Roman" w:cs="Times New Roman" w:hint="eastAsia"/>
          <w:sz w:val="28"/>
          <w:szCs w:val="28"/>
        </w:rPr>
        <w:t>S</w:t>
      </w:r>
      <w:r w:rsidRPr="00943AB7">
        <w:rPr>
          <w:rFonts w:ascii="Times New Roman" w:hAnsi="Times New Roman" w:cs="Times New Roman"/>
          <w:sz w:val="28"/>
          <w:szCs w:val="28"/>
        </w:rPr>
        <w:t>upplementary information</w:t>
      </w:r>
    </w:p>
    <w:p w14:paraId="126DF1A1" w14:textId="1EDB647D" w:rsidR="00943AB7" w:rsidRPr="00943AB7" w:rsidRDefault="00943AB7">
      <w:pPr>
        <w:rPr>
          <w:rFonts w:ascii="Times New Roman" w:hAnsi="Times New Roman" w:cs="Times New Roman"/>
          <w:sz w:val="24"/>
          <w:szCs w:val="24"/>
        </w:rPr>
      </w:pPr>
    </w:p>
    <w:p w14:paraId="2BA6657C" w14:textId="3B43DE57" w:rsidR="00943AB7" w:rsidRPr="00943AB7" w:rsidRDefault="00943AB7" w:rsidP="00943AB7">
      <w:pPr>
        <w:spacing w:line="480" w:lineRule="auto"/>
        <w:rPr>
          <w:rFonts w:ascii="Times New Roman" w:hAnsi="Times New Roman" w:cs="Times New Roman" w:hint="eastAsia"/>
          <w:sz w:val="24"/>
          <w:szCs w:val="24"/>
        </w:rPr>
      </w:pPr>
      <w:r w:rsidRPr="00943AB7">
        <w:rPr>
          <w:rFonts w:ascii="Times New Roman" w:hAnsi="Times New Roman" w:cs="Times New Roman"/>
          <w:b/>
          <w:bCs/>
          <w:sz w:val="24"/>
          <w:szCs w:val="24"/>
        </w:rPr>
        <w:t>Figure S1.</w:t>
      </w:r>
      <w:r w:rsidRPr="00943AB7">
        <w:rPr>
          <w:rFonts w:ascii="Times New Roman" w:hAnsi="Times New Roman" w:cs="Times New Roman"/>
          <w:sz w:val="24"/>
          <w:szCs w:val="24"/>
        </w:rPr>
        <w:t xml:space="preserve"> According to the Young-Laplace equation, capillary pressure difference across the interface between a static liquid and air is determined with principal radii of curvature (R1 and R2) and surface tension (σ). The derived equations describe pressure differences in case of circle and polygon shaped mesh gap. For circle and square cases, we can calculate it, but for other polygon shape, it is necessary to experimentally obtain the shape value (k). </w:t>
      </w:r>
      <w:r w:rsidRPr="00943AB7">
        <w:rPr>
          <w:rFonts w:ascii="Cambria Math" w:hAnsi="Cambria Math" w:cs="Cambria Math"/>
          <w:sz w:val="24"/>
          <w:szCs w:val="24"/>
        </w:rPr>
        <w:t>𝜃</w:t>
      </w:r>
      <w:r w:rsidRPr="00943AB7">
        <w:rPr>
          <w:rFonts w:ascii="Times New Roman" w:hAnsi="Times New Roman" w:cs="Times New Roman"/>
          <w:sz w:val="24"/>
          <w:szCs w:val="24"/>
        </w:rPr>
        <w:t>_</w:t>
      </w:r>
      <w:proofErr w:type="gramStart"/>
      <w:r w:rsidRPr="00943AB7">
        <w:rPr>
          <w:rFonts w:ascii="Cambria Math" w:hAnsi="Cambria Math" w:cs="Cambria Math"/>
          <w:sz w:val="24"/>
          <w:szCs w:val="24"/>
        </w:rPr>
        <w:t>𝐴𝐶</w:t>
      </w:r>
      <w:r w:rsidRPr="00943AB7">
        <w:rPr>
          <w:rFonts w:ascii="Times New Roman" w:hAnsi="Times New Roman" w:cs="Times New Roman"/>
          <w:sz w:val="24"/>
          <w:szCs w:val="24"/>
        </w:rPr>
        <w:t xml:space="preserve"> :</w:t>
      </w:r>
      <w:proofErr w:type="gramEnd"/>
      <w:r w:rsidRPr="00943AB7">
        <w:rPr>
          <w:rFonts w:ascii="Times New Roman" w:hAnsi="Times New Roman" w:cs="Times New Roman"/>
          <w:sz w:val="24"/>
          <w:szCs w:val="24"/>
        </w:rPr>
        <w:t xml:space="preserve"> advancing contact angle between 3d printed micromesh and liquid, </w:t>
      </w:r>
      <w:r w:rsidRPr="00943AB7">
        <w:rPr>
          <w:rFonts w:ascii="바탕" w:eastAsia="바탕" w:hAnsi="바탕" w:cs="바탕" w:hint="eastAsia"/>
          <w:sz w:val="24"/>
          <w:szCs w:val="24"/>
        </w:rPr>
        <w:t>∆</w:t>
      </w:r>
      <w:r w:rsidRPr="00943AB7">
        <w:rPr>
          <w:rFonts w:ascii="Cambria Math" w:hAnsi="Cambria Math" w:cs="Cambria Math"/>
          <w:sz w:val="24"/>
          <w:szCs w:val="24"/>
        </w:rPr>
        <w:t>𝑃</w:t>
      </w:r>
      <w:r w:rsidRPr="00943AB7">
        <w:rPr>
          <w:rFonts w:ascii="Times New Roman" w:hAnsi="Times New Roman" w:cs="Times New Roman"/>
          <w:sz w:val="24"/>
          <w:szCs w:val="24"/>
        </w:rPr>
        <w:t xml:space="preserve"> : burst pressure, </w:t>
      </w:r>
      <w:r w:rsidRPr="00943AB7">
        <w:rPr>
          <w:rFonts w:ascii="Cambria Math" w:hAnsi="Cambria Math" w:cs="Cambria Math"/>
          <w:sz w:val="24"/>
          <w:szCs w:val="24"/>
        </w:rPr>
        <w:t>𝜃</w:t>
      </w:r>
      <w:r w:rsidRPr="00943AB7">
        <w:rPr>
          <w:rFonts w:ascii="Times New Roman" w:hAnsi="Times New Roman" w:cs="Times New Roman"/>
          <w:sz w:val="24"/>
          <w:szCs w:val="24"/>
        </w:rPr>
        <w:t>_</w:t>
      </w:r>
      <w:r w:rsidRPr="00943AB7">
        <w:rPr>
          <w:rFonts w:ascii="Cambria Math" w:hAnsi="Cambria Math" w:cs="Cambria Math"/>
          <w:sz w:val="24"/>
          <w:szCs w:val="24"/>
        </w:rPr>
        <w:t>𝐵𝑢𝑟𝑠𝑡</w:t>
      </w:r>
      <w:r w:rsidRPr="00943AB7">
        <w:rPr>
          <w:rFonts w:ascii="Times New Roman" w:hAnsi="Times New Roman" w:cs="Times New Roman"/>
          <w:sz w:val="24"/>
          <w:szCs w:val="24"/>
        </w:rPr>
        <w:t xml:space="preserve">  : contact angle between 3d printed micromesh and liquid when liquid burst out, </w:t>
      </w:r>
      <w:r w:rsidRPr="00943AB7">
        <w:rPr>
          <w:rFonts w:ascii="Cambria Math" w:hAnsi="Cambria Math" w:cs="Cambria Math"/>
          <w:sz w:val="24"/>
          <w:szCs w:val="24"/>
        </w:rPr>
        <w:t>𝜆</w:t>
      </w:r>
      <w:r w:rsidRPr="00943AB7">
        <w:rPr>
          <w:rFonts w:ascii="Times New Roman" w:hAnsi="Times New Roman" w:cs="Times New Roman"/>
          <w:sz w:val="24"/>
          <w:szCs w:val="24"/>
        </w:rPr>
        <w:t>_</w:t>
      </w:r>
      <w:r w:rsidRPr="00943AB7">
        <w:rPr>
          <w:rFonts w:ascii="Cambria Math" w:hAnsi="Cambria Math" w:cs="Cambria Math"/>
          <w:sz w:val="24"/>
          <w:szCs w:val="24"/>
        </w:rPr>
        <w:t>𝑒𝑥𝑝</w:t>
      </w:r>
      <w:r w:rsidRPr="00943AB7">
        <w:rPr>
          <w:rFonts w:ascii="Times New Roman" w:hAnsi="Times New Roman" w:cs="Times New Roman"/>
          <w:sz w:val="24"/>
          <w:szCs w:val="24"/>
        </w:rPr>
        <w:t xml:space="preserve">  : effective inner radius</w:t>
      </w:r>
    </w:p>
    <w:p w14:paraId="676078D6" w14:textId="35B59283" w:rsidR="00943AB7" w:rsidRPr="00943AB7" w:rsidRDefault="00943AB7" w:rsidP="00943AB7">
      <w:pPr>
        <w:spacing w:line="480" w:lineRule="auto"/>
        <w:rPr>
          <w:rFonts w:ascii="Times New Roman" w:hAnsi="Times New Roman" w:cs="Times New Roman" w:hint="eastAsia"/>
          <w:sz w:val="24"/>
          <w:szCs w:val="24"/>
        </w:rPr>
      </w:pPr>
      <w:r w:rsidRPr="00943AB7">
        <w:rPr>
          <w:rFonts w:ascii="Times New Roman" w:hAnsi="Times New Roman" w:cs="Times New Roman"/>
          <w:b/>
          <w:bCs/>
          <w:sz w:val="24"/>
          <w:szCs w:val="24"/>
        </w:rPr>
        <w:t>Figure S2.</w:t>
      </w:r>
      <w:r w:rsidRPr="00943AB7">
        <w:rPr>
          <w:rFonts w:ascii="Times New Roman" w:hAnsi="Times New Roman" w:cs="Times New Roman"/>
          <w:sz w:val="24"/>
          <w:szCs w:val="24"/>
        </w:rPr>
        <w:t xml:space="preserve"> (A) Illustration of Experimental set-up. Endothelial cells are placed in the middle channel for formation of the blood vessel with two adjourn two lung fibroblast channels to secret angiogenic growth factors. All cells seed with fibrin hydrogel. (B, C) Confocal microscope images to confirm blood vessel networks formed inside the Hy-MAP in day 5. Scale bar = 1mm (B), Scale bar = 100 </w:t>
      </w:r>
      <w:proofErr w:type="spellStart"/>
      <w:r w:rsidRPr="00943AB7">
        <w:rPr>
          <w:rFonts w:ascii="Times New Roman" w:hAnsi="Times New Roman" w:cs="Times New Roman"/>
          <w:sz w:val="24"/>
          <w:szCs w:val="24"/>
        </w:rPr>
        <w:t>μm</w:t>
      </w:r>
      <w:proofErr w:type="spellEnd"/>
      <w:r w:rsidRPr="00943AB7">
        <w:rPr>
          <w:rFonts w:ascii="Times New Roman" w:hAnsi="Times New Roman" w:cs="Times New Roman"/>
          <w:sz w:val="24"/>
          <w:szCs w:val="24"/>
        </w:rPr>
        <w:t xml:space="preserve"> (C).</w:t>
      </w:r>
    </w:p>
    <w:p w14:paraId="1536088E" w14:textId="3A029703" w:rsidR="00943AB7" w:rsidRPr="00943AB7" w:rsidRDefault="00943AB7" w:rsidP="00943AB7">
      <w:pPr>
        <w:spacing w:line="480" w:lineRule="auto"/>
        <w:rPr>
          <w:rFonts w:ascii="Times New Roman" w:hAnsi="Times New Roman" w:cs="Times New Roman" w:hint="eastAsia"/>
          <w:sz w:val="24"/>
          <w:szCs w:val="24"/>
        </w:rPr>
      </w:pPr>
      <w:r w:rsidRPr="00943AB7">
        <w:rPr>
          <w:rFonts w:ascii="Times New Roman" w:hAnsi="Times New Roman" w:cs="Times New Roman"/>
          <w:b/>
          <w:bCs/>
          <w:sz w:val="24"/>
          <w:szCs w:val="24"/>
        </w:rPr>
        <w:t>Figure S3.</w:t>
      </w:r>
      <w:r w:rsidRPr="00943AB7">
        <w:rPr>
          <w:rFonts w:ascii="Times New Roman" w:hAnsi="Times New Roman" w:cs="Times New Roman"/>
          <w:sz w:val="24"/>
          <w:szCs w:val="24"/>
        </w:rPr>
        <w:t xml:space="preserve"> (A) Detailed design and patterning procedure of 3D-MMP. Design of the 3D-MMP is as same as in Figure 5(A).  U-87 MG cells was placed in cancer zone with fibrin gel by dipping and draining, HUVECs and LFs are patterned in vascular zone by dipping.  (B) Confocal microscope images of vasculature in Day 3. Both U-87 MG and HUVECs express blue signal (DAPI), only HUVECs in vascular zone express green signal (CD31) (C) The expression levels of CD31 and GFAP in each zone were determined through western blot analysis at day 3.  Representative immunoblots for CD31 and GFAP are shown. ß-actin used as a loading control. Scale bar = 400 </w:t>
      </w:r>
      <w:proofErr w:type="spellStart"/>
      <w:r w:rsidRPr="00943AB7">
        <w:rPr>
          <w:rFonts w:ascii="Times New Roman" w:hAnsi="Times New Roman" w:cs="Times New Roman"/>
          <w:sz w:val="24"/>
          <w:szCs w:val="24"/>
        </w:rPr>
        <w:t>μm</w:t>
      </w:r>
      <w:proofErr w:type="spellEnd"/>
      <w:r w:rsidRPr="00943AB7">
        <w:rPr>
          <w:rFonts w:ascii="Times New Roman" w:hAnsi="Times New Roman" w:cs="Times New Roman"/>
          <w:sz w:val="24"/>
          <w:szCs w:val="24"/>
        </w:rPr>
        <w:t xml:space="preserve"> (B)</w:t>
      </w:r>
    </w:p>
    <w:sectPr w:rsidR="00943AB7" w:rsidRPr="00943AB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AB7"/>
    <w:rsid w:val="00466E46"/>
    <w:rsid w:val="00943AB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E79D0"/>
  <w15:chartTrackingRefBased/>
  <w15:docId w15:val="{B7D9AE16-5258-47D9-8A69-1FCD5F90F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264</Words>
  <Characters>1505</Characters>
  <Application>Microsoft Office Word</Application>
  <DocSecurity>0</DocSecurity>
  <Lines>12</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Suryong</dc:creator>
  <cp:keywords/>
  <dc:description/>
  <cp:lastModifiedBy>Kim Suryong</cp:lastModifiedBy>
  <cp:revision>1</cp:revision>
  <dcterms:created xsi:type="dcterms:W3CDTF">2021-09-21T10:29:00Z</dcterms:created>
  <dcterms:modified xsi:type="dcterms:W3CDTF">2021-09-21T11:41:00Z</dcterms:modified>
</cp:coreProperties>
</file>