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E892F" w14:textId="6F2C5624" w:rsidR="00514AEC" w:rsidRPr="00514AEC" w:rsidRDefault="00514AEC" w:rsidP="002B378F">
      <w:pPr>
        <w:spacing w:beforeLines="100" w:before="360"/>
        <w:contextualSpacing/>
        <w:jc w:val="center"/>
        <w:rPr>
          <w:b/>
          <w:szCs w:val="24"/>
          <w:u w:val="single"/>
        </w:rPr>
      </w:pPr>
      <w:r w:rsidRPr="00514AEC">
        <w:rPr>
          <w:b/>
          <w:szCs w:val="24"/>
          <w:u w:val="single"/>
        </w:rPr>
        <w:t>Supporting Information</w:t>
      </w:r>
    </w:p>
    <w:p w14:paraId="286A2BC4" w14:textId="5ECA8C20" w:rsidR="002B378F" w:rsidRPr="00514AEC" w:rsidRDefault="002B378F" w:rsidP="002B378F">
      <w:pPr>
        <w:spacing w:beforeLines="100" w:before="360"/>
        <w:contextualSpacing/>
        <w:jc w:val="center"/>
        <w:rPr>
          <w:i/>
          <w:szCs w:val="24"/>
        </w:rPr>
      </w:pPr>
      <w:r w:rsidRPr="00514AEC">
        <w:rPr>
          <w:b/>
          <w:szCs w:val="24"/>
        </w:rPr>
        <w:t>Comparison of the microtubules stabilized with anti-cancer drugs cevipabulin and paclitaxel</w:t>
      </w:r>
    </w:p>
    <w:p w14:paraId="0C1DC34A" w14:textId="77777777" w:rsidR="002B378F" w:rsidRPr="00514AEC" w:rsidRDefault="002B378F" w:rsidP="002B378F">
      <w:pPr>
        <w:spacing w:beforeLines="100" w:before="360"/>
        <w:contextualSpacing/>
        <w:rPr>
          <w:i/>
          <w:szCs w:val="24"/>
        </w:rPr>
      </w:pPr>
      <w:r w:rsidRPr="00514AEC">
        <w:rPr>
          <w:i/>
          <w:szCs w:val="24"/>
        </w:rPr>
        <w:t>Syeda Rubaiya Nasrin</w:t>
      </w:r>
      <w:r w:rsidRPr="00514AEC">
        <w:rPr>
          <w:i/>
          <w:szCs w:val="24"/>
          <w:vertAlign w:val="superscript"/>
        </w:rPr>
        <w:t>1</w:t>
      </w:r>
      <w:r w:rsidRPr="00514AEC">
        <w:rPr>
          <w:i/>
          <w:szCs w:val="24"/>
        </w:rPr>
        <w:t>, Tsukasa Ishihara</w:t>
      </w:r>
      <w:r w:rsidRPr="00514AEC">
        <w:rPr>
          <w:i/>
          <w:szCs w:val="24"/>
          <w:vertAlign w:val="superscript"/>
        </w:rPr>
        <w:t>2</w:t>
      </w:r>
      <w:r w:rsidRPr="00514AEC">
        <w:rPr>
          <w:i/>
          <w:szCs w:val="24"/>
        </w:rPr>
        <w:t>, Arif Md. Rashedul Kabir</w:t>
      </w:r>
      <w:r w:rsidRPr="00514AEC">
        <w:rPr>
          <w:i/>
          <w:szCs w:val="24"/>
          <w:vertAlign w:val="superscript"/>
        </w:rPr>
        <w:t>1</w:t>
      </w:r>
      <w:r w:rsidRPr="00514AEC">
        <w:rPr>
          <w:i/>
          <w:szCs w:val="24"/>
        </w:rPr>
        <w:t>, Akihiko Konagaya</w:t>
      </w:r>
      <w:r w:rsidRPr="00514AEC">
        <w:rPr>
          <w:i/>
          <w:szCs w:val="24"/>
          <w:vertAlign w:val="superscript"/>
        </w:rPr>
        <w:t>3</w:t>
      </w:r>
      <w:r w:rsidRPr="00514AEC">
        <w:rPr>
          <w:i/>
          <w:szCs w:val="24"/>
        </w:rPr>
        <w:t>, Kazuki Sada</w:t>
      </w:r>
      <w:r w:rsidRPr="00514AEC">
        <w:rPr>
          <w:i/>
          <w:szCs w:val="24"/>
          <w:vertAlign w:val="superscript"/>
        </w:rPr>
        <w:t>1,4</w:t>
      </w:r>
      <w:r w:rsidRPr="00514AEC">
        <w:rPr>
          <w:i/>
          <w:szCs w:val="24"/>
        </w:rPr>
        <w:t>, and Akira Kakugo*</w:t>
      </w:r>
      <w:r w:rsidRPr="00514AEC">
        <w:rPr>
          <w:i/>
          <w:szCs w:val="24"/>
          <w:vertAlign w:val="superscript"/>
        </w:rPr>
        <w:t>1,4</w:t>
      </w:r>
    </w:p>
    <w:p w14:paraId="6CD9B37D" w14:textId="77777777" w:rsidR="002B378F" w:rsidRPr="00514AEC" w:rsidRDefault="002B378F" w:rsidP="002B378F">
      <w:pPr>
        <w:spacing w:beforeLines="50" w:before="180"/>
        <w:rPr>
          <w:szCs w:val="24"/>
          <w:vertAlign w:val="superscript"/>
        </w:rPr>
      </w:pPr>
    </w:p>
    <w:p w14:paraId="76C7B8CB" w14:textId="77777777" w:rsidR="002B378F" w:rsidRPr="00514AEC" w:rsidRDefault="002B378F" w:rsidP="002B378F">
      <w:pPr>
        <w:spacing w:beforeLines="50" w:before="180"/>
        <w:rPr>
          <w:szCs w:val="24"/>
        </w:rPr>
      </w:pPr>
      <w:r w:rsidRPr="00514AEC">
        <w:rPr>
          <w:szCs w:val="24"/>
          <w:vertAlign w:val="superscript"/>
        </w:rPr>
        <w:t>1</w:t>
      </w:r>
      <w:r w:rsidRPr="00514AEC">
        <w:rPr>
          <w:szCs w:val="24"/>
        </w:rPr>
        <w:t xml:space="preserve"> Faculty of Science, Hokkaido University, </w:t>
      </w:r>
      <w:r w:rsidRPr="00514AEC">
        <w:rPr>
          <w:iCs/>
          <w:szCs w:val="24"/>
        </w:rPr>
        <w:t xml:space="preserve">Sapporo 060-0810, Hokkaido, </w:t>
      </w:r>
      <w:r w:rsidRPr="00514AEC">
        <w:rPr>
          <w:szCs w:val="24"/>
        </w:rPr>
        <w:t>Japan.</w:t>
      </w:r>
    </w:p>
    <w:p w14:paraId="670943A6" w14:textId="77777777" w:rsidR="002B378F" w:rsidRPr="00514AEC" w:rsidRDefault="002B378F" w:rsidP="002B378F">
      <w:pPr>
        <w:spacing w:beforeLines="50" w:before="180" w:afterLines="50" w:after="180"/>
        <w:rPr>
          <w:szCs w:val="24"/>
        </w:rPr>
      </w:pPr>
      <w:r w:rsidRPr="00514AEC">
        <w:rPr>
          <w:szCs w:val="24"/>
          <w:vertAlign w:val="superscript"/>
        </w:rPr>
        <w:t>2</w:t>
      </w:r>
      <w:r w:rsidRPr="00514AEC">
        <w:rPr>
          <w:szCs w:val="24"/>
        </w:rPr>
        <w:t xml:space="preserve"> Biomedical Research Institute, National Institute of Advanced Industrial Science and Technology (AIST), Tsukuba, Ibaraki, 305-8566, Japan.</w:t>
      </w:r>
      <w:r w:rsidRPr="00514AEC">
        <w:rPr>
          <w:szCs w:val="24"/>
          <w:vertAlign w:val="superscript"/>
        </w:rPr>
        <w:t xml:space="preserve"> </w:t>
      </w:r>
    </w:p>
    <w:p w14:paraId="6975138A" w14:textId="77777777" w:rsidR="002B378F" w:rsidRPr="00514AEC" w:rsidRDefault="002B378F" w:rsidP="002B378F">
      <w:pPr>
        <w:spacing w:beforeLines="50" w:before="180"/>
        <w:rPr>
          <w:szCs w:val="24"/>
          <w:vertAlign w:val="superscript"/>
        </w:rPr>
      </w:pPr>
      <w:r w:rsidRPr="00514AEC">
        <w:rPr>
          <w:szCs w:val="24"/>
          <w:vertAlign w:val="superscript"/>
        </w:rPr>
        <w:t xml:space="preserve">3 </w:t>
      </w:r>
      <w:r w:rsidRPr="00514AEC">
        <w:rPr>
          <w:szCs w:val="24"/>
        </w:rPr>
        <w:t>Department of Computational Intelligence and Systems Science, Tokyo Institute of Technology, Yokohama, 226-8502, Japan.</w:t>
      </w:r>
    </w:p>
    <w:p w14:paraId="4B7B85F9" w14:textId="77777777" w:rsidR="002B378F" w:rsidRPr="00514AEC" w:rsidRDefault="002B378F" w:rsidP="002B378F">
      <w:pPr>
        <w:spacing w:beforeLines="50" w:before="180"/>
        <w:rPr>
          <w:szCs w:val="24"/>
        </w:rPr>
      </w:pPr>
      <w:r w:rsidRPr="00514AEC">
        <w:rPr>
          <w:szCs w:val="24"/>
          <w:vertAlign w:val="superscript"/>
        </w:rPr>
        <w:t xml:space="preserve">4 </w:t>
      </w:r>
      <w:r w:rsidRPr="00514AEC">
        <w:rPr>
          <w:szCs w:val="24"/>
        </w:rPr>
        <w:t>Graduate School of Chemical Sciences and Engineering, Hokkaido University, Sapporo 060-0810, Hokkaido, Japan.</w:t>
      </w:r>
    </w:p>
    <w:p w14:paraId="5CCF906D" w14:textId="77777777" w:rsidR="002B378F" w:rsidRPr="00514AEC" w:rsidRDefault="002B378F" w:rsidP="002B378F">
      <w:pPr>
        <w:spacing w:beforeLines="100" w:before="360" w:afterLines="100" w:after="360"/>
        <w:contextualSpacing/>
        <w:rPr>
          <w:szCs w:val="24"/>
          <w:vertAlign w:val="superscript"/>
        </w:rPr>
      </w:pPr>
    </w:p>
    <w:p w14:paraId="21E47FD0" w14:textId="77777777" w:rsidR="002B378F" w:rsidRPr="00514AEC" w:rsidRDefault="002B378F" w:rsidP="002B378F">
      <w:pPr>
        <w:rPr>
          <w:szCs w:val="24"/>
        </w:rPr>
      </w:pPr>
      <w:r w:rsidRPr="00514AEC">
        <w:rPr>
          <w:szCs w:val="24"/>
          <w:vertAlign w:val="superscript"/>
        </w:rPr>
        <w:t>*</w:t>
      </w:r>
      <w:r w:rsidRPr="00514AEC">
        <w:rPr>
          <w:szCs w:val="24"/>
        </w:rPr>
        <w:t xml:space="preserve">Corresponding author </w:t>
      </w:r>
    </w:p>
    <w:p w14:paraId="56081CB6" w14:textId="77777777" w:rsidR="002B378F" w:rsidRPr="00514AEC" w:rsidRDefault="002B378F" w:rsidP="002B378F">
      <w:pPr>
        <w:rPr>
          <w:bCs/>
          <w:iCs/>
          <w:szCs w:val="24"/>
        </w:rPr>
      </w:pPr>
      <w:r w:rsidRPr="00514AEC">
        <w:rPr>
          <w:bCs/>
          <w:iCs/>
          <w:szCs w:val="24"/>
        </w:rPr>
        <w:t>E-mail: kakugo@sci.hokudai.ac.jp</w:t>
      </w:r>
    </w:p>
    <w:p w14:paraId="469D92D1" w14:textId="77777777" w:rsidR="002B378F" w:rsidRPr="00514AEC" w:rsidRDefault="002B378F" w:rsidP="002B378F">
      <w:pPr>
        <w:widowControl/>
        <w:spacing w:after="240" w:line="240" w:lineRule="auto"/>
        <w:jc w:val="left"/>
        <w:rPr>
          <w:bCs/>
          <w:iCs/>
          <w:szCs w:val="24"/>
        </w:rPr>
      </w:pPr>
      <w:r w:rsidRPr="00514AEC">
        <w:rPr>
          <w:bCs/>
          <w:iCs/>
          <w:szCs w:val="24"/>
        </w:rPr>
        <w:t>Tel/Fax: +81-11-706-3474</w:t>
      </w:r>
    </w:p>
    <w:p w14:paraId="2951D8BE" w14:textId="1CCEA513" w:rsidR="00CB48DA" w:rsidRPr="00514AEC" w:rsidRDefault="00514AEC" w:rsidP="00514AEC">
      <w:pPr>
        <w:widowControl/>
        <w:spacing w:after="240" w:line="240" w:lineRule="auto"/>
        <w:jc w:val="left"/>
        <w:rPr>
          <w:rFonts w:cs="Times New Roman"/>
          <w:b/>
          <w:color w:val="222222"/>
          <w:szCs w:val="24"/>
          <w:shd w:val="clear" w:color="auto" w:fill="FFFFFF"/>
        </w:rPr>
      </w:pPr>
      <w:r>
        <w:rPr>
          <w:rFonts w:cs="Times New Roman"/>
          <w:b/>
          <w:color w:val="222222"/>
          <w:szCs w:val="24"/>
          <w:shd w:val="clear" w:color="auto" w:fill="FFFFFF"/>
        </w:rPr>
        <w:lastRenderedPageBreak/>
        <w:t xml:space="preserve">S1. </w:t>
      </w:r>
      <w:r w:rsidR="00CB48DA" w:rsidRPr="00514AEC">
        <w:rPr>
          <w:rFonts w:cs="Times New Roman" w:hint="eastAsia"/>
          <w:b/>
          <w:color w:val="222222"/>
          <w:szCs w:val="24"/>
          <w:shd w:val="clear" w:color="auto" w:fill="FFFFFF"/>
        </w:rPr>
        <w:t xml:space="preserve">Scheme. </w:t>
      </w:r>
      <w:r w:rsidR="00CB48DA" w:rsidRPr="00514AEC">
        <w:rPr>
          <w:rFonts w:cs="Times New Roman"/>
          <w:b/>
          <w:color w:val="222222"/>
          <w:szCs w:val="24"/>
          <w:shd w:val="clear" w:color="auto" w:fill="FFFFFF"/>
        </w:rPr>
        <w:t>Synthesis of Cevipabulin-R</w:t>
      </w:r>
    </w:p>
    <w:p w14:paraId="51B411FE" w14:textId="1F0720EB" w:rsidR="00CB48DA" w:rsidRDefault="00D34C8E" w:rsidP="00F24B0A">
      <w:pPr>
        <w:spacing w:after="240"/>
        <w:rPr>
          <w:rFonts w:cs="Times New Roman"/>
          <w:b/>
          <w:color w:val="222222"/>
          <w:szCs w:val="24"/>
          <w:shd w:val="clear" w:color="auto" w:fill="FFFFFF"/>
        </w:rPr>
      </w:pPr>
      <w:r>
        <w:rPr>
          <w:rFonts w:cs="Times New Roman"/>
          <w:b/>
          <w:color w:val="222222"/>
          <w:szCs w:val="24"/>
          <w:shd w:val="clear" w:color="auto" w:fill="FFFFFF"/>
        </w:rPr>
        <w:drawing>
          <wp:inline distT="0" distB="0" distL="0" distR="0" wp14:anchorId="69150CF2" wp14:editId="22BE15B7">
            <wp:extent cx="5286374" cy="1346200"/>
            <wp:effectExtent l="0" t="0" r="0"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37737"/>
                    <a:stretch/>
                  </pic:blipFill>
                  <pic:spPr bwMode="auto">
                    <a:xfrm>
                      <a:off x="0" y="0"/>
                      <a:ext cx="5332755" cy="1358011"/>
                    </a:xfrm>
                    <a:prstGeom prst="rect">
                      <a:avLst/>
                    </a:prstGeom>
                    <a:noFill/>
                    <a:ln>
                      <a:noFill/>
                    </a:ln>
                    <a:extLst>
                      <a:ext uri="{53640926-AAD7-44D8-BBD7-CCE9431645EC}">
                        <a14:shadowObscured xmlns:a14="http://schemas.microsoft.com/office/drawing/2010/main"/>
                      </a:ext>
                    </a:extLst>
                  </pic:spPr>
                </pic:pic>
              </a:graphicData>
            </a:graphic>
          </wp:inline>
        </w:drawing>
      </w:r>
    </w:p>
    <w:p w14:paraId="2353932A" w14:textId="272412FD" w:rsidR="00CC61F0" w:rsidRPr="00CC61F0" w:rsidRDefault="00CC61F0" w:rsidP="00CC61F0">
      <w:pPr>
        <w:widowControl/>
        <w:spacing w:line="240" w:lineRule="auto"/>
        <w:ind w:left="360"/>
        <w:jc w:val="center"/>
        <w:rPr>
          <w:rFonts w:cs="Times New Roman"/>
          <w:color w:val="222222"/>
          <w:szCs w:val="24"/>
          <w:shd w:val="clear" w:color="auto" w:fill="FFFFFF"/>
        </w:rPr>
      </w:pPr>
      <w:r w:rsidRPr="00CC61F0">
        <w:rPr>
          <w:rFonts w:cs="Times New Roman"/>
          <w:color w:val="222222"/>
          <w:szCs w:val="24"/>
          <w:shd w:val="clear" w:color="auto" w:fill="FFFFFF"/>
        </w:rPr>
        <w:tab/>
      </w:r>
      <w:r w:rsidRPr="00CC61F0">
        <w:rPr>
          <w:rFonts w:cs="Times New Roman"/>
          <w:color w:val="222222"/>
          <w:szCs w:val="24"/>
          <w:shd w:val="clear" w:color="auto" w:fill="FFFFFF"/>
        </w:rPr>
        <w:tab/>
      </w:r>
      <w:r w:rsidRPr="00CC61F0">
        <w:rPr>
          <w:rFonts w:cs="Times New Roman"/>
          <w:color w:val="222222"/>
          <w:szCs w:val="24"/>
          <w:shd w:val="clear" w:color="auto" w:fill="FFFFFF"/>
        </w:rPr>
        <w:tab/>
      </w:r>
      <w:r w:rsidRPr="00CC61F0">
        <w:rPr>
          <w:rFonts w:cs="Times New Roman"/>
          <w:color w:val="222222"/>
          <w:szCs w:val="24"/>
          <w:shd w:val="clear" w:color="auto" w:fill="FFFFFF"/>
        </w:rPr>
        <w:tab/>
      </w:r>
      <w:r w:rsidRPr="00CC61F0">
        <w:rPr>
          <w:rFonts w:cs="Times New Roman"/>
          <w:color w:val="222222"/>
          <w:szCs w:val="24"/>
          <w:shd w:val="clear" w:color="auto" w:fill="FFFFFF"/>
        </w:rPr>
        <w:tab/>
      </w:r>
      <w:r w:rsidRPr="00CC61F0">
        <w:rPr>
          <w:rFonts w:cs="Times New Roman"/>
          <w:color w:val="222222"/>
          <w:szCs w:val="24"/>
          <w:shd w:val="clear" w:color="auto" w:fill="FFFFFF"/>
        </w:rPr>
        <w:tab/>
        <w:t>Cevipabulin-R</w:t>
      </w:r>
    </w:p>
    <w:p w14:paraId="38E6FD18" w14:textId="77777777" w:rsidR="00CC61F0" w:rsidRDefault="00CC61F0" w:rsidP="00CC61F0">
      <w:pPr>
        <w:spacing w:after="240"/>
        <w:jc w:val="left"/>
        <w:rPr>
          <w:rFonts w:cs="Times New Roman"/>
          <w:color w:val="222222"/>
          <w:szCs w:val="24"/>
          <w:shd w:val="clear" w:color="auto" w:fill="FFFFFF"/>
        </w:rPr>
      </w:pPr>
      <w:r>
        <w:rPr>
          <w:rFonts w:cs="Times New Roman"/>
          <w:color w:val="222222"/>
          <w:szCs w:val="24"/>
          <w:shd w:val="clear" w:color="auto" w:fill="FFFFFF"/>
        </w:rPr>
        <w:t xml:space="preserve"> </w:t>
      </w:r>
    </w:p>
    <w:p w14:paraId="65CFB88A" w14:textId="7153DA34" w:rsidR="00A1697E" w:rsidRDefault="00B402D5" w:rsidP="00CC61F0">
      <w:pPr>
        <w:spacing w:after="240"/>
        <w:jc w:val="left"/>
        <w:rPr>
          <w:rFonts w:cs="Times New Roman"/>
          <w:color w:val="222222"/>
          <w:szCs w:val="24"/>
          <w:shd w:val="clear" w:color="auto" w:fill="FFFFFF"/>
        </w:rPr>
      </w:pPr>
      <w:r>
        <w:rPr>
          <w:rFonts w:cs="Times New Roman"/>
          <w:color w:val="222222"/>
          <w:szCs w:val="24"/>
          <w:shd w:val="clear" w:color="auto" w:fill="FFFFFF"/>
        </w:rPr>
        <w:t>(a)</w:t>
      </w:r>
      <w:r w:rsidR="00D651DE">
        <w:rPr>
          <w:rFonts w:cs="Times New Roman" w:hint="eastAsia"/>
          <w:color w:val="222222"/>
          <w:szCs w:val="24"/>
          <w:shd w:val="clear" w:color="auto" w:fill="FFFFFF"/>
        </w:rPr>
        <w:t xml:space="preserve"> </w:t>
      </w:r>
      <w:r w:rsidR="0016708C" w:rsidRPr="0016708C">
        <w:rPr>
          <w:color w:val="222222"/>
          <w:shd w:val="clear" w:color="auto" w:fill="FFFFFF"/>
        </w:rPr>
        <w:t>3-(</w:t>
      </w:r>
      <w:r w:rsidR="00FA1767">
        <w:rPr>
          <w:color w:val="222222"/>
          <w:shd w:val="clear" w:color="auto" w:fill="FFFFFF"/>
        </w:rPr>
        <w:t>B</w:t>
      </w:r>
      <w:r w:rsidR="0016708C" w:rsidRPr="0016708C">
        <w:rPr>
          <w:color w:val="222222"/>
          <w:shd w:val="clear" w:color="auto" w:fill="FFFFFF"/>
        </w:rPr>
        <w:t>utylamino)propan-1-ol</w:t>
      </w:r>
      <w:r w:rsidR="008C7ED5" w:rsidRPr="00F9354F">
        <w:rPr>
          <w:rFonts w:cs="Times New Roman"/>
          <w:color w:val="222222"/>
          <w:szCs w:val="24"/>
          <w:shd w:val="clear" w:color="auto" w:fill="FFFFFF"/>
        </w:rPr>
        <w:t xml:space="preserve">, </w:t>
      </w:r>
      <w:r w:rsidR="0016708C">
        <w:rPr>
          <w:rFonts w:cs="Times New Roman"/>
          <w:color w:val="222222"/>
          <w:szCs w:val="24"/>
          <w:shd w:val="clear" w:color="auto" w:fill="FFFFFF"/>
        </w:rPr>
        <w:t>NaH, DMF</w:t>
      </w:r>
      <w:r w:rsidR="00B1276C">
        <w:rPr>
          <w:rFonts w:cs="Times New Roman"/>
          <w:color w:val="222222"/>
          <w:szCs w:val="24"/>
          <w:shd w:val="clear" w:color="auto" w:fill="FFFFFF"/>
        </w:rPr>
        <w:t>, 60</w:t>
      </w:r>
      <w:r w:rsidR="00B1276C">
        <w:rPr>
          <w:rFonts w:cs="Times New Roman" w:hint="eastAsia"/>
          <w:color w:val="222222"/>
          <w:szCs w:val="24"/>
          <w:shd w:val="clear" w:color="auto" w:fill="FFFFFF"/>
        </w:rPr>
        <w:t xml:space="preserve"> </w:t>
      </w:r>
      <w:r w:rsidR="00B1276C" w:rsidRPr="00B1276C">
        <w:rPr>
          <w:color w:val="000000"/>
          <w:szCs w:val="24"/>
        </w:rPr>
        <w:t>°C</w:t>
      </w:r>
    </w:p>
    <w:p w14:paraId="111FE685" w14:textId="6547E44F" w:rsidR="00336C4D" w:rsidRDefault="00336C4D">
      <w:pPr>
        <w:widowControl/>
        <w:spacing w:line="240" w:lineRule="auto"/>
        <w:jc w:val="left"/>
        <w:rPr>
          <w:rFonts w:cs="Times New Roman"/>
          <w:color w:val="222222"/>
          <w:szCs w:val="24"/>
          <w:shd w:val="clear" w:color="auto" w:fill="FFFFFF"/>
        </w:rPr>
      </w:pPr>
      <w:r>
        <w:rPr>
          <w:rFonts w:cs="Times New Roman"/>
          <w:color w:val="222222"/>
          <w:szCs w:val="24"/>
          <w:shd w:val="clear" w:color="auto" w:fill="FFFFFF"/>
        </w:rPr>
        <w:br w:type="page"/>
      </w:r>
    </w:p>
    <w:p w14:paraId="120EA74F" w14:textId="28F3477D" w:rsidR="00336C4D" w:rsidRPr="00514AEC" w:rsidRDefault="00514AEC" w:rsidP="00514AEC">
      <w:pPr>
        <w:widowControl/>
        <w:spacing w:line="240" w:lineRule="auto"/>
        <w:jc w:val="left"/>
        <w:rPr>
          <w:rFonts w:cs="Times New Roman"/>
          <w:b/>
          <w:bCs/>
          <w:color w:val="222222"/>
          <w:szCs w:val="24"/>
          <w:shd w:val="clear" w:color="auto" w:fill="FFFFFF"/>
        </w:rPr>
      </w:pPr>
      <w:r w:rsidRPr="00514AEC">
        <w:rPr>
          <w:rFonts w:cs="Times New Roman"/>
          <w:b/>
          <w:bCs/>
          <w:color w:val="222222"/>
          <w:szCs w:val="24"/>
          <w:shd w:val="clear" w:color="auto" w:fill="FFFFFF"/>
        </w:rPr>
        <w:lastRenderedPageBreak/>
        <w:t xml:space="preserve">S2. </w:t>
      </w:r>
      <w:r w:rsidR="00336C4D" w:rsidRPr="00514AEC">
        <w:rPr>
          <w:rFonts w:cs="Times New Roman"/>
          <w:b/>
          <w:bCs/>
          <w:color w:val="222222"/>
          <w:szCs w:val="24"/>
          <w:shd w:val="clear" w:color="auto" w:fill="FFFFFF"/>
        </w:rPr>
        <w:t>1H-NMR of Cevipabulin-R</w:t>
      </w:r>
    </w:p>
    <w:p w14:paraId="20B44583" w14:textId="77777777" w:rsidR="00336C4D" w:rsidRPr="00336C4D" w:rsidRDefault="00336C4D" w:rsidP="00336C4D">
      <w:pPr>
        <w:pStyle w:val="ListParagraph"/>
        <w:widowControl/>
        <w:spacing w:line="240" w:lineRule="auto"/>
        <w:jc w:val="left"/>
        <w:rPr>
          <w:rFonts w:cs="Times New Roman"/>
          <w:b/>
          <w:bCs/>
          <w:color w:val="222222"/>
          <w:szCs w:val="24"/>
          <w:shd w:val="clear" w:color="auto" w:fill="FFFFFF"/>
        </w:rPr>
      </w:pPr>
    </w:p>
    <w:p w14:paraId="15570514" w14:textId="456FCF4A" w:rsidR="002349DD" w:rsidRDefault="00336C4D" w:rsidP="00336C4D">
      <w:pPr>
        <w:widowControl/>
        <w:spacing w:line="240" w:lineRule="auto"/>
        <w:jc w:val="center"/>
        <w:rPr>
          <w:rFonts w:cs="Times New Roman"/>
          <w:color w:val="222222"/>
          <w:szCs w:val="24"/>
          <w:shd w:val="clear" w:color="auto" w:fill="FFFFFF"/>
        </w:rPr>
      </w:pPr>
      <w:r>
        <w:drawing>
          <wp:inline distT="0" distB="0" distL="0" distR="0" wp14:anchorId="5A34BDA2" wp14:editId="0AB8DE53">
            <wp:extent cx="7605463" cy="5213616"/>
            <wp:effectExtent l="0" t="4127"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30" t="223" r="-76" b="5450"/>
                    <a:stretch/>
                  </pic:blipFill>
                  <pic:spPr bwMode="auto">
                    <a:xfrm rot="16200000">
                      <a:off x="0" y="0"/>
                      <a:ext cx="7646032" cy="5241426"/>
                    </a:xfrm>
                    <a:prstGeom prst="rect">
                      <a:avLst/>
                    </a:prstGeom>
                    <a:ln>
                      <a:noFill/>
                    </a:ln>
                    <a:extLst>
                      <a:ext uri="{53640926-AAD7-44D8-BBD7-CCE9431645EC}">
                        <a14:shadowObscured xmlns:a14="http://schemas.microsoft.com/office/drawing/2010/main"/>
                      </a:ext>
                    </a:extLst>
                  </pic:spPr>
                </pic:pic>
              </a:graphicData>
            </a:graphic>
          </wp:inline>
        </w:drawing>
      </w:r>
    </w:p>
    <w:p w14:paraId="2BC18B37" w14:textId="3F3F4074" w:rsidR="00384521" w:rsidRDefault="00A34522" w:rsidP="00384521">
      <w:pPr>
        <w:widowControl/>
        <w:spacing w:line="240" w:lineRule="auto"/>
        <w:jc w:val="center"/>
        <w:rPr>
          <w:rFonts w:cs="Times New Roman"/>
          <w:b/>
          <w:bCs/>
          <w:color w:val="222222"/>
          <w:szCs w:val="24"/>
          <w:u w:val="single"/>
          <w:shd w:val="clear" w:color="auto" w:fill="FFFFFF"/>
        </w:rPr>
      </w:pPr>
      <w:r w:rsidRPr="009D3BC0">
        <w:rPr>
          <w:rFonts w:cs="Times New Roman"/>
          <w:b/>
          <w:bCs/>
          <w:color w:val="222222"/>
          <w:szCs w:val="24"/>
          <w:u w:val="single"/>
          <w:shd w:val="clear" w:color="auto" w:fill="FFFFFF"/>
        </w:rPr>
        <w:lastRenderedPageBreak/>
        <w:t>SUPPORTING FIGURES</w:t>
      </w:r>
    </w:p>
    <w:p w14:paraId="49DFDD95" w14:textId="2460ABB3" w:rsidR="00523214" w:rsidRDefault="00E357CB" w:rsidP="00384521">
      <w:pPr>
        <w:widowControl/>
        <w:spacing w:line="240" w:lineRule="auto"/>
        <w:jc w:val="center"/>
        <w:rPr>
          <w:rFonts w:cs="Times New Roman"/>
          <w:b/>
          <w:bCs/>
          <w:color w:val="222222"/>
          <w:szCs w:val="24"/>
          <w:u w:val="single"/>
          <w:shd w:val="clear" w:color="auto" w:fill="FFFFFF"/>
        </w:rPr>
      </w:pPr>
      <w:r w:rsidRPr="00E357CB">
        <w:rPr>
          <w:rFonts w:cs="Times New Roman"/>
          <w:color w:val="222222"/>
          <w:szCs w:val="24"/>
          <w:shd w:val="clear" w:color="auto" w:fill="FFFFFF"/>
        </w:rPr>
        <w:drawing>
          <wp:inline distT="0" distB="0" distL="0" distR="0" wp14:anchorId="2BA7C80C" wp14:editId="0555A838">
            <wp:extent cx="4667250" cy="5255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T polymerization schem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4143" cy="5262808"/>
                    </a:xfrm>
                    <a:prstGeom prst="rect">
                      <a:avLst/>
                    </a:prstGeom>
                  </pic:spPr>
                </pic:pic>
              </a:graphicData>
            </a:graphic>
          </wp:inline>
        </w:drawing>
      </w:r>
    </w:p>
    <w:p w14:paraId="1137EA1F" w14:textId="69293A15" w:rsidR="00B10C65" w:rsidRDefault="0057437E" w:rsidP="00A34522">
      <w:pPr>
        <w:widowControl/>
        <w:spacing w:line="240" w:lineRule="auto"/>
        <w:rPr>
          <w:rFonts w:cs="Times New Roman"/>
          <w:color w:val="222222"/>
          <w:szCs w:val="24"/>
          <w:shd w:val="clear" w:color="auto" w:fill="FFFFFF"/>
        </w:rPr>
      </w:pPr>
      <w:r w:rsidRPr="00A34522">
        <w:rPr>
          <w:rFonts w:cs="Times New Roman"/>
          <w:b/>
          <w:bCs/>
          <w:color w:val="222222"/>
          <w:szCs w:val="24"/>
          <w:shd w:val="clear" w:color="auto" w:fill="FFFFFF"/>
        </w:rPr>
        <w:t>Figure S1</w:t>
      </w:r>
      <w:r w:rsidRPr="0057437E">
        <w:rPr>
          <w:rFonts w:cs="Times New Roman"/>
          <w:color w:val="222222"/>
          <w:szCs w:val="24"/>
          <w:shd w:val="clear" w:color="auto" w:fill="FFFFFF"/>
        </w:rPr>
        <w:t>.</w:t>
      </w:r>
      <w:r w:rsidR="00B10C65">
        <w:rPr>
          <w:rFonts w:cs="Times New Roman"/>
          <w:color w:val="222222"/>
          <w:szCs w:val="24"/>
          <w:shd w:val="clear" w:color="auto" w:fill="FFFFFF"/>
        </w:rPr>
        <w:t xml:space="preserve"> The tubulin heterodimer </w:t>
      </w:r>
      <w:r w:rsidR="00B10C65">
        <w:rPr>
          <w:rFonts w:cs="Times New Roman"/>
          <w:color w:val="222222"/>
          <w:szCs w:val="24"/>
          <w:shd w:val="clear" w:color="auto" w:fill="FFFFFF"/>
        </w:rPr>
        <w:t>(a)</w:t>
      </w:r>
      <w:r w:rsidR="00B10C65">
        <w:rPr>
          <w:rFonts w:cs="Times New Roman"/>
          <w:color w:val="222222"/>
          <w:szCs w:val="24"/>
          <w:shd w:val="clear" w:color="auto" w:fill="FFFFFF"/>
        </w:rPr>
        <w:t xml:space="preserve"> consists of α-tubulin and β-tubulin. These are</w:t>
      </w:r>
      <w:r w:rsidR="00B10C65" w:rsidRPr="00B10C65">
        <w:rPr>
          <w:rFonts w:cs="Times New Roman"/>
          <w:color w:val="222222"/>
          <w:szCs w:val="24"/>
          <w:shd w:val="clear" w:color="auto" w:fill="FFFFFF"/>
        </w:rPr>
        <w:t xml:space="preserve"> </w:t>
      </w:r>
      <w:r w:rsidR="00B10C65">
        <w:rPr>
          <w:rFonts w:cs="Times New Roman"/>
          <w:color w:val="222222"/>
          <w:szCs w:val="24"/>
          <w:shd w:val="clear" w:color="auto" w:fill="FFFFFF"/>
        </w:rPr>
        <w:t>globular proteins</w:t>
      </w:r>
      <w:r w:rsidR="00B10C65">
        <w:rPr>
          <w:rFonts w:cs="Times New Roman"/>
          <w:color w:val="222222"/>
          <w:szCs w:val="24"/>
          <w:shd w:val="clear" w:color="auto" w:fill="FFFFFF"/>
        </w:rPr>
        <w:t xml:space="preserve">, each having a diameter of 4nm. </w:t>
      </w:r>
      <w:r w:rsidR="00E357CB">
        <w:rPr>
          <w:rFonts w:cs="Times New Roman"/>
          <w:color w:val="222222"/>
          <w:szCs w:val="24"/>
          <w:shd w:val="clear" w:color="auto" w:fill="FFFFFF"/>
        </w:rPr>
        <w:t xml:space="preserve">The vertical and horizontal red arrows indicate the positions of the vinca alkaloid domain and the taxoid site of the </w:t>
      </w:r>
      <w:r w:rsidR="00E357CB">
        <w:rPr>
          <w:rFonts w:cs="Times New Roman"/>
          <w:color w:val="222222"/>
          <w:szCs w:val="24"/>
          <w:shd w:val="clear" w:color="auto" w:fill="FFFFFF"/>
        </w:rPr>
        <w:t>β-tubulin</w:t>
      </w:r>
      <w:r w:rsidR="00E357CB">
        <w:rPr>
          <w:rFonts w:cs="Times New Roman"/>
          <w:color w:val="222222"/>
          <w:szCs w:val="24"/>
          <w:shd w:val="clear" w:color="auto" w:fill="FFFFFF"/>
        </w:rPr>
        <w:t xml:space="preserve">, respectively. </w:t>
      </w:r>
      <w:r w:rsidR="00B10C65">
        <w:rPr>
          <w:rFonts w:cs="Times New Roman"/>
          <w:color w:val="222222"/>
          <w:szCs w:val="24"/>
          <w:shd w:val="clear" w:color="auto" w:fill="FFFFFF"/>
        </w:rPr>
        <w:t>In vitro, in the given experimental condition, the tubulin heterodimers assemble themselves in the presence of GTP to form the cylindrical microtubule (b) structure. The outer diameter of the microtubule is maintained to be 25 nm. The microtubule structure is dynamic, i.e., it may be depolymerized into tubulins. Therefore, to stabilize its structure in vitro, microtubule-stabilizing agents, here, paclitaxel, cevipabulin, and cevipabulin-R are added</w:t>
      </w:r>
      <w:r w:rsidR="00E357CB">
        <w:rPr>
          <w:rFonts w:cs="Times New Roman"/>
          <w:color w:val="222222"/>
          <w:szCs w:val="24"/>
          <w:shd w:val="clear" w:color="auto" w:fill="FFFFFF"/>
        </w:rPr>
        <w:t xml:space="preserve"> (c)</w:t>
      </w:r>
      <w:r w:rsidR="00B10C65">
        <w:rPr>
          <w:rFonts w:cs="Times New Roman"/>
          <w:color w:val="222222"/>
          <w:szCs w:val="24"/>
          <w:shd w:val="clear" w:color="auto" w:fill="FFFFFF"/>
        </w:rPr>
        <w:t>.</w:t>
      </w:r>
      <w:r w:rsidR="00E357CB">
        <w:rPr>
          <w:rFonts w:cs="Times New Roman"/>
          <w:color w:val="222222"/>
          <w:szCs w:val="24"/>
          <w:shd w:val="clear" w:color="auto" w:fill="FFFFFF"/>
        </w:rPr>
        <w:t xml:space="preserve"> Paclitaxel binds to the taxoid site of the </w:t>
      </w:r>
      <w:r w:rsidR="00E357CB">
        <w:rPr>
          <w:rFonts w:cs="Times New Roman"/>
          <w:color w:val="222222"/>
          <w:szCs w:val="24"/>
          <w:shd w:val="clear" w:color="auto" w:fill="FFFFFF"/>
        </w:rPr>
        <w:t>β-tubulin</w:t>
      </w:r>
      <w:r w:rsidR="00E357CB">
        <w:rPr>
          <w:rFonts w:cs="Times New Roman"/>
          <w:color w:val="222222"/>
          <w:szCs w:val="24"/>
          <w:shd w:val="clear" w:color="auto" w:fill="FFFFFF"/>
        </w:rPr>
        <w:t xml:space="preserve"> and facilitates the inter-dimer interactions to stabilize the microtubule structure. Cevipabulin and cevipabulin-R bind to both </w:t>
      </w:r>
      <w:r w:rsidR="00E357CB" w:rsidRPr="00E357CB">
        <w:rPr>
          <w:rFonts w:cs="Times New Roman"/>
          <w:color w:val="222222"/>
          <w:szCs w:val="24"/>
          <w:shd w:val="clear" w:color="auto" w:fill="FFFFFF"/>
        </w:rPr>
        <w:t>the taxoid site and the vinca alkaloid domain of β-tubulin of microtubules</w:t>
      </w:r>
      <w:r w:rsidR="00E357CB">
        <w:rPr>
          <w:rFonts w:cs="Times New Roman"/>
          <w:color w:val="222222"/>
          <w:szCs w:val="24"/>
          <w:shd w:val="clear" w:color="auto" w:fill="FFFFFF"/>
        </w:rPr>
        <w:t xml:space="preserve"> </w:t>
      </w:r>
      <w:r w:rsidR="00E357CB" w:rsidRPr="00E357CB">
        <w:rPr>
          <w:rFonts w:cs="Times New Roman"/>
          <w:color w:val="222222"/>
          <w:szCs w:val="24"/>
          <w:shd w:val="clear" w:color="auto" w:fill="FFFFFF"/>
          <w:vertAlign w:val="superscript"/>
        </w:rPr>
        <w:t>20</w:t>
      </w:r>
      <w:r w:rsidR="00E357CB">
        <w:rPr>
          <w:rFonts w:cs="Times New Roman"/>
          <w:color w:val="222222"/>
          <w:szCs w:val="24"/>
          <w:shd w:val="clear" w:color="auto" w:fill="FFFFFF"/>
        </w:rPr>
        <w:t xml:space="preserve">.  </w:t>
      </w:r>
    </w:p>
    <w:p w14:paraId="2F1E1556" w14:textId="65676022" w:rsidR="002349DD" w:rsidRDefault="002349DD" w:rsidP="009D3BC0">
      <w:pPr>
        <w:widowControl/>
        <w:spacing w:line="240" w:lineRule="auto"/>
        <w:jc w:val="center"/>
        <w:rPr>
          <w:rFonts w:cs="Times New Roman"/>
          <w:color w:val="222222"/>
          <w:szCs w:val="24"/>
          <w:shd w:val="clear" w:color="auto" w:fill="FFFFFF"/>
        </w:rPr>
      </w:pPr>
      <w:r>
        <w:rPr>
          <w:rFonts w:cs="Times New Roman"/>
          <w:color w:val="222222"/>
          <w:szCs w:val="24"/>
          <w:shd w:val="clear" w:color="auto" w:fill="FFFFFF"/>
        </w:rPr>
        <w:lastRenderedPageBreak/>
        <w:drawing>
          <wp:inline distT="0" distB="0" distL="0" distR="0" wp14:anchorId="6F3FF82E" wp14:editId="37649E06">
            <wp:extent cx="4971643" cy="6912001"/>
            <wp:effectExtent l="0" t="0" r="0" b="0"/>
            <wp:docPr id="3" name="Picture 3" descr="A picture containing colorful, kite, colored,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 tubulin cevipabulin models.png"/>
                    <pic:cNvPicPr/>
                  </pic:nvPicPr>
                  <pic:blipFill rotWithShape="1">
                    <a:blip r:embed="rId10">
                      <a:extLst>
                        <a:ext uri="{28A0092B-C50C-407E-A947-70E740481C1C}">
                          <a14:useLocalDpi xmlns:a14="http://schemas.microsoft.com/office/drawing/2010/main" val="0"/>
                        </a:ext>
                      </a:extLst>
                    </a:blip>
                    <a:srcRect l="5527" t="3245" r="3693"/>
                    <a:stretch/>
                  </pic:blipFill>
                  <pic:spPr bwMode="auto">
                    <a:xfrm>
                      <a:off x="0" y="0"/>
                      <a:ext cx="4988110" cy="6934894"/>
                    </a:xfrm>
                    <a:prstGeom prst="rect">
                      <a:avLst/>
                    </a:prstGeom>
                    <a:ln>
                      <a:noFill/>
                    </a:ln>
                    <a:extLst>
                      <a:ext uri="{53640926-AAD7-44D8-BBD7-CCE9431645EC}">
                        <a14:shadowObscured xmlns:a14="http://schemas.microsoft.com/office/drawing/2010/main"/>
                      </a:ext>
                    </a:extLst>
                  </pic:spPr>
                </pic:pic>
              </a:graphicData>
            </a:graphic>
          </wp:inline>
        </w:drawing>
      </w:r>
    </w:p>
    <w:p w14:paraId="483D1A9E" w14:textId="7BAB5CD5" w:rsidR="00A34522" w:rsidRDefault="009D3BC0" w:rsidP="00A34522">
      <w:pPr>
        <w:widowControl/>
        <w:spacing w:line="240" w:lineRule="auto"/>
        <w:rPr>
          <w:rFonts w:cs="Times New Roman"/>
          <w:i/>
          <w:color w:val="222222"/>
          <w:szCs w:val="24"/>
          <w:shd w:val="clear" w:color="auto" w:fill="FFFFFF"/>
        </w:rPr>
      </w:pPr>
      <w:r w:rsidRPr="00A34522">
        <w:rPr>
          <w:rFonts w:cs="Times New Roman"/>
          <w:b/>
          <w:bCs/>
          <w:color w:val="222222"/>
          <w:szCs w:val="24"/>
          <w:shd w:val="clear" w:color="auto" w:fill="FFFFFF"/>
        </w:rPr>
        <w:t>Figure S</w:t>
      </w:r>
      <w:r w:rsidR="009510B0" w:rsidRPr="00A34522">
        <w:rPr>
          <w:rFonts w:cs="Times New Roman"/>
          <w:b/>
          <w:bCs/>
          <w:color w:val="222222"/>
          <w:szCs w:val="24"/>
          <w:shd w:val="clear" w:color="auto" w:fill="FFFFFF"/>
        </w:rPr>
        <w:t>2</w:t>
      </w:r>
      <w:r w:rsidRPr="00A34522">
        <w:rPr>
          <w:rFonts w:cs="Times New Roman"/>
          <w:b/>
          <w:bCs/>
          <w:color w:val="222222"/>
          <w:szCs w:val="24"/>
          <w:shd w:val="clear" w:color="auto" w:fill="FFFFFF"/>
        </w:rPr>
        <w:t xml:space="preserve">. </w:t>
      </w:r>
      <w:r w:rsidR="00A34522" w:rsidRPr="00A34522">
        <w:rPr>
          <w:color w:val="222222"/>
          <w:szCs w:val="24"/>
          <w:shd w:val="clear" w:color="auto" w:fill="FFFFFF"/>
        </w:rPr>
        <w:t xml:space="preserve">10 energetically </w:t>
      </w:r>
      <w:r w:rsidR="00A34522" w:rsidRPr="00A34522">
        <w:rPr>
          <w:bCs/>
          <w:color w:val="222222"/>
          <w:szCs w:val="24"/>
          <w:shd w:val="clear" w:color="auto" w:fill="FFFFFF"/>
        </w:rPr>
        <w:t>most favorable complexes of</w:t>
      </w:r>
      <w:r w:rsidR="00A34522" w:rsidRPr="00A34522">
        <w:rPr>
          <w:rFonts w:cs="Times New Roman"/>
          <w:bCs/>
          <w:iCs/>
          <w:szCs w:val="24"/>
        </w:rPr>
        <w:t xml:space="preserve"> β-tubulin and cevipabulin molecule. The position of the docked cevipabulin molecule in the protein is indicated by the red arrows. The paclitaxel binding sites (taxoid sites) are indicated by the vertical arrows and the vinca alkaloid domains are ind</w:t>
      </w:r>
      <w:r w:rsidR="00614626">
        <w:rPr>
          <w:rFonts w:cs="Times New Roman"/>
          <w:bCs/>
          <w:iCs/>
          <w:szCs w:val="24"/>
        </w:rPr>
        <w:t>i</w:t>
      </w:r>
      <w:r w:rsidR="00A34522" w:rsidRPr="00A34522">
        <w:rPr>
          <w:rFonts w:cs="Times New Roman"/>
          <w:bCs/>
          <w:iCs/>
          <w:szCs w:val="24"/>
        </w:rPr>
        <w:t>cated by the horizontal arrows. The GTP bound to the β-tubulin monomers are also indicated in each complex.</w:t>
      </w:r>
      <w:r w:rsidR="00A34522">
        <w:rPr>
          <w:rFonts w:cs="Times New Roman"/>
          <w:bCs/>
          <w:iCs/>
          <w:szCs w:val="24"/>
        </w:rPr>
        <w:t xml:space="preserve"> </w:t>
      </w:r>
      <w:bookmarkStart w:id="0" w:name="_GoBack"/>
      <w:bookmarkEnd w:id="0"/>
      <w:r w:rsidR="00A34522">
        <w:rPr>
          <w:rFonts w:cs="Times New Roman"/>
          <w:i/>
          <w:color w:val="222222"/>
          <w:szCs w:val="24"/>
          <w:shd w:val="clear" w:color="auto" w:fill="FFFFFF"/>
        </w:rPr>
        <w:br w:type="page"/>
      </w:r>
    </w:p>
    <w:p w14:paraId="23243D8E" w14:textId="7DDC4C5D" w:rsidR="00CC61F0" w:rsidRDefault="004B228C" w:rsidP="00336C4D">
      <w:pPr>
        <w:widowControl/>
        <w:spacing w:line="240" w:lineRule="auto"/>
        <w:jc w:val="center"/>
        <w:rPr>
          <w:rFonts w:cs="Times New Roman"/>
          <w:color w:val="222222"/>
          <w:szCs w:val="24"/>
          <w:shd w:val="clear" w:color="auto" w:fill="FFFFFF"/>
        </w:rPr>
      </w:pPr>
      <w:r>
        <w:rPr>
          <w:rFonts w:cs="Times New Roman"/>
          <w:color w:val="222222"/>
          <w:szCs w:val="24"/>
          <w:shd w:val="clear" w:color="auto" w:fill="FFFFFF"/>
        </w:rPr>
        <w:lastRenderedPageBreak/>
        <w:drawing>
          <wp:inline distT="0" distB="0" distL="0" distR="0" wp14:anchorId="216E50CE" wp14:editId="5C6912F0">
            <wp:extent cx="4872204" cy="708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 tubulin cevipabulinR models.png"/>
                    <pic:cNvPicPr/>
                  </pic:nvPicPr>
                  <pic:blipFill rotWithShape="1">
                    <a:blip r:embed="rId11">
                      <a:extLst>
                        <a:ext uri="{28A0092B-C50C-407E-A947-70E740481C1C}">
                          <a14:useLocalDpi xmlns:a14="http://schemas.microsoft.com/office/drawing/2010/main" val="0"/>
                        </a:ext>
                      </a:extLst>
                    </a:blip>
                    <a:srcRect l="7996" t="3674" r="6045" b="1072"/>
                    <a:stretch/>
                  </pic:blipFill>
                  <pic:spPr bwMode="auto">
                    <a:xfrm>
                      <a:off x="0" y="0"/>
                      <a:ext cx="4886207" cy="7106968"/>
                    </a:xfrm>
                    <a:prstGeom prst="rect">
                      <a:avLst/>
                    </a:prstGeom>
                    <a:ln>
                      <a:noFill/>
                    </a:ln>
                    <a:extLst>
                      <a:ext uri="{53640926-AAD7-44D8-BBD7-CCE9431645EC}">
                        <a14:shadowObscured xmlns:a14="http://schemas.microsoft.com/office/drawing/2010/main"/>
                      </a:ext>
                    </a:extLst>
                  </pic:spPr>
                </pic:pic>
              </a:graphicData>
            </a:graphic>
          </wp:inline>
        </w:drawing>
      </w:r>
    </w:p>
    <w:p w14:paraId="076A7BE2" w14:textId="211FE7E8" w:rsidR="009510B0" w:rsidRDefault="00A34522" w:rsidP="004D5E1D">
      <w:pPr>
        <w:widowControl/>
        <w:spacing w:line="240" w:lineRule="auto"/>
        <w:rPr>
          <w:rFonts w:cs="Times New Roman"/>
          <w:color w:val="222222"/>
          <w:szCs w:val="24"/>
          <w:shd w:val="clear" w:color="auto" w:fill="FFFFFF"/>
        </w:rPr>
      </w:pPr>
      <w:r w:rsidRPr="00A34522">
        <w:rPr>
          <w:rFonts w:cs="Times New Roman"/>
          <w:b/>
          <w:bCs/>
          <w:color w:val="222222"/>
          <w:szCs w:val="24"/>
          <w:shd w:val="clear" w:color="auto" w:fill="FFFFFF"/>
        </w:rPr>
        <w:t>Figure S</w:t>
      </w:r>
      <w:r>
        <w:rPr>
          <w:rFonts w:cs="Times New Roman"/>
          <w:b/>
          <w:bCs/>
          <w:color w:val="222222"/>
          <w:szCs w:val="24"/>
          <w:shd w:val="clear" w:color="auto" w:fill="FFFFFF"/>
        </w:rPr>
        <w:t>3</w:t>
      </w:r>
      <w:r w:rsidRPr="00A34522">
        <w:rPr>
          <w:rFonts w:cs="Times New Roman"/>
          <w:b/>
          <w:bCs/>
          <w:color w:val="222222"/>
          <w:szCs w:val="24"/>
          <w:shd w:val="clear" w:color="auto" w:fill="FFFFFF"/>
        </w:rPr>
        <w:t xml:space="preserve">. </w:t>
      </w:r>
      <w:r w:rsidRPr="00A34522">
        <w:rPr>
          <w:color w:val="222222"/>
          <w:szCs w:val="24"/>
          <w:shd w:val="clear" w:color="auto" w:fill="FFFFFF"/>
        </w:rPr>
        <w:t xml:space="preserve">10 energetically </w:t>
      </w:r>
      <w:r w:rsidRPr="00A34522">
        <w:rPr>
          <w:bCs/>
          <w:color w:val="222222"/>
          <w:szCs w:val="24"/>
          <w:shd w:val="clear" w:color="auto" w:fill="FFFFFF"/>
        </w:rPr>
        <w:t>most favorable complexes of</w:t>
      </w:r>
      <w:r w:rsidRPr="00A34522">
        <w:rPr>
          <w:rFonts w:cs="Times New Roman"/>
          <w:bCs/>
          <w:iCs/>
          <w:szCs w:val="24"/>
        </w:rPr>
        <w:t xml:space="preserve"> β-tubulin and cevipabulin-R molecule. The position of the docked cevipabulin-R molecule in the protein is indicated by the green arrows. The</w:t>
      </w:r>
      <w:r>
        <w:rPr>
          <w:rFonts w:cs="Times New Roman"/>
          <w:bCs/>
          <w:iCs/>
          <w:szCs w:val="24"/>
        </w:rPr>
        <w:t xml:space="preserve"> paclitaxel binding sites (taxoid sites) are indicated by the vertical arrows and the vinca alkaloid domains are ind</w:t>
      </w:r>
      <w:r w:rsidR="00614626">
        <w:rPr>
          <w:rFonts w:cs="Times New Roman"/>
          <w:bCs/>
          <w:iCs/>
          <w:szCs w:val="24"/>
        </w:rPr>
        <w:t>i</w:t>
      </w:r>
      <w:r>
        <w:rPr>
          <w:rFonts w:cs="Times New Roman"/>
          <w:bCs/>
          <w:iCs/>
          <w:szCs w:val="24"/>
        </w:rPr>
        <w:t xml:space="preserve">cated by the horizontal arrows. The GTP bound to the </w:t>
      </w:r>
      <w:r w:rsidRPr="00C812D2">
        <w:rPr>
          <w:rFonts w:cs="Times New Roman"/>
          <w:bCs/>
          <w:iCs/>
          <w:szCs w:val="24"/>
        </w:rPr>
        <w:t>β-tubulin</w:t>
      </w:r>
      <w:r>
        <w:rPr>
          <w:rFonts w:cs="Times New Roman"/>
          <w:bCs/>
          <w:iCs/>
          <w:szCs w:val="24"/>
        </w:rPr>
        <w:t xml:space="preserve"> monomers are also indicated in each complex.</w:t>
      </w:r>
    </w:p>
    <w:sectPr w:rsidR="009510B0">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1EA63" w14:textId="77777777" w:rsidR="00440ED8" w:rsidRDefault="00440ED8" w:rsidP="00841734">
      <w:pPr>
        <w:spacing w:line="240" w:lineRule="auto"/>
      </w:pPr>
      <w:r>
        <w:separator/>
      </w:r>
    </w:p>
  </w:endnote>
  <w:endnote w:type="continuationSeparator" w:id="0">
    <w:p w14:paraId="2DB059D1" w14:textId="77777777" w:rsidR="00440ED8" w:rsidRDefault="00440ED8" w:rsidP="008417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320426881"/>
      <w:docPartObj>
        <w:docPartGallery w:val="Page Numbers (Bottom of Page)"/>
        <w:docPartUnique/>
      </w:docPartObj>
    </w:sdtPr>
    <w:sdtEndPr>
      <w:rPr>
        <w:noProof/>
      </w:rPr>
    </w:sdtEndPr>
    <w:sdtContent>
      <w:p w14:paraId="4853E92A" w14:textId="77777777" w:rsidR="00841734" w:rsidRDefault="00841734">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5624BBEF" w14:textId="77777777" w:rsidR="00841734" w:rsidRDefault="00841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F94B" w14:textId="77777777" w:rsidR="00440ED8" w:rsidRDefault="00440ED8" w:rsidP="00841734">
      <w:pPr>
        <w:spacing w:line="240" w:lineRule="auto"/>
      </w:pPr>
      <w:r>
        <w:separator/>
      </w:r>
    </w:p>
  </w:footnote>
  <w:footnote w:type="continuationSeparator" w:id="0">
    <w:p w14:paraId="14AF20FB" w14:textId="77777777" w:rsidR="00440ED8" w:rsidRDefault="00440ED8" w:rsidP="008417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D1466"/>
    <w:multiLevelType w:val="hybridMultilevel"/>
    <w:tmpl w:val="5F103F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487248"/>
    <w:multiLevelType w:val="hybridMultilevel"/>
    <w:tmpl w:val="5F103F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1F30BF"/>
    <w:multiLevelType w:val="hybridMultilevel"/>
    <w:tmpl w:val="FB7A4508"/>
    <w:lvl w:ilvl="0" w:tplc="78DE53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B259A"/>
    <w:multiLevelType w:val="hybridMultilevel"/>
    <w:tmpl w:val="66B2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A3422B"/>
    <w:multiLevelType w:val="hybridMultilevel"/>
    <w:tmpl w:val="FB7A4508"/>
    <w:lvl w:ilvl="0" w:tplc="78DE53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F37668"/>
    <w:multiLevelType w:val="hybridMultilevel"/>
    <w:tmpl w:val="454C0698"/>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6C5375"/>
    <w:multiLevelType w:val="hybridMultilevel"/>
    <w:tmpl w:val="A7169350"/>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1sDS3MDQyMTK2MDRU0lEKTi0uzszPAykwNK4FAP7sG8QtAAAA"/>
  </w:docVars>
  <w:rsids>
    <w:rsidRoot w:val="008C7ED5"/>
    <w:rsid w:val="00000C22"/>
    <w:rsid w:val="00010B66"/>
    <w:rsid w:val="000766E3"/>
    <w:rsid w:val="000848D5"/>
    <w:rsid w:val="000C4A3A"/>
    <w:rsid w:val="000E2DD3"/>
    <w:rsid w:val="0012722E"/>
    <w:rsid w:val="0016708C"/>
    <w:rsid w:val="001A2391"/>
    <w:rsid w:val="001C1EF3"/>
    <w:rsid w:val="001F6BC2"/>
    <w:rsid w:val="00233877"/>
    <w:rsid w:val="002349DD"/>
    <w:rsid w:val="002546A4"/>
    <w:rsid w:val="00270B98"/>
    <w:rsid w:val="002B378F"/>
    <w:rsid w:val="00327BE0"/>
    <w:rsid w:val="003318FC"/>
    <w:rsid w:val="00336C4D"/>
    <w:rsid w:val="0038350E"/>
    <w:rsid w:val="00384521"/>
    <w:rsid w:val="0039775C"/>
    <w:rsid w:val="003A7927"/>
    <w:rsid w:val="00440ED8"/>
    <w:rsid w:val="004630E6"/>
    <w:rsid w:val="004652A5"/>
    <w:rsid w:val="0046604F"/>
    <w:rsid w:val="004B228C"/>
    <w:rsid w:val="004B7714"/>
    <w:rsid w:val="004D45A5"/>
    <w:rsid w:val="004D5E1D"/>
    <w:rsid w:val="004E1321"/>
    <w:rsid w:val="004E7024"/>
    <w:rsid w:val="00514AEC"/>
    <w:rsid w:val="00523214"/>
    <w:rsid w:val="0053372C"/>
    <w:rsid w:val="0057437E"/>
    <w:rsid w:val="00614626"/>
    <w:rsid w:val="00626304"/>
    <w:rsid w:val="00640E4C"/>
    <w:rsid w:val="006527EE"/>
    <w:rsid w:val="00672627"/>
    <w:rsid w:val="0067464A"/>
    <w:rsid w:val="00687774"/>
    <w:rsid w:val="006B07FE"/>
    <w:rsid w:val="006B1D77"/>
    <w:rsid w:val="006C739C"/>
    <w:rsid w:val="006D1AD1"/>
    <w:rsid w:val="00732C13"/>
    <w:rsid w:val="00786CD8"/>
    <w:rsid w:val="00797DC2"/>
    <w:rsid w:val="007C28FF"/>
    <w:rsid w:val="007D7DDD"/>
    <w:rsid w:val="00801921"/>
    <w:rsid w:val="00841734"/>
    <w:rsid w:val="00847D48"/>
    <w:rsid w:val="008709EE"/>
    <w:rsid w:val="008C7ED5"/>
    <w:rsid w:val="008F6524"/>
    <w:rsid w:val="00903FAF"/>
    <w:rsid w:val="009152B0"/>
    <w:rsid w:val="009334E0"/>
    <w:rsid w:val="009473A3"/>
    <w:rsid w:val="009510B0"/>
    <w:rsid w:val="00965630"/>
    <w:rsid w:val="009B1091"/>
    <w:rsid w:val="009C6592"/>
    <w:rsid w:val="009D3BC0"/>
    <w:rsid w:val="00A1697E"/>
    <w:rsid w:val="00A30EE1"/>
    <w:rsid w:val="00A34522"/>
    <w:rsid w:val="00A51685"/>
    <w:rsid w:val="00A528E5"/>
    <w:rsid w:val="00A621C3"/>
    <w:rsid w:val="00AC119A"/>
    <w:rsid w:val="00AC3C6D"/>
    <w:rsid w:val="00AD3317"/>
    <w:rsid w:val="00AE24F1"/>
    <w:rsid w:val="00AE4488"/>
    <w:rsid w:val="00B06B18"/>
    <w:rsid w:val="00B10C65"/>
    <w:rsid w:val="00B1276C"/>
    <w:rsid w:val="00B2752E"/>
    <w:rsid w:val="00B34977"/>
    <w:rsid w:val="00B402D5"/>
    <w:rsid w:val="00BA0C92"/>
    <w:rsid w:val="00BA550C"/>
    <w:rsid w:val="00BE6B62"/>
    <w:rsid w:val="00C24DB3"/>
    <w:rsid w:val="00C620BA"/>
    <w:rsid w:val="00C77797"/>
    <w:rsid w:val="00C82148"/>
    <w:rsid w:val="00CB48DA"/>
    <w:rsid w:val="00CC61F0"/>
    <w:rsid w:val="00CD31F5"/>
    <w:rsid w:val="00D34C8E"/>
    <w:rsid w:val="00D37A6F"/>
    <w:rsid w:val="00D37CED"/>
    <w:rsid w:val="00D578EF"/>
    <w:rsid w:val="00D651DE"/>
    <w:rsid w:val="00DB7AC1"/>
    <w:rsid w:val="00DE7EB0"/>
    <w:rsid w:val="00E01709"/>
    <w:rsid w:val="00E2384D"/>
    <w:rsid w:val="00E34154"/>
    <w:rsid w:val="00E357CB"/>
    <w:rsid w:val="00E80904"/>
    <w:rsid w:val="00E81413"/>
    <w:rsid w:val="00ED67A2"/>
    <w:rsid w:val="00F24B0A"/>
    <w:rsid w:val="00F724CC"/>
    <w:rsid w:val="00F7759C"/>
    <w:rsid w:val="00F84B4B"/>
    <w:rsid w:val="00F9354F"/>
    <w:rsid w:val="00FA1767"/>
    <w:rsid w:val="00FA3A9B"/>
    <w:rsid w:val="00FE164A"/>
    <w:rsid w:val="00FF693F"/>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6F25B9"/>
  <w15:chartTrackingRefBased/>
  <w15:docId w15:val="{88DA7858-A6AF-4541-8130-8576C0D6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7ED5"/>
    <w:pPr>
      <w:widowControl w:val="0"/>
      <w:spacing w:line="480" w:lineRule="auto"/>
      <w:jc w:val="both"/>
    </w:pPr>
    <w:rPr>
      <w:rFonts w:ascii="Times New Roman" w:hAnsi="Times New Roman"/>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7E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ED5"/>
    <w:rPr>
      <w:rFonts w:ascii="Segoe UI" w:hAnsi="Segoe UI" w:cs="Segoe UI"/>
      <w:noProof/>
      <w:sz w:val="18"/>
      <w:szCs w:val="18"/>
    </w:rPr>
  </w:style>
  <w:style w:type="paragraph" w:styleId="NormalWeb">
    <w:name w:val="Normal (Web)"/>
    <w:basedOn w:val="Normal"/>
    <w:uiPriority w:val="99"/>
    <w:semiHidden/>
    <w:unhideWhenUsed/>
    <w:rsid w:val="008C7ED5"/>
    <w:pPr>
      <w:widowControl/>
      <w:spacing w:before="100" w:beforeAutospacing="1" w:after="100" w:afterAutospacing="1" w:line="240" w:lineRule="auto"/>
      <w:jc w:val="left"/>
    </w:pPr>
    <w:rPr>
      <w:rFonts w:eastAsia="Times New Roman" w:cs="Times New Roman"/>
      <w:noProof w:val="0"/>
      <w:kern w:val="0"/>
      <w:szCs w:val="24"/>
    </w:rPr>
  </w:style>
  <w:style w:type="table" w:styleId="TableGrid">
    <w:name w:val="Table Grid"/>
    <w:basedOn w:val="TableNormal"/>
    <w:uiPriority w:val="39"/>
    <w:rsid w:val="00AE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024"/>
    <w:pPr>
      <w:ind w:left="720"/>
      <w:contextualSpacing/>
    </w:pPr>
  </w:style>
  <w:style w:type="paragraph" w:styleId="Header">
    <w:name w:val="header"/>
    <w:basedOn w:val="Normal"/>
    <w:link w:val="HeaderChar"/>
    <w:uiPriority w:val="99"/>
    <w:unhideWhenUsed/>
    <w:rsid w:val="00841734"/>
    <w:pPr>
      <w:tabs>
        <w:tab w:val="center" w:pos="4252"/>
        <w:tab w:val="right" w:pos="8504"/>
      </w:tabs>
      <w:spacing w:line="240" w:lineRule="auto"/>
    </w:pPr>
  </w:style>
  <w:style w:type="character" w:customStyle="1" w:styleId="HeaderChar">
    <w:name w:val="Header Char"/>
    <w:basedOn w:val="DefaultParagraphFont"/>
    <w:link w:val="Header"/>
    <w:uiPriority w:val="99"/>
    <w:rsid w:val="00841734"/>
    <w:rPr>
      <w:rFonts w:ascii="Times New Roman" w:hAnsi="Times New Roman"/>
      <w:noProof/>
      <w:sz w:val="24"/>
    </w:rPr>
  </w:style>
  <w:style w:type="paragraph" w:styleId="Footer">
    <w:name w:val="footer"/>
    <w:basedOn w:val="Normal"/>
    <w:link w:val="FooterChar"/>
    <w:uiPriority w:val="99"/>
    <w:unhideWhenUsed/>
    <w:rsid w:val="00841734"/>
    <w:pPr>
      <w:tabs>
        <w:tab w:val="center" w:pos="4252"/>
        <w:tab w:val="right" w:pos="8504"/>
      </w:tabs>
      <w:spacing w:line="240" w:lineRule="auto"/>
    </w:pPr>
  </w:style>
  <w:style w:type="character" w:customStyle="1" w:styleId="FooterChar">
    <w:name w:val="Footer Char"/>
    <w:basedOn w:val="DefaultParagraphFont"/>
    <w:link w:val="Footer"/>
    <w:uiPriority w:val="99"/>
    <w:rsid w:val="00841734"/>
    <w:rPr>
      <w:rFonts w:ascii="Times New Roman" w:hAnsi="Times New Roman"/>
      <w:noProof/>
      <w:sz w:val="24"/>
    </w:rPr>
  </w:style>
  <w:style w:type="character" w:styleId="CommentReference">
    <w:name w:val="annotation reference"/>
    <w:basedOn w:val="DefaultParagraphFont"/>
    <w:uiPriority w:val="99"/>
    <w:semiHidden/>
    <w:unhideWhenUsed/>
    <w:rsid w:val="002B378F"/>
    <w:rPr>
      <w:sz w:val="16"/>
      <w:szCs w:val="16"/>
    </w:rPr>
  </w:style>
  <w:style w:type="paragraph" w:styleId="CommentText">
    <w:name w:val="annotation text"/>
    <w:basedOn w:val="Normal"/>
    <w:link w:val="CommentTextChar"/>
    <w:uiPriority w:val="99"/>
    <w:semiHidden/>
    <w:unhideWhenUsed/>
    <w:rsid w:val="002B378F"/>
    <w:pPr>
      <w:spacing w:line="240" w:lineRule="auto"/>
    </w:pPr>
    <w:rPr>
      <w:sz w:val="20"/>
      <w:szCs w:val="20"/>
    </w:rPr>
  </w:style>
  <w:style w:type="character" w:customStyle="1" w:styleId="CommentTextChar">
    <w:name w:val="Comment Text Char"/>
    <w:basedOn w:val="DefaultParagraphFont"/>
    <w:link w:val="CommentText"/>
    <w:uiPriority w:val="99"/>
    <w:semiHidden/>
    <w:rsid w:val="002B378F"/>
    <w:rPr>
      <w:rFonts w:ascii="Times New Roman" w:hAnsi="Times New Roman"/>
      <w:noProof/>
      <w:sz w:val="20"/>
      <w:szCs w:val="20"/>
    </w:rPr>
  </w:style>
  <w:style w:type="paragraph" w:styleId="CommentSubject">
    <w:name w:val="annotation subject"/>
    <w:basedOn w:val="CommentText"/>
    <w:next w:val="CommentText"/>
    <w:link w:val="CommentSubjectChar"/>
    <w:uiPriority w:val="99"/>
    <w:semiHidden/>
    <w:unhideWhenUsed/>
    <w:rsid w:val="002B378F"/>
    <w:rPr>
      <w:b/>
      <w:bCs/>
    </w:rPr>
  </w:style>
  <w:style w:type="character" w:customStyle="1" w:styleId="CommentSubjectChar">
    <w:name w:val="Comment Subject Char"/>
    <w:basedOn w:val="CommentTextChar"/>
    <w:link w:val="CommentSubject"/>
    <w:uiPriority w:val="99"/>
    <w:semiHidden/>
    <w:rsid w:val="002B378F"/>
    <w:rPr>
      <w:rFonts w:ascii="Times New Roman" w:hAnsi="Times New Roman"/>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34222">
      <w:bodyDiv w:val="1"/>
      <w:marLeft w:val="0"/>
      <w:marRight w:val="0"/>
      <w:marTop w:val="0"/>
      <w:marBottom w:val="0"/>
      <w:divBdr>
        <w:top w:val="none" w:sz="0" w:space="0" w:color="auto"/>
        <w:left w:val="none" w:sz="0" w:space="0" w:color="auto"/>
        <w:bottom w:val="none" w:sz="0" w:space="0" w:color="auto"/>
        <w:right w:val="none" w:sz="0" w:space="0" w:color="auto"/>
      </w:divBdr>
    </w:div>
    <w:div w:id="1197892588">
      <w:bodyDiv w:val="1"/>
      <w:marLeft w:val="0"/>
      <w:marRight w:val="0"/>
      <w:marTop w:val="0"/>
      <w:marBottom w:val="0"/>
      <w:divBdr>
        <w:top w:val="none" w:sz="0" w:space="0" w:color="auto"/>
        <w:left w:val="none" w:sz="0" w:space="0" w:color="auto"/>
        <w:bottom w:val="none" w:sz="0" w:space="0" w:color="auto"/>
        <w:right w:val="none" w:sz="0" w:space="0" w:color="auto"/>
      </w:divBdr>
    </w:div>
    <w:div w:id="1478642342">
      <w:bodyDiv w:val="1"/>
      <w:marLeft w:val="0"/>
      <w:marRight w:val="0"/>
      <w:marTop w:val="0"/>
      <w:marBottom w:val="0"/>
      <w:divBdr>
        <w:top w:val="none" w:sz="0" w:space="0" w:color="auto"/>
        <w:left w:val="none" w:sz="0" w:space="0" w:color="auto"/>
        <w:bottom w:val="none" w:sz="0" w:space="0" w:color="auto"/>
        <w:right w:val="none" w:sz="0" w:space="0" w:color="auto"/>
      </w:divBdr>
    </w:div>
    <w:div w:id="1805080158">
      <w:bodyDiv w:val="1"/>
      <w:marLeft w:val="0"/>
      <w:marRight w:val="0"/>
      <w:marTop w:val="0"/>
      <w:marBottom w:val="0"/>
      <w:divBdr>
        <w:top w:val="none" w:sz="0" w:space="0" w:color="auto"/>
        <w:left w:val="none" w:sz="0" w:space="0" w:color="auto"/>
        <w:bottom w:val="none" w:sz="0" w:space="0" w:color="auto"/>
        <w:right w:val="none" w:sz="0" w:space="0" w:color="auto"/>
      </w:divBdr>
    </w:div>
    <w:div w:id="18858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Syeda Rubaiya Nasrin</dc:creator>
  <cp:keywords/>
  <dc:description/>
  <cp:lastModifiedBy>Syeda Rubaiya Nasrin</cp:lastModifiedBy>
  <cp:revision>58</cp:revision>
  <cp:lastPrinted>2020-01-23T08:45:00Z</cp:lastPrinted>
  <dcterms:created xsi:type="dcterms:W3CDTF">2020-01-23T16:20:00Z</dcterms:created>
  <dcterms:modified xsi:type="dcterms:W3CDTF">2020-03-04T05:01:00Z</dcterms:modified>
</cp:coreProperties>
</file>