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A7698" w14:textId="29B9D1B8" w:rsidR="00AA415B" w:rsidRPr="00AA415B" w:rsidRDefault="00AA415B" w:rsidP="00AA415B">
      <w:pPr>
        <w:spacing w:before="0" w:after="0"/>
        <w:jc w:val="left"/>
        <w:rPr>
          <w:rFonts w:eastAsia="Calibri" w:cs="Arial"/>
          <w:b/>
          <w:color w:val="000000" w:themeColor="text1"/>
          <w:sz w:val="22"/>
          <w:szCs w:val="22"/>
          <w:lang w:val="en-US" w:eastAsia="en-US"/>
        </w:rPr>
      </w:pPr>
      <w:r w:rsidRPr="00AA415B">
        <w:rPr>
          <w:rFonts w:eastAsia="Calibri" w:cs="Arial"/>
          <w:b/>
          <w:color w:val="000000" w:themeColor="text1"/>
          <w:sz w:val="22"/>
          <w:szCs w:val="22"/>
          <w:lang w:val="en-US" w:eastAsia="en-US"/>
        </w:rPr>
        <w:t>Supplementary Figure 2</w:t>
      </w:r>
      <w:r>
        <w:rPr>
          <w:rFonts w:eastAsia="Calibri" w:cs="Arial"/>
          <w:b/>
          <w:color w:val="000000" w:themeColor="text1"/>
          <w:sz w:val="22"/>
          <w:szCs w:val="22"/>
          <w:lang w:val="en-US" w:eastAsia="en-US"/>
        </w:rPr>
        <w:t xml:space="preserve"> </w:t>
      </w:r>
      <w:r w:rsidRPr="00AA415B">
        <w:rPr>
          <w:rFonts w:cs="Arial"/>
          <w:color w:val="000000" w:themeColor="text1"/>
          <w:sz w:val="22"/>
          <w:szCs w:val="22"/>
          <w:lang w:val="en-US" w:eastAsia="en-US"/>
        </w:rPr>
        <w:t>Gastrointestinal symptoms as assessed by GSRS-Scores during intervention (1 hour before t</w:t>
      </w:r>
      <w:r w:rsidRPr="00AA415B">
        <w:rPr>
          <w:rFonts w:cs="Arial"/>
          <w:color w:val="000000" w:themeColor="text1"/>
          <w:sz w:val="22"/>
          <w:szCs w:val="22"/>
          <w:vertAlign w:val="subscript"/>
          <w:lang w:val="en-US" w:eastAsia="en-US"/>
        </w:rPr>
        <w:t>0</w:t>
      </w:r>
      <w:r w:rsidRPr="00AA415B">
        <w:rPr>
          <w:rFonts w:cs="Arial"/>
          <w:color w:val="000000" w:themeColor="text1"/>
          <w:sz w:val="22"/>
          <w:szCs w:val="22"/>
          <w:lang w:val="en-US" w:eastAsia="en-US"/>
        </w:rPr>
        <w:t>, t</w:t>
      </w:r>
      <w:r w:rsidRPr="00AA415B">
        <w:rPr>
          <w:rFonts w:cs="Arial"/>
          <w:color w:val="000000" w:themeColor="text1"/>
          <w:sz w:val="22"/>
          <w:szCs w:val="22"/>
          <w:vertAlign w:val="subscript"/>
          <w:lang w:val="en-US" w:eastAsia="en-US"/>
        </w:rPr>
        <w:t>60</w:t>
      </w:r>
      <w:r w:rsidRPr="00AA415B">
        <w:rPr>
          <w:rFonts w:cs="Arial"/>
          <w:color w:val="000000" w:themeColor="text1"/>
          <w:sz w:val="22"/>
          <w:szCs w:val="22"/>
          <w:lang w:val="en-US" w:eastAsia="en-US"/>
        </w:rPr>
        <w:t xml:space="preserve"> and t</w:t>
      </w:r>
      <w:r w:rsidRPr="00AA415B">
        <w:rPr>
          <w:rFonts w:cs="Arial"/>
          <w:color w:val="000000" w:themeColor="text1"/>
          <w:sz w:val="22"/>
          <w:szCs w:val="22"/>
          <w:vertAlign w:val="subscript"/>
          <w:lang w:val="en-US" w:eastAsia="en-US"/>
        </w:rPr>
        <w:t>120</w:t>
      </w:r>
      <w:r w:rsidRPr="00AA415B">
        <w:rPr>
          <w:rFonts w:cs="Arial"/>
          <w:color w:val="000000" w:themeColor="text1"/>
          <w:sz w:val="22"/>
          <w:szCs w:val="22"/>
          <w:lang w:val="en-US" w:eastAsia="en-US"/>
        </w:rPr>
        <w:t xml:space="preserve">), left graph, and alteration of GSRS </w:t>
      </w:r>
      <w:proofErr w:type="gramStart"/>
      <w:r w:rsidRPr="00AA415B">
        <w:rPr>
          <w:rFonts w:cs="Arial"/>
          <w:color w:val="000000" w:themeColor="text1"/>
          <w:sz w:val="22"/>
          <w:szCs w:val="22"/>
          <w:lang w:val="en-US" w:eastAsia="en-US"/>
        </w:rPr>
        <w:t>∆(</w:t>
      </w:r>
      <w:proofErr w:type="gramEnd"/>
      <w:r w:rsidRPr="00AA415B">
        <w:rPr>
          <w:rFonts w:cs="Arial"/>
          <w:color w:val="000000" w:themeColor="text1"/>
          <w:sz w:val="22"/>
          <w:szCs w:val="22"/>
          <w:lang w:val="en-US" w:eastAsia="en-US"/>
        </w:rPr>
        <w:t xml:space="preserve">3 days after – 3 days before ingestion), right graph </w:t>
      </w:r>
      <w:r w:rsidRPr="00AA415B">
        <w:rPr>
          <w:rFonts w:eastAsia="Calibri" w:cs="Arial"/>
          <w:color w:val="000000" w:themeColor="text1"/>
          <w:sz w:val="22"/>
          <w:szCs w:val="22"/>
          <w:lang w:val="en-US" w:eastAsia="en-US"/>
        </w:rPr>
        <w:t>(mean ± SEM).</w:t>
      </w:r>
    </w:p>
    <w:p w14:paraId="09EBFA2C" w14:textId="5561E3F9" w:rsidR="004107EC" w:rsidRDefault="00AA415B" w:rsidP="00AA415B">
      <w:pPr>
        <w:jc w:val="center"/>
      </w:pPr>
      <w:r w:rsidRPr="00AA415B">
        <w:drawing>
          <wp:inline distT="0" distB="0" distL="0" distR="0" wp14:anchorId="2773A173" wp14:editId="77DF4706">
            <wp:extent cx="4486275" cy="83331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91278" cy="834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07EC" w:rsidSect="002D2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15B"/>
    <w:rsid w:val="002D2722"/>
    <w:rsid w:val="00333E01"/>
    <w:rsid w:val="004107EC"/>
    <w:rsid w:val="009C7571"/>
    <w:rsid w:val="00AA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C7B84"/>
  <w15:chartTrackingRefBased/>
  <w15:docId w15:val="{97153980-AC0A-4ACD-9ABC-96B7984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415B"/>
    <w:pPr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Ballance</dc:creator>
  <cp:keywords/>
  <dc:description/>
  <cp:lastModifiedBy>Simon Ballance</cp:lastModifiedBy>
  <cp:revision>1</cp:revision>
  <dcterms:created xsi:type="dcterms:W3CDTF">2019-03-08T13:48:00Z</dcterms:created>
  <dcterms:modified xsi:type="dcterms:W3CDTF">2019-03-08T13:51:00Z</dcterms:modified>
</cp:coreProperties>
</file>