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F794504" w14:textId="6E02BC3B" w:rsidR="003B3D11" w:rsidRPr="004121B7" w:rsidRDefault="00E91664" w:rsidP="006D7153">
      <w:pPr>
        <w:pStyle w:val="Heading1"/>
        <w:spacing w:line="480" w:lineRule="auto"/>
        <w:rPr>
          <w:color w:val="auto"/>
          <w:szCs w:val="40"/>
        </w:rPr>
      </w:pPr>
      <w:r w:rsidRPr="004121B7">
        <w:rPr>
          <w:color w:val="auto"/>
          <w:szCs w:val="40"/>
        </w:rPr>
        <w:t>Report from the joint RD-Connect, NeurOmics and EURenOmics workshop (Outreach Day) on rare disease research</w:t>
      </w:r>
    </w:p>
    <w:p w14:paraId="4A59886A" w14:textId="77777777" w:rsidR="003B3D11" w:rsidRPr="004121B7" w:rsidRDefault="003B3D11" w:rsidP="006D7153">
      <w:pPr>
        <w:spacing w:line="480" w:lineRule="auto"/>
        <w:jc w:val="both"/>
        <w:rPr>
          <w:color w:val="auto"/>
        </w:rPr>
      </w:pPr>
    </w:p>
    <w:p w14:paraId="67D31BCE" w14:textId="77777777" w:rsidR="003B3D11" w:rsidRPr="004121B7" w:rsidRDefault="00E91664" w:rsidP="006D7153">
      <w:pPr>
        <w:pStyle w:val="Heading2"/>
        <w:spacing w:line="480" w:lineRule="auto"/>
        <w:rPr>
          <w:color w:val="auto"/>
        </w:rPr>
      </w:pPr>
      <w:bookmarkStart w:id="0" w:name="_cxvqjo9iz0w7" w:colFirst="0" w:colLast="0"/>
      <w:bookmarkEnd w:id="0"/>
      <w:r w:rsidRPr="004121B7">
        <w:rPr>
          <w:color w:val="auto"/>
        </w:rPr>
        <w:t>Introduction</w:t>
      </w:r>
    </w:p>
    <w:p w14:paraId="28DE8AC0" w14:textId="77777777" w:rsidR="003B3D11" w:rsidRPr="004121B7" w:rsidRDefault="00E91664" w:rsidP="006D7153">
      <w:pPr>
        <w:spacing w:line="480" w:lineRule="auto"/>
        <w:jc w:val="both"/>
        <w:rPr>
          <w:color w:val="auto"/>
        </w:rPr>
      </w:pPr>
      <w:r w:rsidRPr="004121B7">
        <w:rPr>
          <w:color w:val="auto"/>
        </w:rPr>
        <w:t>To stimulate an open, multi-stakeholder discussion on the challenges of the rare diseases, the three EU flagship projects - RD-Connect, NeurOmics and EURenOmics – organised an Outreach Day. The workshop took place on the 3</w:t>
      </w:r>
      <w:r w:rsidRPr="004121B7">
        <w:rPr>
          <w:color w:val="auto"/>
          <w:vertAlign w:val="superscript"/>
        </w:rPr>
        <w:t>rd</w:t>
      </w:r>
      <w:r w:rsidRPr="004121B7">
        <w:rPr>
          <w:color w:val="auto"/>
        </w:rPr>
        <w:t xml:space="preserve"> of May 2017 in Berlin and highlighted the cross-project cooperation and the common goal: the use of innovative genomic technologies in rare disease research. The workshop brought together around 200 stakeholders from the EU, US, Australia and Japan, including researchers, clinicians, patient representatives, policy makers, members of research infrastructures and the pharmaceutical industry.</w:t>
      </w:r>
    </w:p>
    <w:p w14:paraId="7C7DA437" w14:textId="77777777" w:rsidR="003B3D11" w:rsidRPr="004121B7" w:rsidRDefault="00E91664" w:rsidP="006D7153">
      <w:pPr>
        <w:spacing w:line="480" w:lineRule="auto"/>
        <w:jc w:val="both"/>
        <w:rPr>
          <w:color w:val="auto"/>
        </w:rPr>
      </w:pPr>
      <w:r w:rsidRPr="004121B7">
        <w:rPr>
          <w:color w:val="auto"/>
        </w:rPr>
        <w:t xml:space="preserve">After the opening remarks from </w:t>
      </w:r>
      <w:proofErr w:type="spellStart"/>
      <w:r w:rsidRPr="004121B7">
        <w:rPr>
          <w:color w:val="auto"/>
        </w:rPr>
        <w:t>Iiro</w:t>
      </w:r>
      <w:proofErr w:type="spellEnd"/>
      <w:r w:rsidRPr="004121B7">
        <w:rPr>
          <w:color w:val="auto"/>
        </w:rPr>
        <w:t xml:space="preserve"> </w:t>
      </w:r>
      <w:proofErr w:type="spellStart"/>
      <w:r w:rsidRPr="004121B7">
        <w:rPr>
          <w:color w:val="auto"/>
        </w:rPr>
        <w:t>Eerola</w:t>
      </w:r>
      <w:proofErr w:type="spellEnd"/>
      <w:r w:rsidRPr="004121B7">
        <w:rPr>
          <w:color w:val="auto"/>
        </w:rPr>
        <w:t xml:space="preserve"> from the European Commission, the scientific project officer of the three projects, and the project coordinators, Olaf </w:t>
      </w:r>
      <w:proofErr w:type="spellStart"/>
      <w:r w:rsidRPr="004121B7">
        <w:rPr>
          <w:color w:val="auto"/>
        </w:rPr>
        <w:t>Riess</w:t>
      </w:r>
      <w:proofErr w:type="spellEnd"/>
      <w:r w:rsidRPr="004121B7">
        <w:rPr>
          <w:color w:val="auto"/>
        </w:rPr>
        <w:t>, Franz Schaefer and Hanns Lochmüller, the program consisted of three panel sessions devoted to key objectives in rare disease research: data sharing, diagnostics and therapy. The panels of all sessions comprised the members of each of the three projects and patient representatives. The event finished with training sessions on the RD-Connect Genome-Phenome Analysis Platform and the use of the Sample Catalogue for biobanks.</w:t>
      </w:r>
    </w:p>
    <w:p w14:paraId="7B11C238" w14:textId="77777777" w:rsidR="003B3D11" w:rsidRPr="004121B7" w:rsidRDefault="00E91664" w:rsidP="006D7153">
      <w:pPr>
        <w:pStyle w:val="Heading2"/>
        <w:spacing w:line="480" w:lineRule="auto"/>
        <w:rPr>
          <w:color w:val="auto"/>
        </w:rPr>
      </w:pPr>
      <w:bookmarkStart w:id="1" w:name="_7x5835rmoape" w:colFirst="0" w:colLast="0"/>
      <w:bookmarkEnd w:id="1"/>
      <w:r w:rsidRPr="004121B7">
        <w:rPr>
          <w:color w:val="auto"/>
        </w:rPr>
        <w:t>Data sharing</w:t>
      </w:r>
    </w:p>
    <w:p w14:paraId="7354E271" w14:textId="77777777" w:rsidR="003B3D11" w:rsidRPr="004121B7" w:rsidRDefault="00E91664" w:rsidP="006D7153">
      <w:pPr>
        <w:spacing w:line="480" w:lineRule="auto"/>
        <w:jc w:val="both"/>
        <w:rPr>
          <w:color w:val="auto"/>
        </w:rPr>
      </w:pPr>
      <w:r w:rsidRPr="004121B7">
        <w:rPr>
          <w:color w:val="auto"/>
        </w:rPr>
        <w:t xml:space="preserve">The first panel session, </w:t>
      </w:r>
      <w:proofErr w:type="gramStart"/>
      <w:r w:rsidRPr="004121B7">
        <w:rPr>
          <w:color w:val="auto"/>
        </w:rPr>
        <w:t xml:space="preserve">focusing on data sharing, was chaired by Ivo Gut, the director of Centro Nacional de </w:t>
      </w:r>
      <w:proofErr w:type="spellStart"/>
      <w:r w:rsidRPr="004121B7">
        <w:rPr>
          <w:color w:val="auto"/>
        </w:rPr>
        <w:t>Análisis</w:t>
      </w:r>
      <w:proofErr w:type="spellEnd"/>
      <w:r w:rsidRPr="004121B7">
        <w:rPr>
          <w:color w:val="auto"/>
        </w:rPr>
        <w:t xml:space="preserve"> </w:t>
      </w:r>
      <w:proofErr w:type="spellStart"/>
      <w:r w:rsidRPr="004121B7">
        <w:rPr>
          <w:color w:val="auto"/>
        </w:rPr>
        <w:t>Genómico</w:t>
      </w:r>
      <w:proofErr w:type="spellEnd"/>
      <w:r w:rsidRPr="004121B7">
        <w:rPr>
          <w:color w:val="auto"/>
        </w:rPr>
        <w:t xml:space="preserve"> in Barcelona, Spain, who is leading the work on the RD-Connect Genome-Phenome Analysis Platform</w:t>
      </w:r>
      <w:proofErr w:type="gramEnd"/>
      <w:r w:rsidRPr="004121B7">
        <w:rPr>
          <w:color w:val="auto"/>
        </w:rPr>
        <w:t>. The panel consisted of Peter-</w:t>
      </w:r>
      <w:proofErr w:type="gramStart"/>
      <w:r w:rsidRPr="004121B7">
        <w:rPr>
          <w:color w:val="auto"/>
        </w:rPr>
        <w:t>Bram ‘t</w:t>
      </w:r>
      <w:proofErr w:type="gramEnd"/>
      <w:r w:rsidRPr="004121B7">
        <w:rPr>
          <w:color w:val="auto"/>
        </w:rPr>
        <w:t xml:space="preserve"> Hoen (Leiden University Medical </w:t>
      </w:r>
      <w:proofErr w:type="spellStart"/>
      <w:r w:rsidRPr="004121B7">
        <w:rPr>
          <w:color w:val="auto"/>
        </w:rPr>
        <w:t>Center</w:t>
      </w:r>
      <w:proofErr w:type="spellEnd"/>
      <w:r w:rsidRPr="004121B7">
        <w:rPr>
          <w:color w:val="auto"/>
        </w:rPr>
        <w:t xml:space="preserve">, RD-Connect), Cathy Turner (Newcastle University, NeurOmics), Matthias </w:t>
      </w:r>
      <w:proofErr w:type="spellStart"/>
      <w:r w:rsidRPr="004121B7">
        <w:rPr>
          <w:color w:val="auto"/>
        </w:rPr>
        <w:t>Kretzler</w:t>
      </w:r>
      <w:proofErr w:type="spellEnd"/>
      <w:r w:rsidRPr="004121B7">
        <w:rPr>
          <w:color w:val="auto"/>
        </w:rPr>
        <w:t xml:space="preserve"> </w:t>
      </w:r>
      <w:r w:rsidRPr="004121B7">
        <w:rPr>
          <w:color w:val="auto"/>
        </w:rPr>
        <w:lastRenderedPageBreak/>
        <w:t xml:space="preserve">(University of Michigan, EURenOmics), Joseph Irwin (SMA Support UK, RD-Connect) and Veronica </w:t>
      </w:r>
      <w:proofErr w:type="spellStart"/>
      <w:r w:rsidRPr="004121B7">
        <w:rPr>
          <w:color w:val="auto"/>
        </w:rPr>
        <w:t>Popa</w:t>
      </w:r>
      <w:proofErr w:type="spellEnd"/>
      <w:r w:rsidRPr="004121B7">
        <w:rPr>
          <w:color w:val="auto"/>
        </w:rPr>
        <w:t xml:space="preserve"> (AHDS registry, Patient Advisory Council).</w:t>
      </w:r>
    </w:p>
    <w:p w14:paraId="1A7FEBE2" w14:textId="77777777" w:rsidR="003B3D11" w:rsidRPr="004121B7" w:rsidRDefault="00E91664" w:rsidP="006D7153">
      <w:pPr>
        <w:spacing w:line="480" w:lineRule="auto"/>
        <w:jc w:val="both"/>
        <w:rPr>
          <w:color w:val="auto"/>
        </w:rPr>
      </w:pPr>
      <w:r w:rsidRPr="004121B7">
        <w:rPr>
          <w:color w:val="auto"/>
        </w:rPr>
        <w:t xml:space="preserve">Ivo Gut opened the session stressing that data sharing across resources is essential to successful and meaningful research in RDs and involves numerous stakeholders: Patients and their families, Patient organisations, Funders, Clinicians, Researchers, Industry and others. Too often data is fragmented, </w:t>
      </w:r>
      <w:proofErr w:type="spellStart"/>
      <w:r w:rsidRPr="004121B7">
        <w:rPr>
          <w:color w:val="auto"/>
        </w:rPr>
        <w:t>siloed</w:t>
      </w:r>
      <w:proofErr w:type="spellEnd"/>
      <w:r w:rsidRPr="004121B7">
        <w:rPr>
          <w:color w:val="auto"/>
        </w:rPr>
        <w:t xml:space="preserve"> and inaccessible for research. Though there are still barriers to data sharing, many solutions now exist </w:t>
      </w:r>
      <w:proofErr w:type="gramStart"/>
      <w:r w:rsidRPr="004121B7">
        <w:rPr>
          <w:color w:val="auto"/>
        </w:rPr>
        <w:t>both in the tools available and the</w:t>
      </w:r>
      <w:proofErr w:type="gramEnd"/>
      <w:r w:rsidRPr="004121B7">
        <w:rPr>
          <w:color w:val="auto"/>
        </w:rPr>
        <w:t xml:space="preserve"> guidance around ethical, legal and social implications of sharing data. </w:t>
      </w:r>
    </w:p>
    <w:p w14:paraId="3889070E" w14:textId="77777777" w:rsidR="003B3D11" w:rsidRPr="004121B7" w:rsidRDefault="00E91664" w:rsidP="006D7153">
      <w:pPr>
        <w:spacing w:line="480" w:lineRule="auto"/>
        <w:jc w:val="both"/>
        <w:rPr>
          <w:color w:val="auto"/>
        </w:rPr>
      </w:pPr>
      <w:r w:rsidRPr="004121B7">
        <w:rPr>
          <w:color w:val="auto"/>
        </w:rPr>
        <w:t xml:space="preserve">The sharing of genomic and phenotypic data facilitates faster and more accurate diagnosis. The sharing of biosamples through biobanks advances therapy and biomarker development and the sharing of registry data accelerates inclusion of participants into clinical trials. In all cases, sharing data and samples helps to reduce cost and prevents duplication of effort. Furthermore, sharing enables engagement between experts and the wider community. </w:t>
      </w:r>
    </w:p>
    <w:p w14:paraId="7BE088A3" w14:textId="77777777" w:rsidR="003B3D11" w:rsidRPr="00EB4A92" w:rsidRDefault="00E91664" w:rsidP="006D7153">
      <w:pPr>
        <w:pStyle w:val="Heading3"/>
        <w:spacing w:line="480" w:lineRule="auto"/>
        <w:rPr>
          <w:color w:val="auto"/>
          <w:sz w:val="22"/>
        </w:rPr>
      </w:pPr>
      <w:r w:rsidRPr="00EB4A92">
        <w:rPr>
          <w:color w:val="auto"/>
          <w:sz w:val="22"/>
        </w:rPr>
        <w:t>Incentives for data sharing</w:t>
      </w:r>
    </w:p>
    <w:p w14:paraId="6FE6CC46" w14:textId="77777777" w:rsidR="003B3D11" w:rsidRPr="004121B7" w:rsidRDefault="00E91664" w:rsidP="006D7153">
      <w:pPr>
        <w:spacing w:line="480" w:lineRule="auto"/>
        <w:jc w:val="both"/>
        <w:rPr>
          <w:color w:val="auto"/>
        </w:rPr>
      </w:pPr>
      <w:r w:rsidRPr="004121B7">
        <w:rPr>
          <w:color w:val="auto"/>
        </w:rPr>
        <w:t xml:space="preserve">Despite the obvious benefits, in the experience of the panel members many researchers are reluctant to share the data, particularly if they think it will affect their chances of publication or securing a competitive grant. Additional obstacles </w:t>
      </w:r>
      <w:proofErr w:type="gramStart"/>
      <w:r w:rsidRPr="004121B7">
        <w:rPr>
          <w:color w:val="auto"/>
        </w:rPr>
        <w:t>were discussed</w:t>
      </w:r>
      <w:proofErr w:type="gramEnd"/>
      <w:r w:rsidRPr="004121B7">
        <w:rPr>
          <w:color w:val="auto"/>
        </w:rPr>
        <w:t xml:space="preserve"> including the lack of appropriate infrastructure, time and effort needed to upload data to a research infrastructure, lack of interoperability and data standards and issues around privacy protection. </w:t>
      </w:r>
    </w:p>
    <w:p w14:paraId="04378B66" w14:textId="77777777" w:rsidR="003B3D11" w:rsidRPr="004121B7" w:rsidRDefault="00E91664" w:rsidP="006D7153">
      <w:pPr>
        <w:spacing w:line="480" w:lineRule="auto"/>
        <w:jc w:val="both"/>
        <w:rPr>
          <w:color w:val="auto"/>
        </w:rPr>
      </w:pPr>
      <w:r w:rsidRPr="004121B7">
        <w:rPr>
          <w:color w:val="auto"/>
        </w:rPr>
        <w:t>Peter-</w:t>
      </w:r>
      <w:proofErr w:type="gramStart"/>
      <w:r w:rsidRPr="004121B7">
        <w:rPr>
          <w:color w:val="auto"/>
        </w:rPr>
        <w:t>Bram ‘t</w:t>
      </w:r>
      <w:proofErr w:type="gramEnd"/>
      <w:r w:rsidRPr="004121B7">
        <w:rPr>
          <w:color w:val="auto"/>
        </w:rPr>
        <w:t xml:space="preserve"> Hoen suggested that incentives for data sharing could be created by scientific journals and funding agencies. </w:t>
      </w:r>
      <w:proofErr w:type="spellStart"/>
      <w:r w:rsidRPr="004121B7">
        <w:rPr>
          <w:color w:val="auto"/>
        </w:rPr>
        <w:t>GertJan</w:t>
      </w:r>
      <w:proofErr w:type="spellEnd"/>
      <w:r w:rsidRPr="004121B7">
        <w:rPr>
          <w:color w:val="auto"/>
        </w:rPr>
        <w:t xml:space="preserve"> van </w:t>
      </w:r>
      <w:proofErr w:type="spellStart"/>
      <w:r w:rsidRPr="004121B7">
        <w:rPr>
          <w:color w:val="auto"/>
        </w:rPr>
        <w:t>Ommen</w:t>
      </w:r>
      <w:proofErr w:type="spellEnd"/>
      <w:r w:rsidRPr="004121B7">
        <w:rPr>
          <w:color w:val="auto"/>
        </w:rPr>
        <w:t xml:space="preserve"> (Leiden University Medical </w:t>
      </w:r>
      <w:proofErr w:type="spellStart"/>
      <w:r w:rsidRPr="004121B7">
        <w:rPr>
          <w:color w:val="auto"/>
        </w:rPr>
        <w:t>Center</w:t>
      </w:r>
      <w:proofErr w:type="spellEnd"/>
      <w:r w:rsidRPr="004121B7">
        <w:rPr>
          <w:color w:val="auto"/>
        </w:rPr>
        <w:t xml:space="preserve">) commented that some journals already stipulate deposit of data into open access databases, but the data are not easily accessible and therefore </w:t>
      </w:r>
      <w:proofErr w:type="gramStart"/>
      <w:r w:rsidRPr="004121B7">
        <w:rPr>
          <w:color w:val="auto"/>
        </w:rPr>
        <w:t>are not reused</w:t>
      </w:r>
      <w:proofErr w:type="gramEnd"/>
      <w:r w:rsidRPr="004121B7">
        <w:rPr>
          <w:color w:val="auto"/>
        </w:rPr>
        <w:t>.</w:t>
      </w:r>
    </w:p>
    <w:p w14:paraId="61EB862B" w14:textId="77777777" w:rsidR="003B3D11" w:rsidRPr="004121B7" w:rsidRDefault="00E91664" w:rsidP="006D7153">
      <w:pPr>
        <w:spacing w:line="480" w:lineRule="auto"/>
        <w:jc w:val="both"/>
        <w:rPr>
          <w:color w:val="auto"/>
        </w:rPr>
      </w:pPr>
      <w:r w:rsidRPr="004121B7">
        <w:rPr>
          <w:color w:val="auto"/>
        </w:rPr>
        <w:lastRenderedPageBreak/>
        <w:t xml:space="preserve">RD-Connect, NeurOmics and EURenOmics have all worked to reduce the barriers to data </w:t>
      </w:r>
      <w:proofErr w:type="gramStart"/>
      <w:r w:rsidRPr="004121B7">
        <w:rPr>
          <w:color w:val="auto"/>
        </w:rPr>
        <w:t>sharing and have developed</w:t>
      </w:r>
      <w:proofErr w:type="gramEnd"/>
      <w:r w:rsidRPr="004121B7">
        <w:rPr>
          <w:color w:val="auto"/>
        </w:rPr>
        <w:t xml:space="preserve"> and adopted a joint data sharing policy. Sequencing and clinical data </w:t>
      </w:r>
      <w:proofErr w:type="gramStart"/>
      <w:r w:rsidRPr="004121B7">
        <w:rPr>
          <w:color w:val="auto"/>
        </w:rPr>
        <w:t>are shared</w:t>
      </w:r>
      <w:proofErr w:type="gramEnd"/>
      <w:r w:rsidRPr="004121B7">
        <w:rPr>
          <w:color w:val="auto"/>
        </w:rPr>
        <w:t xml:space="preserve"> within the wider RD-research community via controlled access to the RD-Connect platform.</w:t>
      </w:r>
    </w:p>
    <w:p w14:paraId="23870FB7" w14:textId="77777777" w:rsidR="003B3D11" w:rsidRPr="004121B7" w:rsidRDefault="00E91664" w:rsidP="006D7153">
      <w:pPr>
        <w:spacing w:line="480" w:lineRule="auto"/>
        <w:jc w:val="both"/>
        <w:rPr>
          <w:color w:val="auto"/>
        </w:rPr>
      </w:pPr>
      <w:r w:rsidRPr="004121B7">
        <w:rPr>
          <w:color w:val="auto"/>
        </w:rPr>
        <w:t>Peter-</w:t>
      </w:r>
      <w:proofErr w:type="gramStart"/>
      <w:r w:rsidRPr="004121B7">
        <w:rPr>
          <w:color w:val="auto"/>
        </w:rPr>
        <w:t>Bram ‘t</w:t>
      </w:r>
      <w:proofErr w:type="gramEnd"/>
      <w:r w:rsidRPr="004121B7">
        <w:rPr>
          <w:color w:val="auto"/>
        </w:rPr>
        <w:t xml:space="preserve"> Hoen suggested that another benefit of data sharing via research infrastructures is publishing negative data, most of which are never published due to journals’ preference for positive findings. Joseph Irwin contributed that a further benefit could be the sharing of placebo data from clinical trials, which could be valuable as high quality natural history data.</w:t>
      </w:r>
    </w:p>
    <w:p w14:paraId="0F72AF22" w14:textId="77777777" w:rsidR="003B3D11" w:rsidRPr="00EB4A92" w:rsidRDefault="00E91664" w:rsidP="006D7153">
      <w:pPr>
        <w:pStyle w:val="Heading3"/>
        <w:spacing w:line="480" w:lineRule="auto"/>
        <w:rPr>
          <w:color w:val="auto"/>
          <w:sz w:val="22"/>
        </w:rPr>
      </w:pPr>
      <w:r w:rsidRPr="00EB4A92">
        <w:rPr>
          <w:color w:val="auto"/>
          <w:sz w:val="22"/>
        </w:rPr>
        <w:t>Data quality</w:t>
      </w:r>
    </w:p>
    <w:p w14:paraId="3DB5620D" w14:textId="28B84DDC" w:rsidR="003B3D11" w:rsidRPr="004121B7" w:rsidRDefault="00E91664" w:rsidP="006D7153">
      <w:pPr>
        <w:spacing w:line="480" w:lineRule="auto"/>
        <w:jc w:val="both"/>
        <w:rPr>
          <w:color w:val="auto"/>
        </w:rPr>
      </w:pPr>
      <w:r w:rsidRPr="004121B7">
        <w:rPr>
          <w:color w:val="auto"/>
        </w:rPr>
        <w:t>The session continued with a discussion around data quality and that control of this is an essential element of data sharing. Unedited information, such as false annotation of variants as pathogenic, may lead to misdiagnosis and have harmful consequences for the patient. However, researchers tend to give low priority to data quality standards in research infrastructures</w:t>
      </w:r>
      <w:r w:rsidR="004121B7">
        <w:rPr>
          <w:color w:val="auto"/>
        </w:rPr>
        <w:t>.</w:t>
      </w:r>
      <w:r w:rsidR="00DE45AF">
        <w:rPr>
          <w:color w:val="auto"/>
        </w:rPr>
        <w:fldChar w:fldCharType="begin"/>
      </w:r>
      <w:r w:rsidR="00DE45AF">
        <w:rPr>
          <w:color w:val="auto"/>
        </w:rPr>
        <w:instrText xml:space="preserve"> ADDIN ZOTERO_ITEM CSL_CITATION {"citationID":"autkkmvrlu","properties":{"formattedCitation":"{\\rtf \\super 1\\nosupersub{}}","plainCitation":"1"},"citationItems":[{"id":110,"uris":["http://zotero.org/users/564462/items/7MBYR24P"],"uri":["http://zotero.org/users/564462/items/7MBYR24P"],"itemData":{"id":110,"type":"article","title":"'Medical Infrastructure / Users Forum' (MIUF) Survey Report","publisher":"CORBEL","URL":"http://www.ecrin.org/sites/default/files/CORBEL/MIUF%20Survey%20Lay%20Report.pdf","author":[{"family":"Battaglia","given":"Serena"}],"issued":{"date-parts":[["2017"]]}}}],"schema":"https://github.com/citation-style-language/schema/raw/master/csl-citation.json"} </w:instrText>
      </w:r>
      <w:r w:rsidR="00DE45AF">
        <w:rPr>
          <w:color w:val="auto"/>
        </w:rPr>
        <w:fldChar w:fldCharType="separate"/>
      </w:r>
      <w:r w:rsidR="00DE45AF" w:rsidRPr="00DE45AF">
        <w:rPr>
          <w:szCs w:val="24"/>
          <w:vertAlign w:val="superscript"/>
        </w:rPr>
        <w:t>1</w:t>
      </w:r>
      <w:r w:rsidR="00DE45AF">
        <w:rPr>
          <w:color w:val="auto"/>
        </w:rPr>
        <w:fldChar w:fldCharType="end"/>
      </w:r>
      <w:r w:rsidRPr="004121B7">
        <w:rPr>
          <w:color w:val="auto"/>
        </w:rPr>
        <w:t xml:space="preserve"> To ensure high data quality, data need to be generated according to best practices and curated and benchmarked before entering databases. RD-Connect addresses this issue and ensures that data in the Genome-Phenome Analysis Platform meet high quality standards</w:t>
      </w:r>
      <w:r w:rsidR="00DE45AF">
        <w:rPr>
          <w:color w:val="auto"/>
        </w:rPr>
        <w:t>.</w:t>
      </w:r>
      <w:r w:rsidR="00DE45AF">
        <w:rPr>
          <w:color w:val="auto"/>
        </w:rPr>
        <w:fldChar w:fldCharType="begin"/>
      </w:r>
      <w:r w:rsidR="00DE45AF">
        <w:rPr>
          <w:color w:val="auto"/>
        </w:rPr>
        <w:instrText xml:space="preserve"> ADDIN ZOTERO_ITEM CSL_CITATION {"citationID":"a1v201rv2rq","properties":{"formattedCitation":"{\\rtf \\super 2\\nosupersub{}}","plainCitation":"2"},"citationItems":[{"id":111,"uris":["http://zotero.org/users/564462/items/FBCPZCAH"],"uri":["http://zotero.org/users/564462/items/FBCPZCAH"],"itemData":{"id":111,"type":"article-journal","title":"From Wet-Lab to Variations: Concordance and Speed of Bioinformatics Pipelines for Whole Genome and Whole Exome Sequencing","container-title":"Human Mutation","page":"1263-1271","volume":"37","issue":"12","source":"Wiley Online Library","abstract":"As whole genome sequencing becomes cheaper and faster, it will progressively substitute targeted next-generation sequencing as standard practice in research and diagnostics. However, computing cost–performance ratio is not advancing at an equivalent rate. Therefore, it is essential to evaluate the robustness of the variant detection process taking into account the computing resources required. We have benchmarked six combinations of state-of-the-art read aligners (BWA-MEM and GEM3) and variant callers (FreeBayes, GATK HaplotypeCaller, SAMtools) on whole genome and whole exome sequencing data from the NA12878 human sample. Results have been compared between them and against the NIST Genome in a Bottle (GIAB) variants reference dataset. We report differences in speed of up to 20 times in some steps of the process and have observed that SNV, and to a lesser extent InDel, detection is highly consistent in 70% of the genome. SNV, and especially InDel, detection is less reliable in 20% of the genome, and almost unfeasible in the remaining 10%. These findings will aid in choosing the appropriate tools bearing in mind objectives, workload, and computing infrastructure available.","DOI":"10.1002/humu.23114","ISSN":"1098-1004","shortTitle":"From Wet-Lab to Variations","journalAbbreviation":"Human Mutation","language":"en","author":[{"family":"Laurie","given":"Steve"},{"family":"Fernandez-Callejo","given":"Marcos"},{"family":"Marco-Sola","given":"Santiago"},{"family":"Trotta","given":"Jean-Remi"},{"family":"Camps","given":"Jordi"},{"family":"Chacón","given":"Alejandro"},{"family":"Espinosa","given":"Antonio"},{"family":"Gut","given":"Marta"},{"family":"Gut","given":"Ivo"},{"family":"Heath","given":"Simon"},{"family":"Beltran","given":"Sergi"}],"issued":{"date-parts":[["2016",12,1]]}}}],"schema":"https://github.com/citation-style-language/schema/raw/master/csl-citation.json"} </w:instrText>
      </w:r>
      <w:r w:rsidR="00DE45AF">
        <w:rPr>
          <w:color w:val="auto"/>
        </w:rPr>
        <w:fldChar w:fldCharType="separate"/>
      </w:r>
      <w:r w:rsidR="00DE45AF" w:rsidRPr="00DE45AF">
        <w:rPr>
          <w:szCs w:val="24"/>
          <w:vertAlign w:val="superscript"/>
        </w:rPr>
        <w:t>2</w:t>
      </w:r>
      <w:r w:rsidR="00DE45AF">
        <w:rPr>
          <w:color w:val="auto"/>
        </w:rPr>
        <w:fldChar w:fldCharType="end"/>
      </w:r>
    </w:p>
    <w:p w14:paraId="727F5720" w14:textId="77777777" w:rsidR="003B3D11" w:rsidRPr="00EB4A92" w:rsidRDefault="00E91664" w:rsidP="006D7153">
      <w:pPr>
        <w:pStyle w:val="Heading3"/>
        <w:spacing w:line="480" w:lineRule="auto"/>
        <w:rPr>
          <w:color w:val="auto"/>
          <w:sz w:val="22"/>
        </w:rPr>
      </w:pPr>
      <w:r w:rsidRPr="00EB4A92">
        <w:rPr>
          <w:color w:val="auto"/>
          <w:sz w:val="22"/>
        </w:rPr>
        <w:t>Data linkage</w:t>
      </w:r>
    </w:p>
    <w:p w14:paraId="1A3E4EA1" w14:textId="499C6996" w:rsidR="003B3D11" w:rsidRPr="004121B7" w:rsidRDefault="00E91664" w:rsidP="006D7153">
      <w:pPr>
        <w:spacing w:line="480" w:lineRule="auto"/>
        <w:jc w:val="both"/>
        <w:rPr>
          <w:color w:val="auto"/>
        </w:rPr>
      </w:pPr>
      <w:r w:rsidRPr="004121B7">
        <w:rPr>
          <w:color w:val="auto"/>
        </w:rPr>
        <w:t>The session chair broadened the topic and raised the importance of linking various types of data from different sources. In the future, RD-Connect will link multiomics data stored at the Eur</w:t>
      </w:r>
      <w:r w:rsidR="00371CD8" w:rsidRPr="004121B7">
        <w:rPr>
          <w:color w:val="auto"/>
        </w:rPr>
        <w:t>opean Bioinformatics Institute</w:t>
      </w:r>
      <w:r w:rsidR="00DE45AF">
        <w:rPr>
          <w:color w:val="auto"/>
        </w:rPr>
        <w:t>.</w:t>
      </w:r>
      <w:r w:rsidR="00DE45AF">
        <w:rPr>
          <w:color w:val="auto"/>
        </w:rPr>
        <w:fldChar w:fldCharType="begin"/>
      </w:r>
      <w:r w:rsidR="00DE45AF">
        <w:rPr>
          <w:color w:val="auto"/>
        </w:rPr>
        <w:instrText xml:space="preserve"> ADDIN ZOTERO_ITEM CSL_CITATION {"citationID":"a8p088upi3","properties":{"formattedCitation":"{\\rtf \\super 3\\nosupersub{}}","plainCitation":"3"},"citationItems":[{"id":70,"uris":["http://zotero.org/users/564462/items/DLLED7HN"],"uri":["http://zotero.org/users/564462/items/DLLED7HN"],"itemData":{"id":70,"type":"article-journal","title":"The European Bioinformatics Institute (EBI) databases","container-title":"Nucleic Acids Research","page":"3445-3449","volume":"22","issue":"17","source":"CrossRef","DOI":"10.1093/nar/22.17.3445","ISSN":"0305-1048, 1362-4962","language":"en","author":[{"family":"Emmert","given":"David B."},{"family":"Stoehr","given":"Peter J."},{"family":"Stoesser","given":"Guenter"},{"family":"Cameron","given":"Graham N."}],"issued":{"date-parts":[["1994"]]}}}],"schema":"https://github.com/citation-style-language/schema/raw/master/csl-citation.json"} </w:instrText>
      </w:r>
      <w:r w:rsidR="00DE45AF">
        <w:rPr>
          <w:color w:val="auto"/>
        </w:rPr>
        <w:fldChar w:fldCharType="separate"/>
      </w:r>
      <w:r w:rsidR="00DE45AF" w:rsidRPr="00DE45AF">
        <w:rPr>
          <w:szCs w:val="24"/>
          <w:vertAlign w:val="superscript"/>
        </w:rPr>
        <w:t>3</w:t>
      </w:r>
      <w:r w:rsidR="00DE45AF">
        <w:rPr>
          <w:color w:val="auto"/>
        </w:rPr>
        <w:fldChar w:fldCharType="end"/>
      </w:r>
      <w:r w:rsidRPr="004121B7">
        <w:rPr>
          <w:color w:val="auto"/>
        </w:rPr>
        <w:t xml:space="preserve"> Genomes and transcriptomes from the EGA, proteomes from PRIDE</w:t>
      </w:r>
      <w:r w:rsidR="00DE45AF">
        <w:rPr>
          <w:color w:val="auto"/>
        </w:rPr>
        <w:fldChar w:fldCharType="begin"/>
      </w:r>
      <w:r w:rsidR="00DE45AF">
        <w:rPr>
          <w:color w:val="auto"/>
        </w:rPr>
        <w:instrText xml:space="preserve"> ADDIN ZOTERO_ITEM CSL_CITATION {"citationID":"aicool7r39","properties":{"formattedCitation":"{\\rtf \\super 4,5\\nosupersub{}}","plainCitation":"4,5"},"citationItems":[{"id":71,"uris":["http://zotero.org/users/564462/items/NTDN6Q9E"],"uri":["http://zotero.org/users/564462/items/NTDN6Q9E"],"itemData":{"id":71,"type":"article-journal","title":"PRIDE: The proteomics identifications database","container-title":"PROTEOMICS","page":"3537-3545","volume":"5","issue":"13","source":"CrossRef","DOI":"10.1002/pmic.200401303","ISSN":"1615-9853, 1615-9861","shortTitle":"PRIDE","language":"en","author":[{"family":"Martens","given":"Lennart"},{"family":"Hermjakob","given":"Henning"},{"family":"Jones","given":"Philip"},{"family":"Adamski","given":"Marcin"},{"family":"Taylor","given":"Chris"},{"family":"States","given":"David"},{"family":"Gevaert","given":"Kris"},{"family":"Vandekerckhove","given":"Joël"},{"family":"Apweiler","given":"Rolf"}],"issued":{"date-parts":[["2005",8]]}}},{"id":72,"uris":["http://zotero.org/users/564462/items/ZBTXWN5J"],"uri":["http://zotero.org/users/564462/items/ZBTXWN5J"],"itemData":{"id":72,"type":"article-journal","title":"PRIDE: a public repository of protein and peptide identifications for the proteomics community","container-title":"Nucleic Acids Research","page":"D659-D663","volume":"34","issue":"90001","source":"CrossRef","DOI":"10.1093/nar/gkj138","ISSN":"0305-1048, 1362-4962","shortTitle":"PRIDE","language":"en","author":[{"family":"Jones","given":"P."}],"issued":{"date-parts":[["2006",1,1]]}}}],"schema":"https://github.com/citation-style-language/schema/raw/master/csl-citation.json"} </w:instrText>
      </w:r>
      <w:r w:rsidR="00DE45AF">
        <w:rPr>
          <w:color w:val="auto"/>
        </w:rPr>
        <w:fldChar w:fldCharType="separate"/>
      </w:r>
      <w:r w:rsidR="00DE45AF" w:rsidRPr="00DE45AF">
        <w:rPr>
          <w:szCs w:val="24"/>
          <w:vertAlign w:val="superscript"/>
        </w:rPr>
        <w:t>4,5</w:t>
      </w:r>
      <w:r w:rsidR="00DE45AF">
        <w:rPr>
          <w:color w:val="auto"/>
        </w:rPr>
        <w:fldChar w:fldCharType="end"/>
      </w:r>
      <w:r w:rsidRPr="004121B7">
        <w:rPr>
          <w:color w:val="auto"/>
        </w:rPr>
        <w:t xml:space="preserve"> and </w:t>
      </w:r>
      <w:proofErr w:type="spellStart"/>
      <w:r w:rsidRPr="004121B7">
        <w:rPr>
          <w:color w:val="auto"/>
        </w:rPr>
        <w:t>lipidomes</w:t>
      </w:r>
      <w:proofErr w:type="spellEnd"/>
      <w:r w:rsidRPr="004121B7">
        <w:rPr>
          <w:color w:val="auto"/>
        </w:rPr>
        <w:t xml:space="preserve"> and metabolomes from MetaboLights</w:t>
      </w:r>
      <w:r w:rsidR="00DE45AF">
        <w:rPr>
          <w:color w:val="auto"/>
        </w:rPr>
        <w:fldChar w:fldCharType="begin"/>
      </w:r>
      <w:r w:rsidR="00DE45AF">
        <w:rPr>
          <w:color w:val="auto"/>
        </w:rPr>
        <w:instrText xml:space="preserve"> ADDIN ZOTERO_ITEM CSL_CITATION {"citationID":"a1k92uhqhgk","properties":{"formattedCitation":"{\\rtf \\super 6\\uc0\\u8211{}8\\nosupersub{}}","plainCitation":"6–8"},"citationItems":[{"id":73,"uris":["http://zotero.org/users/564462/items/XFLHW399"],"uri":["http://zotero.org/users/564462/items/XFLHW399"],"itemData":{"id":73,"type":"article-journal","title":"MetaboLights: towards a new COSMOS of metabolomics data management","container-title":"Metabolomics","page":"757-760","volume":"8","issue":"5","source":"CrossRef","DOI":"10.1007/s11306-012-0462-0","ISSN":"1573-3882, 1573-3890","shortTitle":"MetaboLights","language":"en","author":[{"family":"Steinbeck","given":"Christoph"},{"family":"Conesa","given":"Pablo"},{"family":"Haug","given":"Kenneth"},{"family":"Mahendraker","given":"Tejasvi"},{"family":"Williams","given":"Mark"},{"family":"Maguire","given":"Eamonn"},{"family":"Rocca-Serra","given":"Philippe"},{"family":"Sansone","given":"Susanna-Assunta"},{"family":"Salek","given":"Reza M."},{"family":"Griffin","given":"Julian L."}],"issued":{"date-parts":[["2012",10]]}}},{"id":75,"uris":["http://zotero.org/users/564462/items/5W6D6FSC"],"uri":["http://zotero.org/users/564462/items/5W6D6FSC"],"itemData":{"id":75,"type":"article-journal","title":"The MetaboLights repository: curation challenges in metabolomics","container-title":"Database","page":"bat029-bat029","volume":"2013","issue":"0","source":"CrossRef","DOI":"10.1093/database/bat029","ISSN":"1758-0463","shortTitle":"The MetaboLights repository","language":"en","author":[{"family":"Salek","given":"R. M."},{"family":"Haug","given":"K."},{"family":"Conesa","given":"P."},{"family":"Hastings","given":"J."},{"family":"Williams","given":"M."},{"family":"Mahendraker","given":"T."},{"family":"Maguire","given":"E."},{"family":"Gonzalez-Beltran","given":"A. N."},{"family":"Rocca-Serra","given":"P."},{"family":"Sansone","given":"S.-A."},{"family":"Steinbeck","given":"C."}],"issued":{"date-parts":[["2013",4,29]]}}},{"id":74,"uris":["http://zotero.org/users/564462/items/V6D5MVUD"],"uri":["http://zotero.org/users/564462/items/V6D5MVUD"],"itemData":{"id":74,"type":"article-journal","title":"MetaboLights—an open-access general-purpose repository for metabolomics studies and associated meta-data","container-title":"Nucleic Acids Research","page":"D781-D786","volume":"41","issue":"D1","source":"CrossRef","DOI":"10.1093/nar/gks1004","ISSN":"0305-1048, 1362-4962","language":"en","author":[{"family":"Haug","given":"Kenneth"},{"family":"Salek","given":"Reza M."},{"family":"Conesa","given":"Pablo"},{"family":"Hastings","given":"Janna"},{"family":"Matos","given":"Paula","non-dropping-particle":"de"},{"family":"Rijnbeek","given":"Mark"},{"family":"Mahendraker","given":"Tejasvi"},{"family":"Williams","given":"Mark"},{"family":"Neumann","given":"Steffen"},{"family":"Rocca-Serra","given":"Philippe"},{"family":"Maguire","given":"Eamonn"},{"family":"González-Beltrán","given":"Alejandra"},{"family":"Sansone","given":"Susanna-Assunta"},{"family":"Griffin","given":"Julian L."},{"family":"Steinbeck","given":"Christoph"}],"issued":{"date-parts":[["2013",1,1]]}}}],"schema":"https://github.com/citation-style-language/schema/raw/master/csl-citation.json"} </w:instrText>
      </w:r>
      <w:r w:rsidR="00DE45AF">
        <w:rPr>
          <w:color w:val="auto"/>
        </w:rPr>
        <w:fldChar w:fldCharType="separate"/>
      </w:r>
      <w:r w:rsidR="00DE45AF" w:rsidRPr="00DE45AF">
        <w:rPr>
          <w:szCs w:val="24"/>
          <w:vertAlign w:val="superscript"/>
        </w:rPr>
        <w:t>6–8</w:t>
      </w:r>
      <w:r w:rsidR="00DE45AF">
        <w:rPr>
          <w:color w:val="auto"/>
        </w:rPr>
        <w:fldChar w:fldCharType="end"/>
      </w:r>
      <w:r w:rsidRPr="004121B7">
        <w:rPr>
          <w:color w:val="auto"/>
        </w:rPr>
        <w:t xml:space="preserve"> will be connected to broader phenotype data on the level of the individual patient.</w:t>
      </w:r>
    </w:p>
    <w:p w14:paraId="635B2E75" w14:textId="2501A48A" w:rsidR="003B3D11" w:rsidRPr="004121B7" w:rsidRDefault="00E91664" w:rsidP="006D7153">
      <w:pPr>
        <w:spacing w:line="480" w:lineRule="auto"/>
        <w:jc w:val="both"/>
        <w:rPr>
          <w:color w:val="auto"/>
        </w:rPr>
      </w:pPr>
      <w:r w:rsidRPr="004121B7">
        <w:rPr>
          <w:color w:val="auto"/>
        </w:rPr>
        <w:t xml:space="preserve">It </w:t>
      </w:r>
      <w:proofErr w:type="gramStart"/>
      <w:r w:rsidRPr="004121B7">
        <w:rPr>
          <w:color w:val="auto"/>
        </w:rPr>
        <w:t>was acknowledged</w:t>
      </w:r>
      <w:proofErr w:type="gramEnd"/>
      <w:r w:rsidRPr="004121B7">
        <w:rPr>
          <w:color w:val="auto"/>
        </w:rPr>
        <w:t xml:space="preserve"> that data linkage is extremely challenging, due to differences in data format and structure as well as differences in data sharing policies between countries. To address this, initiatives such as the Personal Locker system</w:t>
      </w:r>
      <w:r w:rsidR="00DE45AF">
        <w:rPr>
          <w:color w:val="auto"/>
        </w:rPr>
        <w:fldChar w:fldCharType="begin"/>
      </w:r>
      <w:r w:rsidR="00DE45AF">
        <w:rPr>
          <w:color w:val="auto"/>
        </w:rPr>
        <w:instrText xml:space="preserve"> ADDIN ZOTERO_ITEM CSL_CITATION {"citationID":"a2dng4v4ah5","properties":{"formattedCitation":"{\\rtf \\super 9,10\\nosupersub{}}","plainCitation":"9,10"},"citationItems":[{"id":89,"uris":["http://zotero.org/users/564462/items/RLHM6SU8"],"uri":["http://zotero.org/users/564462/items/RLHM6SU8"],"itemData":{"id":89,"type":"article-journal","title":"The DNA Bank: High-Security Bank Accounts to Protect and Share Your Genetic Identity","container-title":"Human Mutation","page":"657-659","volume":"36","issue":"7","source":"CrossRef","DOI":"10.1002/humu.22810","ISSN":"10597794","shortTitle":"The DNA Bank","language":"en","author":[{"family":"Dunnen","given":"Johan T.","non-dropping-particle":"den"}],"issued":{"date-parts":[["2015",7]]}}},{"id":90,"uris":["http://zotero.org/users/564462/items/4NHV9NDV"],"uri":["http://zotero.org/users/564462/items/4NHV9NDV"],"itemData":{"id":90,"type":"article-journal","title":"Interoperability and FAIRness through a novel combination of Web technologies","container-title":"PeerJ Computer Science","page":"e110","volume":"3","source":"CrossRef","DOI":"10.7717/peerj-cs.110","ISSN":"2376-5992","language":"en","author":[{"family":"Wilkinson","given":"Mark D."},{"family":"Verborgh","given":"Ruben"},{"family":"Bonino da Silva Santos","given":"Luiz Olavo"},{"family":"Clark","given":"Tim"},{"family":"Swertz","given":"Morris A."},{"family":"Kelpin","given":"Fleur D.L."},{"family":"Gray","given":"Alasdair J.G."},{"family":"Schultes","given":"Erik A."},{"family":"Mulligen","given":"Erik M.","non-dropping-particle":"van"},{"family":"Ciccarese","given":"Paolo"},{"family":"Kuzniar","given":"Arnold"},{"family":"Gavai","given":"Anand"},{"family":"Thompson","given":"Mark"},{"family":"Kaliyaperumal","given":"Rajaram"},{"family":"Bolleman","given":"Jerven T."},{"family":"Dumontier","given":"Michel"}],"issued":{"date-parts":[["2017",4,24]]}}}],"schema":"https://github.com/citation-style-language/schema/raw/master/csl-citation.json"} </w:instrText>
      </w:r>
      <w:r w:rsidR="00DE45AF">
        <w:rPr>
          <w:color w:val="auto"/>
        </w:rPr>
        <w:fldChar w:fldCharType="separate"/>
      </w:r>
      <w:r w:rsidR="00DE45AF" w:rsidRPr="00DE45AF">
        <w:rPr>
          <w:szCs w:val="24"/>
          <w:vertAlign w:val="superscript"/>
        </w:rPr>
        <w:t>9,10</w:t>
      </w:r>
      <w:r w:rsidR="00DE45AF">
        <w:rPr>
          <w:color w:val="auto"/>
        </w:rPr>
        <w:fldChar w:fldCharType="end"/>
      </w:r>
      <w:r w:rsidRPr="004121B7">
        <w:rPr>
          <w:color w:val="auto"/>
        </w:rPr>
        <w:t xml:space="preserve"> are being developed to allow patients to control the way information about their healthcare is stored and accessed. Clinicians and researchers will have access </w:t>
      </w:r>
      <w:r w:rsidRPr="004121B7">
        <w:rPr>
          <w:color w:val="auto"/>
        </w:rPr>
        <w:lastRenderedPageBreak/>
        <w:t>to non-sensitive data (such as metadata), but to access sensitive data they will need to request it the from the data owner, i.e. the patient. Upon the identification of the data user, the data owner will be able to decide which of the sensitive data to make accessible.</w:t>
      </w:r>
    </w:p>
    <w:p w14:paraId="3C1232A5" w14:textId="77777777" w:rsidR="003B3D11" w:rsidRPr="00EB4A92" w:rsidRDefault="00E91664" w:rsidP="006D7153">
      <w:pPr>
        <w:pStyle w:val="Heading3"/>
        <w:spacing w:line="480" w:lineRule="auto"/>
        <w:rPr>
          <w:color w:val="auto"/>
          <w:sz w:val="22"/>
        </w:rPr>
      </w:pPr>
      <w:r w:rsidRPr="00EB4A92">
        <w:rPr>
          <w:color w:val="auto"/>
          <w:sz w:val="22"/>
        </w:rPr>
        <w:t xml:space="preserve">Patient-centred data sharing and legal issues </w:t>
      </w:r>
    </w:p>
    <w:p w14:paraId="212DAC40" w14:textId="77777777" w:rsidR="003B3D11" w:rsidRPr="004121B7" w:rsidRDefault="00E91664" w:rsidP="006D7153">
      <w:pPr>
        <w:spacing w:line="480" w:lineRule="auto"/>
        <w:jc w:val="both"/>
        <w:rPr>
          <w:color w:val="auto"/>
        </w:rPr>
      </w:pPr>
      <w:r w:rsidRPr="004121B7">
        <w:rPr>
          <w:color w:val="auto"/>
        </w:rPr>
        <w:t xml:space="preserve">Veronica </w:t>
      </w:r>
      <w:proofErr w:type="spellStart"/>
      <w:r w:rsidRPr="004121B7">
        <w:rPr>
          <w:color w:val="auto"/>
        </w:rPr>
        <w:t>Popa</w:t>
      </w:r>
      <w:proofErr w:type="spellEnd"/>
      <w:r w:rsidRPr="004121B7">
        <w:rPr>
          <w:color w:val="auto"/>
        </w:rPr>
        <w:t xml:space="preserve"> and Cathy Turner introduced the importance of patient input, and discussed how they can be the greatest advocates of RD-research. Many patients want their data to </w:t>
      </w:r>
      <w:proofErr w:type="gramStart"/>
      <w:r w:rsidRPr="004121B7">
        <w:rPr>
          <w:color w:val="auto"/>
        </w:rPr>
        <w:t>be used</w:t>
      </w:r>
      <w:proofErr w:type="gramEnd"/>
      <w:r w:rsidRPr="004121B7">
        <w:rPr>
          <w:color w:val="auto"/>
        </w:rPr>
        <w:t xml:space="preserve"> for research and benefit others, but they also want to be informed. Researchers should be obliged to be transparent about what happens with the patient data.</w:t>
      </w:r>
    </w:p>
    <w:p w14:paraId="7035D196" w14:textId="38810F0E" w:rsidR="003B3D11" w:rsidRPr="004121B7" w:rsidRDefault="00E91664" w:rsidP="006D7153">
      <w:pPr>
        <w:spacing w:line="480" w:lineRule="auto"/>
        <w:jc w:val="both"/>
        <w:rPr>
          <w:color w:val="auto"/>
        </w:rPr>
      </w:pPr>
      <w:r w:rsidRPr="004121B7">
        <w:rPr>
          <w:color w:val="auto"/>
        </w:rPr>
        <w:t xml:space="preserve">The panel agreed that many obstacles for data sharing </w:t>
      </w:r>
      <w:proofErr w:type="gramStart"/>
      <w:r w:rsidRPr="004121B7">
        <w:rPr>
          <w:color w:val="auto"/>
        </w:rPr>
        <w:t>are related</w:t>
      </w:r>
      <w:proofErr w:type="gramEnd"/>
      <w:r w:rsidRPr="004121B7">
        <w:rPr>
          <w:color w:val="auto"/>
        </w:rPr>
        <w:t xml:space="preserve"> to consent. RD-Connect and NeurOmics have done a lot of work ensuring that consents are appropriate for data sharing in platforms such as RD-Connect. When consent </w:t>
      </w:r>
      <w:proofErr w:type="gramStart"/>
      <w:r w:rsidRPr="004121B7">
        <w:rPr>
          <w:color w:val="auto"/>
        </w:rPr>
        <w:t>is given</w:t>
      </w:r>
      <w:proofErr w:type="gramEnd"/>
      <w:r w:rsidRPr="004121B7">
        <w:rPr>
          <w:color w:val="auto"/>
        </w:rPr>
        <w:t xml:space="preserve"> for a specific purpose, it can often prevent the reuse of the data in future studies, some of which may not be considered until many years later. This currently means that patients must be re-contacted if a new research need arises; however, this often resource intensive and inefficient. Future best practice should consider a broad consent covering the use of data in future research. The importance of data security was acknowledged; however, the panel discussed that overprotection of patient privacy could impede research and development of life-saving therapies.</w:t>
      </w:r>
    </w:p>
    <w:p w14:paraId="5BB66C7D" w14:textId="591A1F01" w:rsidR="003B3D11" w:rsidRPr="004121B7" w:rsidRDefault="00E91664" w:rsidP="006D7153">
      <w:pPr>
        <w:spacing w:line="480" w:lineRule="auto"/>
        <w:jc w:val="both"/>
        <w:rPr>
          <w:color w:val="auto"/>
        </w:rPr>
      </w:pPr>
      <w:r w:rsidRPr="004121B7">
        <w:rPr>
          <w:color w:val="auto"/>
        </w:rPr>
        <w:t>The discussion highlighted some of RD-</w:t>
      </w:r>
      <w:proofErr w:type="spellStart"/>
      <w:r w:rsidRPr="004121B7">
        <w:rPr>
          <w:color w:val="auto"/>
        </w:rPr>
        <w:t>Connect’s</w:t>
      </w:r>
      <w:proofErr w:type="spellEnd"/>
      <w:r w:rsidRPr="004121B7">
        <w:rPr>
          <w:color w:val="auto"/>
        </w:rPr>
        <w:t xml:space="preserve"> work in this area. In particular</w:t>
      </w:r>
      <w:r w:rsidR="00DE45AF">
        <w:rPr>
          <w:color w:val="auto"/>
        </w:rPr>
        <w:t>,</w:t>
      </w:r>
      <w:r w:rsidRPr="004121B7">
        <w:rPr>
          <w:color w:val="auto"/>
        </w:rPr>
        <w:t xml:space="preserve"> a study on the attitudes of rare disease patients to participation in genomics research, particularly around large-scale, international data and biosample sharing. The study concluded that patients see data sharing as imperative for the </w:t>
      </w:r>
      <w:r w:rsidR="00371CD8" w:rsidRPr="004121B7">
        <w:rPr>
          <w:color w:val="auto"/>
        </w:rPr>
        <w:t>advancement of medical research</w:t>
      </w:r>
      <w:r w:rsidR="00DE45AF">
        <w:rPr>
          <w:color w:val="auto"/>
        </w:rPr>
        <w:t>.</w:t>
      </w:r>
      <w:r w:rsidR="00DE45AF">
        <w:rPr>
          <w:color w:val="auto"/>
        </w:rPr>
        <w:fldChar w:fldCharType="begin"/>
      </w:r>
      <w:r w:rsidR="00DE45AF">
        <w:rPr>
          <w:color w:val="auto"/>
        </w:rPr>
        <w:instrText xml:space="preserve"> ADDIN ZOTERO_ITEM CSL_CITATION {"citationID":"a12lbmmcat5","properties":{"formattedCitation":"{\\rtf \\super 11\\nosupersub{}}","plainCitation":"11"},"citationItems":[{"id":114,"uris":["http://zotero.org/users/564462/items/FTDZTTK3"],"uri":["http://zotero.org/users/564462/items/FTDZTTK3"],"itemData":{"id":114,"type":"article-journal","title":"‘You should at least ask’. The expectations, hopes and fears of rare disease patients on large-scale data and biomaterial sharing for genomics research","container-title":"European Journal of Human Genetics","page":"1403-1408","volume":"24","issue":"10","source":"www.nature.com","abstract":"Within the myriad articles about participants’ opinions of genomics research, the views of a distinct group – people with a rare disease (RD) – are unknown. It is important to understand if their opinions differ from the general public by dint of having a rare disease and vulnerabilities inherent in this. Here we document RD patients’ attitudes to participation in genomics research, particularly around large-scale, international data and biosample sharing. This work is unique in exploring the views of people with a range of rare disorders from many different countries. The authors work within an international, multidisciplinary consortium, RD-Connect, which has developed an integrated platform connecting databases, registries, biobanks and clinical bioinformatics for RD research. Focus groups were conducted with 52 RD patients from 16 countries. Using a scenario-based approach, participants were encouraged to raise topics relevant to their own experiences, rather than these being determined by the researcher. Issues include wide data sharing, and consent for new uses of historic samples and for children. Focus group members are positively disposed towards research and towards allowing data and biosamples to be shared internationally. Expressions of trust and attitudes to risk are often affected by the nature of the RD which they have experience of, as well as regulatory and cultural practices in their home country. Participants are concerned about data security and misuse. There is an acute recognition of the vulnerability inherent in having a RD and the possibility that open knowledge of this could lead to discrimination.","DOI":"10.1038/ejhg.2016.30","ISSN":"1018-4813","journalAbbreviation":"Eur J Hum Genet","language":"en","author":[{"family":"McCormack","given":"Pauline"},{"family":"Kole","given":"Anna"},{"family":"Gainotti","given":"Sabina"},{"family":"Mascalzoni","given":"Deborah"},{"family":"Molster","given":"Caron"},{"family":"Lochmüller","given":"Hanns"},{"family":"Woods","given":"Simon"}],"issued":{"date-parts":[["2016",10]]}}}],"schema":"https://github.com/citation-style-language/schema/raw/master/csl-citation.json"} </w:instrText>
      </w:r>
      <w:r w:rsidR="00DE45AF">
        <w:rPr>
          <w:color w:val="auto"/>
        </w:rPr>
        <w:fldChar w:fldCharType="separate"/>
      </w:r>
      <w:r w:rsidR="00DE45AF" w:rsidRPr="00DE45AF">
        <w:rPr>
          <w:szCs w:val="24"/>
          <w:vertAlign w:val="superscript"/>
        </w:rPr>
        <w:t>11</w:t>
      </w:r>
      <w:r w:rsidR="00DE45AF">
        <w:rPr>
          <w:color w:val="auto"/>
        </w:rPr>
        <w:fldChar w:fldCharType="end"/>
      </w:r>
    </w:p>
    <w:p w14:paraId="006CE123" w14:textId="4DABB234" w:rsidR="003B3D11" w:rsidRPr="004121B7" w:rsidRDefault="00E91664" w:rsidP="006D7153">
      <w:pPr>
        <w:spacing w:line="480" w:lineRule="auto"/>
        <w:jc w:val="both"/>
        <w:rPr>
          <w:color w:val="auto"/>
        </w:rPr>
      </w:pPr>
      <w:proofErr w:type="gramStart"/>
      <w:r w:rsidRPr="004121B7">
        <w:rPr>
          <w:color w:val="auto"/>
        </w:rPr>
        <w:t>Furthermore</w:t>
      </w:r>
      <w:r w:rsidR="00371CD8" w:rsidRPr="004121B7">
        <w:rPr>
          <w:color w:val="auto"/>
        </w:rPr>
        <w:t>,</w:t>
      </w:r>
      <w:r w:rsidRPr="004121B7">
        <w:rPr>
          <w:color w:val="auto"/>
        </w:rPr>
        <w:t xml:space="preserve"> RD-Connect included experts in ethical and legal standards and together they have developed best ethical practices and recommendations for a regulatory framework for linking medical and personal data related to RD - in particular</w:t>
      </w:r>
      <w:r w:rsidR="006711D2">
        <w:rPr>
          <w:color w:val="auto"/>
        </w:rPr>
        <w:t>,</w:t>
      </w:r>
      <w:r w:rsidRPr="004121B7">
        <w:rPr>
          <w:color w:val="auto"/>
        </w:rPr>
        <w:t xml:space="preserve"> the Code of Practice: an ethical framework to enable sharing of sensitive human data in a secure and ethical fashion, based on legal requirements and </w:t>
      </w:r>
      <w:r w:rsidRPr="004121B7">
        <w:rPr>
          <w:color w:val="auto"/>
        </w:rPr>
        <w:lastRenderedPageBreak/>
        <w:t>ethical principles as well as patient and scientific needs.</w:t>
      </w:r>
      <w:proofErr w:type="gramEnd"/>
      <w:r w:rsidRPr="004121B7">
        <w:rPr>
          <w:color w:val="auto"/>
        </w:rPr>
        <w:t xml:space="preserve"> The panel agreed these documents are important and </w:t>
      </w:r>
      <w:proofErr w:type="gramStart"/>
      <w:r w:rsidRPr="004121B7">
        <w:rPr>
          <w:color w:val="auto"/>
        </w:rPr>
        <w:t>should be considered</w:t>
      </w:r>
      <w:proofErr w:type="gramEnd"/>
      <w:r w:rsidRPr="004121B7">
        <w:rPr>
          <w:color w:val="auto"/>
        </w:rPr>
        <w:t xml:space="preserve"> widely to ensure rare disease research can have the greatest impact.</w:t>
      </w:r>
    </w:p>
    <w:p w14:paraId="6C05BA81" w14:textId="77777777" w:rsidR="003B3D11" w:rsidRPr="00EB4A92" w:rsidRDefault="00E91664" w:rsidP="006D7153">
      <w:pPr>
        <w:pStyle w:val="Heading3"/>
        <w:spacing w:line="480" w:lineRule="auto"/>
        <w:rPr>
          <w:color w:val="auto"/>
          <w:sz w:val="22"/>
        </w:rPr>
      </w:pPr>
      <w:bookmarkStart w:id="2" w:name="_xmichmtpablp" w:colFirst="0" w:colLast="0"/>
      <w:bookmarkEnd w:id="2"/>
      <w:r w:rsidRPr="00EB4A92">
        <w:rPr>
          <w:color w:val="auto"/>
          <w:sz w:val="22"/>
        </w:rPr>
        <w:t xml:space="preserve">New Challenges </w:t>
      </w:r>
    </w:p>
    <w:p w14:paraId="32D0C8F2" w14:textId="16DE77A9" w:rsidR="003B3D11" w:rsidRPr="004121B7" w:rsidRDefault="00E91664" w:rsidP="006D7153">
      <w:pPr>
        <w:spacing w:line="480" w:lineRule="auto"/>
        <w:jc w:val="both"/>
        <w:rPr>
          <w:color w:val="auto"/>
        </w:rPr>
      </w:pPr>
      <w:r w:rsidRPr="004121B7">
        <w:rPr>
          <w:color w:val="auto"/>
        </w:rPr>
        <w:t>The session concluded with a discussion around the changing environment of data sharing in rare diseases. The RD community will need to adapt to the new European General Data Protection Regulation (GDPR), which will enter into force on 25 May 201</w:t>
      </w:r>
      <w:r w:rsidR="006711D2">
        <w:rPr>
          <w:color w:val="auto"/>
        </w:rPr>
        <w:t>8.</w:t>
      </w:r>
      <w:r w:rsidR="006711D2">
        <w:rPr>
          <w:color w:val="auto"/>
        </w:rPr>
        <w:fldChar w:fldCharType="begin"/>
      </w:r>
      <w:r w:rsidR="006711D2">
        <w:rPr>
          <w:color w:val="auto"/>
        </w:rPr>
        <w:instrText xml:space="preserve"> ADDIN ZOTERO_ITEM CSL_CITATION {"citationID":"a85cqn9ui5","properties":{"formattedCitation":"{\\rtf \\super 12\\nosupersub{}}","plainCitation":"12"},"citationItems":[{"id":117,"uris":["http://zotero.org/users/564462/items/ZN8KNS3C"],"uri":["http://zotero.org/users/564462/items/ZN8KNS3C"],"itemData":{"id":117,"type":"webpage","title":"Home Page of EU GDPR","container-title":"EU GDPR Portal","abstract":"EU GDPR: General Data Protection Regulation","URL":"http://eugdpr.org/eugdpr.org.html"}}],"schema":"https://github.com/citation-style-language/schema/raw/master/csl-citation.json"} </w:instrText>
      </w:r>
      <w:r w:rsidR="006711D2">
        <w:rPr>
          <w:color w:val="auto"/>
        </w:rPr>
        <w:fldChar w:fldCharType="separate"/>
      </w:r>
      <w:r w:rsidR="006711D2" w:rsidRPr="006711D2">
        <w:rPr>
          <w:szCs w:val="24"/>
          <w:vertAlign w:val="superscript"/>
        </w:rPr>
        <w:t>12</w:t>
      </w:r>
      <w:r w:rsidR="006711D2">
        <w:rPr>
          <w:color w:val="auto"/>
        </w:rPr>
        <w:fldChar w:fldCharType="end"/>
      </w:r>
      <w:r w:rsidRPr="004121B7">
        <w:rPr>
          <w:color w:val="auto"/>
        </w:rPr>
        <w:t xml:space="preserve"> In response to the new legislation, the rare disease community including those involved in RD-Connect, NeurOmics and EURenOmics are working on a collaborative effort to produce a Code of Conduct for data sharing in biomedical research.</w:t>
      </w:r>
    </w:p>
    <w:p w14:paraId="0EB9C874" w14:textId="77777777" w:rsidR="003B3D11" w:rsidRPr="004121B7" w:rsidRDefault="00E91664" w:rsidP="006D7153">
      <w:pPr>
        <w:spacing w:line="480" w:lineRule="auto"/>
        <w:jc w:val="both"/>
        <w:rPr>
          <w:color w:val="auto"/>
        </w:rPr>
      </w:pPr>
      <w:r w:rsidRPr="004121B7">
        <w:rPr>
          <w:color w:val="auto"/>
        </w:rPr>
        <w:t>The launch of 24 European Reference Networks (ERNs) for rare diseases in March 2017 also presents new opportunities for data sharing. The tools and methodology applied in RD-Connect, NeurOmics and EURenOmics shows the benefits of harmonisation and collaborative working, RD-Connect is therefore well placed to provide a framework for genomic phenotypic registry data and support the ERNs in their research and diagnostic goals.</w:t>
      </w:r>
    </w:p>
    <w:p w14:paraId="084BCA22" w14:textId="77777777" w:rsidR="003B3D11" w:rsidRPr="004121B7" w:rsidRDefault="00E91664" w:rsidP="006D7153">
      <w:pPr>
        <w:pStyle w:val="Heading2"/>
        <w:spacing w:line="480" w:lineRule="auto"/>
        <w:rPr>
          <w:color w:val="auto"/>
        </w:rPr>
      </w:pPr>
      <w:bookmarkStart w:id="3" w:name="_4j81jsamff40" w:colFirst="0" w:colLast="0"/>
      <w:bookmarkEnd w:id="3"/>
      <w:r w:rsidRPr="004121B7">
        <w:rPr>
          <w:color w:val="auto"/>
        </w:rPr>
        <w:t>Diagnosis</w:t>
      </w:r>
    </w:p>
    <w:p w14:paraId="5E963279" w14:textId="77777777" w:rsidR="003B3D11" w:rsidRPr="004121B7" w:rsidRDefault="00E91664" w:rsidP="006D7153">
      <w:pPr>
        <w:spacing w:line="480" w:lineRule="auto"/>
        <w:jc w:val="both"/>
        <w:rPr>
          <w:color w:val="auto"/>
        </w:rPr>
      </w:pPr>
      <w:proofErr w:type="gramStart"/>
      <w:r w:rsidRPr="004121B7">
        <w:rPr>
          <w:color w:val="auto"/>
        </w:rPr>
        <w:t>The diagnosis session was chaired by Nine Knoers (University Medical Centre Utrecht, EURenOmics)</w:t>
      </w:r>
      <w:proofErr w:type="gramEnd"/>
      <w:r w:rsidRPr="004121B7">
        <w:rPr>
          <w:color w:val="auto"/>
        </w:rPr>
        <w:t xml:space="preserve">. She was assisted by the panel members: Milan Macek (Charles University in Prague, RD-Connect), Peter Bauer (University of Tübingen, </w:t>
      </w:r>
      <w:proofErr w:type="spellStart"/>
      <w:r w:rsidRPr="004121B7">
        <w:rPr>
          <w:color w:val="auto"/>
        </w:rPr>
        <w:t>Centogene</w:t>
      </w:r>
      <w:proofErr w:type="spellEnd"/>
      <w:r w:rsidRPr="004121B7">
        <w:rPr>
          <w:color w:val="auto"/>
        </w:rPr>
        <w:t>, NeurOmics) and Daniel Renault (FEDERG, Patient Advisory Council, Rare Disease Patient and Ethics Council).</w:t>
      </w:r>
    </w:p>
    <w:p w14:paraId="431B27AB" w14:textId="77777777" w:rsidR="003B3D11" w:rsidRPr="004121B7" w:rsidRDefault="00E91664" w:rsidP="006D7153">
      <w:pPr>
        <w:spacing w:line="480" w:lineRule="auto"/>
        <w:jc w:val="both"/>
        <w:rPr>
          <w:color w:val="auto"/>
        </w:rPr>
      </w:pPr>
      <w:r w:rsidRPr="004121B7">
        <w:rPr>
          <w:color w:val="auto"/>
        </w:rPr>
        <w:t xml:space="preserve">Nine Knoers opened the session stating that genetic testing has an increasing role in diagnosing RDs and is crucial for genetic counselling, carrier testing, prenatal diagnosis, preimplantation genetic diagnosis (PGD) and identifying risk factors, and may be useful for determining appropriate treatment. The development of next generation sequencing (NGS) technologies (disease-specific multi-gene panels, WES and WGS) has made it possible to sequence multiple genes or even an entire genome in </w:t>
      </w:r>
      <w:r w:rsidRPr="004121B7">
        <w:rPr>
          <w:color w:val="auto"/>
        </w:rPr>
        <w:lastRenderedPageBreak/>
        <w:t xml:space="preserve">a single test. This </w:t>
      </w:r>
      <w:proofErr w:type="gramStart"/>
      <w:r w:rsidRPr="004121B7">
        <w:rPr>
          <w:color w:val="auto"/>
        </w:rPr>
        <w:t>has been followed</w:t>
      </w:r>
      <w:proofErr w:type="gramEnd"/>
      <w:r w:rsidRPr="004121B7">
        <w:rPr>
          <w:color w:val="auto"/>
        </w:rPr>
        <w:t xml:space="preserve"> by rapid development of tools for NGS data analysis, such as the RD-Connect Genome-Phenome Analysis Platform. This has greatly improved the likelihood and accuracy of diagnosis in RDs, but has also created novel challenges.</w:t>
      </w:r>
    </w:p>
    <w:p w14:paraId="03CDB18D" w14:textId="77777777" w:rsidR="003B3D11" w:rsidRPr="004121B7" w:rsidRDefault="00E91664" w:rsidP="006D7153">
      <w:pPr>
        <w:spacing w:line="480" w:lineRule="auto"/>
        <w:jc w:val="both"/>
        <w:rPr>
          <w:color w:val="auto"/>
        </w:rPr>
      </w:pPr>
      <w:r w:rsidRPr="004121B7">
        <w:rPr>
          <w:color w:val="auto"/>
        </w:rPr>
        <w:t xml:space="preserve">The introduction continued to discuss the burden of the diagnostic odyssey of RD patients.  Diagnosis often takes years and most RD patients remain undiagnosed. IRDiRC aims to address this and create means to diagnose all RDs by 2020. However, as more disease genes </w:t>
      </w:r>
      <w:proofErr w:type="gramStart"/>
      <w:r w:rsidRPr="004121B7">
        <w:rPr>
          <w:color w:val="auto"/>
        </w:rPr>
        <w:t>are being discovered</w:t>
      </w:r>
      <w:proofErr w:type="gramEnd"/>
      <w:r w:rsidRPr="004121B7">
        <w:rPr>
          <w:color w:val="auto"/>
        </w:rPr>
        <w:t xml:space="preserve">, the number of known RDs might exceed the expected 7000 </w:t>
      </w:r>
      <w:proofErr w:type="spellStart"/>
      <w:r w:rsidRPr="004121B7">
        <w:rPr>
          <w:color w:val="auto"/>
        </w:rPr>
        <w:t>RDs.</w:t>
      </w:r>
      <w:proofErr w:type="spellEnd"/>
      <w:r w:rsidRPr="004121B7">
        <w:rPr>
          <w:color w:val="auto"/>
        </w:rPr>
        <w:t xml:space="preserve"> That makes diagnosis a moving target.</w:t>
      </w:r>
    </w:p>
    <w:p w14:paraId="05212D51" w14:textId="77777777" w:rsidR="003B3D11" w:rsidRPr="00EB4A92" w:rsidRDefault="00E91664" w:rsidP="006D7153">
      <w:pPr>
        <w:pStyle w:val="Heading3"/>
        <w:spacing w:line="480" w:lineRule="auto"/>
        <w:rPr>
          <w:color w:val="auto"/>
          <w:sz w:val="22"/>
        </w:rPr>
      </w:pPr>
      <w:r w:rsidRPr="00EB4A92">
        <w:rPr>
          <w:color w:val="auto"/>
          <w:sz w:val="22"/>
        </w:rPr>
        <w:t>NGS data interpretation</w:t>
      </w:r>
    </w:p>
    <w:p w14:paraId="64D42DA7" w14:textId="77ABA77A" w:rsidR="003B3D11" w:rsidRPr="004121B7" w:rsidRDefault="00E91664" w:rsidP="006D7153">
      <w:pPr>
        <w:spacing w:line="480" w:lineRule="auto"/>
        <w:jc w:val="both"/>
        <w:rPr>
          <w:color w:val="auto"/>
        </w:rPr>
      </w:pPr>
      <w:r w:rsidRPr="004121B7">
        <w:rPr>
          <w:color w:val="auto"/>
        </w:rPr>
        <w:t>The panel highlighted the complex nature of genetic diagnosis and that many of the challenges lie in the interpretation of the NGS data. Diagnosis is a multistep process that relies on finding a pathogenic genetic variant in an enormous amount of sequencing data. This requires adequate bioinformatic capacities and analysis tools. Furthermore</w:t>
      </w:r>
      <w:r w:rsidR="00371CD8" w:rsidRPr="004121B7">
        <w:rPr>
          <w:color w:val="auto"/>
        </w:rPr>
        <w:t>,</w:t>
      </w:r>
      <w:r w:rsidRPr="004121B7">
        <w:rPr>
          <w:color w:val="auto"/>
        </w:rPr>
        <w:t xml:space="preserve"> the discussion ra</w:t>
      </w:r>
      <w:r w:rsidR="00371CD8" w:rsidRPr="004121B7">
        <w:rPr>
          <w:color w:val="auto"/>
        </w:rPr>
        <w:t xml:space="preserve">ised many other obstacles that </w:t>
      </w:r>
      <w:r w:rsidRPr="004121B7">
        <w:rPr>
          <w:color w:val="auto"/>
        </w:rPr>
        <w:t>increase the chall</w:t>
      </w:r>
      <w:r w:rsidR="00371CD8" w:rsidRPr="004121B7">
        <w:rPr>
          <w:color w:val="auto"/>
        </w:rPr>
        <w:t>enge of interpreting NGS data:</w:t>
      </w:r>
    </w:p>
    <w:p w14:paraId="3AE84678" w14:textId="60878CB9" w:rsidR="003B3D11" w:rsidRPr="004121B7" w:rsidRDefault="00371CD8" w:rsidP="006D7153">
      <w:pPr>
        <w:numPr>
          <w:ilvl w:val="0"/>
          <w:numId w:val="2"/>
        </w:numPr>
        <w:spacing w:after="0" w:line="480" w:lineRule="auto"/>
        <w:contextualSpacing/>
        <w:jc w:val="both"/>
        <w:rPr>
          <w:color w:val="auto"/>
        </w:rPr>
      </w:pPr>
      <w:r w:rsidRPr="004121B7">
        <w:rPr>
          <w:color w:val="auto"/>
        </w:rPr>
        <w:t>h</w:t>
      </w:r>
      <w:r w:rsidR="00E91664" w:rsidRPr="004121B7">
        <w:rPr>
          <w:color w:val="auto"/>
        </w:rPr>
        <w:t xml:space="preserve">igh numbers of Variants of Unknown Significance (VUS) </w:t>
      </w:r>
    </w:p>
    <w:p w14:paraId="7BE44B86" w14:textId="505B460A" w:rsidR="003B3D11" w:rsidRPr="004121B7" w:rsidRDefault="00371CD8" w:rsidP="006D7153">
      <w:pPr>
        <w:numPr>
          <w:ilvl w:val="0"/>
          <w:numId w:val="2"/>
        </w:numPr>
        <w:spacing w:after="0" w:line="480" w:lineRule="auto"/>
        <w:contextualSpacing/>
        <w:jc w:val="both"/>
        <w:rPr>
          <w:color w:val="auto"/>
        </w:rPr>
      </w:pPr>
      <w:r w:rsidRPr="004121B7">
        <w:rPr>
          <w:color w:val="auto"/>
        </w:rPr>
        <w:t>l</w:t>
      </w:r>
      <w:r w:rsidR="00E91664" w:rsidRPr="004121B7">
        <w:rPr>
          <w:color w:val="auto"/>
        </w:rPr>
        <w:t xml:space="preserve">imited accuracy (less than 80%) of </w:t>
      </w:r>
      <w:r w:rsidR="00E91664" w:rsidRPr="004121B7">
        <w:rPr>
          <w:i/>
          <w:color w:val="auto"/>
        </w:rPr>
        <w:t>In silico</w:t>
      </w:r>
      <w:r w:rsidR="00E91664" w:rsidRPr="004121B7">
        <w:rPr>
          <w:color w:val="auto"/>
        </w:rPr>
        <w:t xml:space="preserve"> tools for predicting variant pathogenicity (i.e. SIFT, </w:t>
      </w:r>
      <w:proofErr w:type="spellStart"/>
      <w:r w:rsidR="00E91664" w:rsidRPr="004121B7">
        <w:rPr>
          <w:color w:val="auto"/>
        </w:rPr>
        <w:t>Polyphen</w:t>
      </w:r>
      <w:proofErr w:type="spellEnd"/>
      <w:r w:rsidR="00E91664" w:rsidRPr="004121B7">
        <w:rPr>
          <w:color w:val="auto"/>
        </w:rPr>
        <w:t>)</w:t>
      </w:r>
    </w:p>
    <w:p w14:paraId="00323D08" w14:textId="25DA989C" w:rsidR="003B3D11" w:rsidRPr="004121B7" w:rsidRDefault="00371CD8" w:rsidP="006D7153">
      <w:pPr>
        <w:numPr>
          <w:ilvl w:val="0"/>
          <w:numId w:val="2"/>
        </w:numPr>
        <w:spacing w:after="0" w:line="480" w:lineRule="auto"/>
        <w:contextualSpacing/>
        <w:jc w:val="both"/>
        <w:rPr>
          <w:color w:val="auto"/>
        </w:rPr>
      </w:pPr>
      <w:r w:rsidRPr="004121B7">
        <w:rPr>
          <w:color w:val="auto"/>
        </w:rPr>
        <w:t>d</w:t>
      </w:r>
      <w:r w:rsidR="00E91664" w:rsidRPr="004121B7">
        <w:rPr>
          <w:color w:val="auto"/>
        </w:rPr>
        <w:t xml:space="preserve">iffering annotation in </w:t>
      </w:r>
      <w:r w:rsidR="000D6A18">
        <w:rPr>
          <w:color w:val="auto"/>
        </w:rPr>
        <w:t>variant</w:t>
      </w:r>
      <w:r w:rsidR="00E91664" w:rsidRPr="004121B7">
        <w:rPr>
          <w:color w:val="auto"/>
        </w:rPr>
        <w:t xml:space="preserve"> and variation database</w:t>
      </w:r>
      <w:r w:rsidR="006711D2">
        <w:rPr>
          <w:color w:val="auto"/>
        </w:rPr>
        <w:t>s</w:t>
      </w:r>
      <w:r w:rsidR="006711D2">
        <w:rPr>
          <w:color w:val="auto"/>
        </w:rPr>
        <w:fldChar w:fldCharType="begin"/>
      </w:r>
      <w:r w:rsidR="006711D2">
        <w:rPr>
          <w:color w:val="auto"/>
        </w:rPr>
        <w:instrText xml:space="preserve"> ADDIN ZOTERO_ITEM CSL_CITATION {"citationID":"a12c13kg270","properties":{"formattedCitation":"{\\rtf \\super 13\\nosupersub{}}","plainCitation":"13"},"citationItems":[{"id":119,"uris":["http://zotero.org/users/564462/items/9QFKXXBT"],"uri":["http://zotero.org/users/564462/items/9QFKXXBT"],"itemData":{"id":119,"type":"article-journal","title":"Choice of transcripts and software has a large effect on variant annotation","container-title":"Genome Medicine","page":"26","volume":"6","source":"BioMed Central","abstract":"Variant annotation is a crucial step in the analysis of genome sequencing data. Functional annotation results can have a strong influence on the ultimate conclusions of disease studies. Incorrect or incomplete annotations can cause researchers both to overlook potentially disease-relevant DNA variants and to dilute interesting variants in a pool of false positives. Researchers are aware of these issues in general, but the extent of the dependency of final results on the choice of transcripts and software used for annotation has not been quantified in detail.","DOI":"10.1186/gm543","ISSN":"1756-994X","journalAbbreviation":"Genome Medicine","author":[{"family":"McCarthy","given":"Davis J."},{"family":"Humburg","given":"Peter"},{"family":"Kanapin","given":"Alexander"},{"family":"Rivas","given":"Manuel A."},{"family":"Gaulton","given":"Kyle"},{"family":"Cazier","given":"Jean-Baptiste"},{"family":"Donnelly","given":"Peter"}],"issued":{"date-parts":[["2014",3,31]]}}}],"schema":"https://github.com/citation-style-language/schema/raw/master/csl-citation.json"} </w:instrText>
      </w:r>
      <w:r w:rsidR="006711D2">
        <w:rPr>
          <w:color w:val="auto"/>
        </w:rPr>
        <w:fldChar w:fldCharType="separate"/>
      </w:r>
      <w:r w:rsidR="006711D2" w:rsidRPr="006711D2">
        <w:rPr>
          <w:szCs w:val="24"/>
          <w:vertAlign w:val="superscript"/>
        </w:rPr>
        <w:t>13</w:t>
      </w:r>
      <w:r w:rsidR="006711D2">
        <w:rPr>
          <w:color w:val="auto"/>
        </w:rPr>
        <w:fldChar w:fldCharType="end"/>
      </w:r>
    </w:p>
    <w:p w14:paraId="225C1E5F" w14:textId="3677C410" w:rsidR="003B3D11" w:rsidRPr="004121B7" w:rsidRDefault="00371CD8" w:rsidP="006D7153">
      <w:pPr>
        <w:numPr>
          <w:ilvl w:val="0"/>
          <w:numId w:val="2"/>
        </w:numPr>
        <w:spacing w:after="0" w:line="480" w:lineRule="auto"/>
        <w:contextualSpacing/>
        <w:jc w:val="both"/>
        <w:rPr>
          <w:color w:val="auto"/>
        </w:rPr>
      </w:pPr>
      <w:r w:rsidRPr="004121B7">
        <w:rPr>
          <w:color w:val="auto"/>
        </w:rPr>
        <w:t>r</w:t>
      </w:r>
      <w:r w:rsidR="00E91664" w:rsidRPr="004121B7">
        <w:rPr>
          <w:color w:val="auto"/>
        </w:rPr>
        <w:t xml:space="preserve">elatively high frequency of designated pathogenic </w:t>
      </w:r>
      <w:r w:rsidR="000D6A18">
        <w:rPr>
          <w:color w:val="auto"/>
        </w:rPr>
        <w:t>variants</w:t>
      </w:r>
      <w:r w:rsidR="00E91664" w:rsidRPr="004121B7">
        <w:rPr>
          <w:color w:val="auto"/>
        </w:rPr>
        <w:t xml:space="preserve"> in healthy control</w:t>
      </w:r>
      <w:r w:rsidR="006711D2">
        <w:rPr>
          <w:color w:val="auto"/>
        </w:rPr>
        <w:t>s</w:t>
      </w:r>
      <w:r w:rsidR="006711D2">
        <w:rPr>
          <w:color w:val="auto"/>
        </w:rPr>
        <w:fldChar w:fldCharType="begin"/>
      </w:r>
      <w:r w:rsidR="006711D2">
        <w:rPr>
          <w:color w:val="auto"/>
        </w:rPr>
        <w:instrText xml:space="preserve"> ADDIN ZOTERO_ITEM CSL_CITATION {"citationID":"a2pko1pcn2g","properties":{"formattedCitation":"{\\rtf \\super 14,15\\nosupersub{}}","plainCitation":"14,15"},"citationItems":[{"id":123,"uris":["http://zotero.org/users/564462/items/NLHHNPEH"],"uri":["http://zotero.org/users/564462/items/NLHHNPEH"],"itemData":{"id":123,"type":"article-journal","title":"XLID-Causing Mutations and Associated Genes Challenged in Light of Data From Large-Scale Human Exome Sequencing","container-title":"The American Journal of Human Genetics","page":"368-383","volume":"93","issue":"2","source":"ScienceDirect","abstract":"Because of the unbalanced sex ratio (1.3–1.4 to 1) observed in intellectual disability (ID) and the identification of large ID-affected families showing X-linked segregation, much attention has been focused on the genetics of X-linked ID (XLID). Mutations causing monogenic XLID have now been reported in over 100 genes, most of which are commonly included in XLID diagnostic gene panels. Nonetheless, the boundary between true mutations and rare non-disease-causing variants often remains elusive. The sequencing of a large number of control X chromosomes, required for avoiding false-positive results, was not systematically possible in the past. Such information is now available thanks to large-scale sequencing projects such as the National Heart, Lung, and Blood (NHLBI) Exome Sequencing Project, which provides variation information on 10,563 X chromosomes from the general population. We used this NHLBI cohort to systematically reassess the implication of 106 genes proposed to be involved in monogenic forms of XLID. We particularly question the implication in XLID of ten of them (AGTR2, MAGT1, ZNF674, SRPX2, ATP6AP2, ARHGEF6, NXF5, ZCCHC12, ZNF41, and ZNF81), in which truncating variants or previously published mutations are observed at a relatively high frequency within this cohort. We also highlight 15 other genes (CCDC22, CLIC2, CNKSR2, FRMPD4, HCFC1, IGBP1, KIAA2022, KLF8, MAOA, NAA10, NLGN3, RPL10, SHROOM4, ZDHHC15, and ZNF261) for which replication studies are warranted. We propose that similar reassessment of reported mutations (and genes) with the use of data from large-scale human exome sequencing would be relevant for a wide range of other genetic diseases.","DOI":"10.1016/j.ajhg.2013.06.013","ISSN":"0002-9297","journalAbbreviation":"The American Journal of Human Genetics","author":[{"family":"Piton","given":"Amélie"},{"family":"Redin","given":"Claire"},{"family":"Mandel","given":"Jean-Louis"}],"issued":{"date-parts":[["2013",8,8]]}}},{"id":126,"uris":["http://zotero.org/users/564462/items/MPTHT7FX"],"uri":["http://zotero.org/users/564462/items/MPTHT7FX"],"itemData":{"id":126,"type":"article-journal","title":"Prioritization and burden analysis of rare variants in 208 candidate genes suggest they do not play a major role in CAKUT","container-title":"Kidney International","page":"476-486","volume":"89","issue":"2","source":"ScienceDirect","abstract":"The leading cause of end-stage renal disease in children is attributed to congenital anomalies of the kidney and urinary tract (CAKUT). Familial clustering and mouse models support the presence of monogenic causes. Genetic testing is insufficient as it mainly focuses on HNF1B and PAX2 mutations that are thought to explain CAKUT in 5–15% of patients. To identify novel, potentially pathogenic variants in additional genes, we designed a panel of genes identified from studies on familial forms of isolated or syndromic CAKUT and genes suggested by in vitro and in vivo CAKUT models. The coding exons of 208 genes were analyzed in 453 patients with CAKUT using next-generation sequencing. Rare truncating, splice-site variants, and non-synonymous variants, predicted to be deleterious and conserved, were prioritized as the most promising variants to have an effect on CAKUT. Previously reported disease-causing mutations were detected, but only five were fully penetrant causal mutations that improved diagnosis. We prioritized 148 candidate variants in 151 patients, found in 82 genes, for follow-up studies. Using a burden test, no significant excess of rare variants in any of the genes in our cohort compared with controls was found. Thus, in a study representing the largest set of genes analyzed in CAKUT patients to date, the contribution of previously implicated genes to CAKUT risk was significantly smaller than expected, and the disease may be more complex than previously assumed.","DOI":"10.1038/ki.2015.319","ISSN":"0085-2538","journalAbbreviation":"Kidney International","author":[{"family":"Nicolaou","given":"Nayia"},{"family":"Pulit","given":"Sara L."},{"family":"Nijman","given":"Isaac J."},{"family":"Monroe","given":"Glen R."},{"family":"Feitz","given":"Wout F. J."},{"family":"Schreuder","given":"Michiel F."},{"family":"Eerde","given":"Albertien M.","non-dropping-particle":"van"},{"family":"Jong","given":"Tom P. V. M.","non-dropping-particle":"de"},{"family":"Giltay","given":"Jacques C."},{"family":"Zwaag","given":"Bert","non-dropping-particle":"van der"},{"family":"Havenith","given":"Marlies R."},{"family":"Zwakenberg","given":"Susan"},{"family":"Zanden","given":"Loes F. M.","non-dropping-particle":"van der"},{"family":"Poelmans","given":"Geert"},{"family":"Cornelissen","given":"Elisabeth A. M."},{"family":"Lilien","given":"Marc R."},{"family":"Franke","given":"Barbara"},{"family":"Roeleveld","given":"Nel"},{"family":"Rooij","given":"Iris A. L. M.","non-dropping-particle":"van"},{"family":"Cuppen","given":"Edwin"},{"family":"Bongers","given":"Ernie M. H. F."},{"family":"Giles","given":"Rachel H."},{"family":"Knoers","given":"Nine V. A. M."},{"family":"Renkema","given":"Kirsten Y."}],"issued":{"date-parts":[["2016",2,1]]}}}],"schema":"https://github.com/citation-style-language/schema/raw/master/csl-citation.json"} </w:instrText>
      </w:r>
      <w:r w:rsidR="006711D2">
        <w:rPr>
          <w:color w:val="auto"/>
        </w:rPr>
        <w:fldChar w:fldCharType="separate"/>
      </w:r>
      <w:r w:rsidR="006711D2" w:rsidRPr="006711D2">
        <w:rPr>
          <w:szCs w:val="24"/>
          <w:vertAlign w:val="superscript"/>
        </w:rPr>
        <w:t>14,15</w:t>
      </w:r>
      <w:r w:rsidR="006711D2">
        <w:rPr>
          <w:color w:val="auto"/>
        </w:rPr>
        <w:fldChar w:fldCharType="end"/>
      </w:r>
    </w:p>
    <w:p w14:paraId="4AF5582B" w14:textId="5B53BE9A" w:rsidR="00371CD8" w:rsidRPr="004121B7" w:rsidRDefault="00371CD8" w:rsidP="006D7153">
      <w:pPr>
        <w:numPr>
          <w:ilvl w:val="0"/>
          <w:numId w:val="2"/>
        </w:numPr>
        <w:spacing w:line="480" w:lineRule="auto"/>
        <w:contextualSpacing/>
        <w:jc w:val="both"/>
        <w:rPr>
          <w:color w:val="auto"/>
        </w:rPr>
      </w:pPr>
      <w:r w:rsidRPr="004121B7">
        <w:rPr>
          <w:color w:val="auto"/>
        </w:rPr>
        <w:t>t</w:t>
      </w:r>
      <w:r w:rsidR="00E91664" w:rsidRPr="004121B7">
        <w:rPr>
          <w:color w:val="auto"/>
        </w:rPr>
        <w:t>he purely qualitative nature of NGS, excluding any quantitative predictions</w:t>
      </w:r>
    </w:p>
    <w:p w14:paraId="5298C356" w14:textId="77777777" w:rsidR="003B3D11" w:rsidRPr="004121B7" w:rsidRDefault="00E91664" w:rsidP="006D7153">
      <w:pPr>
        <w:spacing w:line="480" w:lineRule="auto"/>
        <w:jc w:val="both"/>
        <w:rPr>
          <w:color w:val="auto"/>
        </w:rPr>
      </w:pPr>
      <w:r w:rsidRPr="004121B7">
        <w:rPr>
          <w:color w:val="auto"/>
        </w:rPr>
        <w:t>An audience member emphasized the importance of detailed clinical data (deep phenotyping) for the correct interpretation of omics data and annotation of pa</w:t>
      </w:r>
      <w:bookmarkStart w:id="4" w:name="_GoBack"/>
      <w:bookmarkEnd w:id="4"/>
      <w:r w:rsidRPr="004121B7">
        <w:rPr>
          <w:color w:val="auto"/>
        </w:rPr>
        <w:t xml:space="preserve">thogenic variants. An accurate phenotype can reveal the link between genetic variants and disease symptoms in addition to allowing the study of disease progression and comorbidities. The panel confirmed that this has been an important part of RD-Connect, NeurOmics and EURenOmics. The RD-Connect Genome-Phenome Analysis Platform </w:t>
      </w:r>
      <w:proofErr w:type="gramStart"/>
      <w:r w:rsidRPr="004121B7">
        <w:rPr>
          <w:color w:val="auto"/>
        </w:rPr>
        <w:t>is integrated</w:t>
      </w:r>
      <w:proofErr w:type="gramEnd"/>
      <w:r w:rsidRPr="004121B7">
        <w:rPr>
          <w:color w:val="auto"/>
        </w:rPr>
        <w:t xml:space="preserve"> with PhenoTips to collect detailed phenotypic information and with the Matchmaker </w:t>
      </w:r>
      <w:r w:rsidRPr="004121B7">
        <w:rPr>
          <w:color w:val="auto"/>
        </w:rPr>
        <w:lastRenderedPageBreak/>
        <w:t xml:space="preserve">Exchange, which enables the matchmaking of patients with similar mutations and phenotypes, leading to confirmation of pathogenicity of the identified variant. This also allows basic researchers with an interest in a particular gene to find human cases corresponding to their animal models in which the gene is affected. As many RDs are complex syndromes, analyses should also consider additional factors that may influence the disease course, such as the patient’s age and environment. </w:t>
      </w:r>
    </w:p>
    <w:p w14:paraId="498AA83D" w14:textId="77777777" w:rsidR="003B3D11" w:rsidRPr="004121B7" w:rsidRDefault="00E91664" w:rsidP="006D7153">
      <w:pPr>
        <w:pStyle w:val="Heading3"/>
        <w:spacing w:line="480" w:lineRule="auto"/>
        <w:rPr>
          <w:color w:val="auto"/>
        </w:rPr>
      </w:pPr>
      <w:r w:rsidRPr="004121B7">
        <w:rPr>
          <w:color w:val="auto"/>
        </w:rPr>
        <w:t>Choosing the optimal diagnostic test</w:t>
      </w:r>
    </w:p>
    <w:p w14:paraId="6764F883" w14:textId="77777777" w:rsidR="003B3D11" w:rsidRDefault="00E91664" w:rsidP="006D7153">
      <w:pPr>
        <w:spacing w:line="480" w:lineRule="auto"/>
        <w:jc w:val="both"/>
        <w:rPr>
          <w:color w:val="auto"/>
        </w:rPr>
      </w:pPr>
      <w:r w:rsidRPr="004121B7">
        <w:rPr>
          <w:color w:val="auto"/>
        </w:rPr>
        <w:t xml:space="preserve">The choice of the optimal diagnostic test depends on the genetic complexity of the disease and the cost. The cost is particularly important, since in most countries diagnostic testing </w:t>
      </w:r>
      <w:proofErr w:type="gramStart"/>
      <w:r w:rsidRPr="004121B7">
        <w:rPr>
          <w:color w:val="auto"/>
        </w:rPr>
        <w:t>is not covered</w:t>
      </w:r>
      <w:proofErr w:type="gramEnd"/>
      <w:r w:rsidRPr="004121B7">
        <w:rPr>
          <w:color w:val="auto"/>
        </w:rPr>
        <w:t xml:space="preserve"> by the health insurance and the patients must pay for it themselves. Therefore, NeurOmics and EURenOmics have compared the different aspects of three diagnostic approaches: disease-specific multigene panels, WES and WGS (Tab 1). They showed that WGS, which is the most comprehensive method, has great diagnostic potential, but is also three times more expensive than </w:t>
      </w:r>
      <w:proofErr w:type="gramStart"/>
      <w:r w:rsidRPr="004121B7">
        <w:rPr>
          <w:color w:val="auto"/>
        </w:rPr>
        <w:t>WES</w:t>
      </w:r>
      <w:proofErr w:type="gramEnd"/>
      <w:r w:rsidRPr="004121B7">
        <w:rPr>
          <w:color w:val="auto"/>
        </w:rPr>
        <w:t xml:space="preserve">. </w:t>
      </w:r>
    </w:p>
    <w:tbl>
      <w:tblPr>
        <w:tblStyle w:val="GridTable5Dark-Accent51"/>
        <w:tblW w:w="8926" w:type="dxa"/>
        <w:tblInd w:w="113" w:type="dxa"/>
        <w:tblLook w:val="04A0" w:firstRow="1" w:lastRow="0" w:firstColumn="1" w:lastColumn="0" w:noHBand="0" w:noVBand="1"/>
      </w:tblPr>
      <w:tblGrid>
        <w:gridCol w:w="1060"/>
        <w:gridCol w:w="1660"/>
        <w:gridCol w:w="6206"/>
      </w:tblGrid>
      <w:tr w:rsidR="009D0780" w:rsidRPr="00170E58" w14:paraId="5526221F" w14:textId="77777777" w:rsidTr="009D0780">
        <w:trPr>
          <w:cnfStyle w:val="100000000000" w:firstRow="1" w:lastRow="0" w:firstColumn="0" w:lastColumn="0" w:oddVBand="0" w:evenVBand="0" w:oddHBand="0" w:evenHBand="0" w:firstRowFirstColumn="0" w:firstRowLastColumn="0" w:lastRowFirstColumn="0" w:lastRowLastColumn="0"/>
          <w:trHeight w:val="588"/>
        </w:trPr>
        <w:tc>
          <w:tcPr>
            <w:cnfStyle w:val="001000000000" w:firstRow="0" w:lastRow="0" w:firstColumn="1" w:lastColumn="0" w:oddVBand="0" w:evenVBand="0" w:oddHBand="0" w:evenHBand="0" w:firstRowFirstColumn="0" w:firstRowLastColumn="0" w:lastRowFirstColumn="0" w:lastRowLastColumn="0"/>
            <w:tcW w:w="1060" w:type="dxa"/>
            <w:tcBorders>
              <w:right w:val="single" w:sz="4" w:space="0" w:color="FFFFFF" w:themeColor="background1"/>
            </w:tcBorders>
            <w:vAlign w:val="center"/>
            <w:hideMark/>
          </w:tcPr>
          <w:p w14:paraId="4517D554" w14:textId="77777777" w:rsidR="009D0780" w:rsidRPr="00170E58" w:rsidRDefault="009D0780" w:rsidP="00081D8A">
            <w:pPr>
              <w:jc w:val="center"/>
              <w:rPr>
                <w:rFonts w:ascii="Calibri" w:eastAsia="Times New Roman" w:hAnsi="Calibri" w:cs="Times New Roman"/>
                <w:lang w:eastAsia="en-GB"/>
              </w:rPr>
            </w:pPr>
            <w:r w:rsidRPr="00170E58">
              <w:rPr>
                <w:rFonts w:ascii="Calibri" w:eastAsia="Times New Roman" w:hAnsi="Calibri" w:cs="Times New Roman"/>
                <w:lang w:eastAsia="en-GB"/>
              </w:rPr>
              <w:t>Test</w:t>
            </w:r>
          </w:p>
        </w:tc>
        <w:tc>
          <w:tcPr>
            <w:tcW w:w="1660" w:type="dxa"/>
            <w:tcBorders>
              <w:left w:val="single" w:sz="4" w:space="0" w:color="FFFFFF" w:themeColor="background1"/>
              <w:right w:val="single" w:sz="4" w:space="0" w:color="FFFFFF" w:themeColor="background1"/>
            </w:tcBorders>
            <w:vAlign w:val="center"/>
            <w:hideMark/>
          </w:tcPr>
          <w:p w14:paraId="3E5FD6FA" w14:textId="77777777" w:rsidR="009D0780" w:rsidRPr="00170E58" w:rsidRDefault="009D0780" w:rsidP="00081D8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170E58">
              <w:rPr>
                <w:rFonts w:ascii="Calibri" w:eastAsia="Times New Roman" w:hAnsi="Calibri" w:cs="Times New Roman"/>
                <w:lang w:eastAsia="en-GB"/>
              </w:rPr>
              <w:t>Cost (Consumables)</w:t>
            </w:r>
          </w:p>
        </w:tc>
        <w:tc>
          <w:tcPr>
            <w:tcW w:w="6206" w:type="dxa"/>
            <w:tcBorders>
              <w:left w:val="single" w:sz="4" w:space="0" w:color="FFFFFF" w:themeColor="background1"/>
            </w:tcBorders>
            <w:vAlign w:val="center"/>
            <w:hideMark/>
          </w:tcPr>
          <w:p w14:paraId="7DC6F807" w14:textId="77777777" w:rsidR="009D0780" w:rsidRPr="00170E58" w:rsidRDefault="009D0780" w:rsidP="00081D8A">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lang w:eastAsia="en-GB"/>
              </w:rPr>
            </w:pPr>
            <w:r w:rsidRPr="00170E58">
              <w:rPr>
                <w:rFonts w:ascii="Calibri" w:eastAsia="Times New Roman" w:hAnsi="Calibri" w:cs="Times New Roman"/>
                <w:lang w:eastAsia="en-GB"/>
              </w:rPr>
              <w:t>Comments</w:t>
            </w:r>
          </w:p>
        </w:tc>
      </w:tr>
      <w:tr w:rsidR="009D0780" w:rsidRPr="00170E58" w14:paraId="74A3B5CA" w14:textId="77777777" w:rsidTr="009D0780">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060" w:type="dxa"/>
            <w:vAlign w:val="center"/>
            <w:hideMark/>
          </w:tcPr>
          <w:p w14:paraId="32F7E996" w14:textId="77777777" w:rsidR="009D0780" w:rsidRPr="00170E58" w:rsidRDefault="009D0780" w:rsidP="00081D8A">
            <w:pPr>
              <w:jc w:val="center"/>
              <w:rPr>
                <w:rFonts w:ascii="Calibri" w:eastAsia="Times New Roman" w:hAnsi="Calibri" w:cs="Times New Roman"/>
                <w:b w:val="0"/>
                <w:lang w:eastAsia="en-GB"/>
              </w:rPr>
            </w:pPr>
            <w:r w:rsidRPr="00170E58">
              <w:rPr>
                <w:rFonts w:ascii="Calibri" w:eastAsia="Times New Roman" w:hAnsi="Calibri" w:cs="Times New Roman"/>
                <w:b w:val="0"/>
                <w:lang w:eastAsia="en-GB"/>
              </w:rPr>
              <w:t>Panels</w:t>
            </w:r>
          </w:p>
        </w:tc>
        <w:tc>
          <w:tcPr>
            <w:tcW w:w="1660" w:type="dxa"/>
            <w:vAlign w:val="center"/>
            <w:hideMark/>
          </w:tcPr>
          <w:p w14:paraId="6BC8EFAA" w14:textId="77777777" w:rsidR="009D0780" w:rsidRPr="00170E58" w:rsidRDefault="009D0780" w:rsidP="00081D8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170E58">
              <w:rPr>
                <w:rFonts w:ascii="Calibri" w:eastAsia="Times New Roman" w:hAnsi="Calibri" w:cs="Times New Roman"/>
                <w:color w:val="000000"/>
                <w:lang w:eastAsia="en-GB"/>
              </w:rPr>
              <w:t>250-350 €</w:t>
            </w:r>
          </w:p>
        </w:tc>
        <w:tc>
          <w:tcPr>
            <w:tcW w:w="6206" w:type="dxa"/>
            <w:vAlign w:val="center"/>
            <w:hideMark/>
          </w:tcPr>
          <w:p w14:paraId="169F343D" w14:textId="77777777" w:rsidR="009D0780" w:rsidRPr="00170E58" w:rsidRDefault="009D0780" w:rsidP="00081D8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170E58">
              <w:rPr>
                <w:rFonts w:ascii="Calibri" w:eastAsia="Times New Roman" w:hAnsi="Calibri" w:cs="Times New Roman"/>
                <w:color w:val="000000"/>
                <w:lang w:eastAsia="en-GB"/>
              </w:rPr>
              <w:t>High coverage. Advantage: no incidental findings</w:t>
            </w:r>
          </w:p>
        </w:tc>
      </w:tr>
      <w:tr w:rsidR="009D0780" w:rsidRPr="00170E58" w14:paraId="435D74FE" w14:textId="77777777" w:rsidTr="009D0780">
        <w:trPr>
          <w:trHeight w:val="588"/>
        </w:trPr>
        <w:tc>
          <w:tcPr>
            <w:cnfStyle w:val="001000000000" w:firstRow="0" w:lastRow="0" w:firstColumn="1" w:lastColumn="0" w:oddVBand="0" w:evenVBand="0" w:oddHBand="0" w:evenHBand="0" w:firstRowFirstColumn="0" w:firstRowLastColumn="0" w:lastRowFirstColumn="0" w:lastRowLastColumn="0"/>
            <w:tcW w:w="1060" w:type="dxa"/>
            <w:vAlign w:val="center"/>
            <w:hideMark/>
          </w:tcPr>
          <w:p w14:paraId="4781F7F9" w14:textId="77777777" w:rsidR="009D0780" w:rsidRPr="00170E58" w:rsidRDefault="009D0780" w:rsidP="00081D8A">
            <w:pPr>
              <w:jc w:val="center"/>
              <w:rPr>
                <w:rFonts w:ascii="Calibri" w:eastAsia="Times New Roman" w:hAnsi="Calibri" w:cs="Times New Roman"/>
                <w:b w:val="0"/>
                <w:lang w:eastAsia="en-GB"/>
              </w:rPr>
            </w:pPr>
            <w:r w:rsidRPr="00170E58">
              <w:rPr>
                <w:rFonts w:ascii="Calibri" w:eastAsia="Times New Roman" w:hAnsi="Calibri" w:cs="Times New Roman"/>
                <w:b w:val="0"/>
                <w:lang w:eastAsia="en-GB"/>
              </w:rPr>
              <w:t>WES</w:t>
            </w:r>
          </w:p>
        </w:tc>
        <w:tc>
          <w:tcPr>
            <w:tcW w:w="1660" w:type="dxa"/>
            <w:vAlign w:val="center"/>
            <w:hideMark/>
          </w:tcPr>
          <w:p w14:paraId="6012F362" w14:textId="77777777" w:rsidR="009D0780" w:rsidRPr="00170E58" w:rsidRDefault="009D0780" w:rsidP="00081D8A">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170E58">
              <w:rPr>
                <w:rFonts w:ascii="Calibri" w:eastAsia="Times New Roman" w:hAnsi="Calibri" w:cs="Times New Roman"/>
                <w:color w:val="000000"/>
                <w:lang w:eastAsia="en-GB"/>
              </w:rPr>
              <w:t>~ 800 €</w:t>
            </w:r>
          </w:p>
        </w:tc>
        <w:tc>
          <w:tcPr>
            <w:tcW w:w="6206" w:type="dxa"/>
            <w:vAlign w:val="center"/>
            <w:hideMark/>
          </w:tcPr>
          <w:p w14:paraId="520FCDF8" w14:textId="77777777" w:rsidR="009D0780" w:rsidRPr="00170E58" w:rsidRDefault="009D0780" w:rsidP="00081D8A">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lang w:eastAsia="en-GB"/>
              </w:rPr>
            </w:pPr>
            <w:r w:rsidRPr="00170E58">
              <w:rPr>
                <w:rFonts w:ascii="Calibri" w:eastAsia="Times New Roman" w:hAnsi="Calibri" w:cs="Times New Roman"/>
                <w:color w:val="000000"/>
                <w:lang w:eastAsia="en-GB"/>
              </w:rPr>
              <w:t xml:space="preserve">Analysis of the coding sequence of all the genes in the genome, including some </w:t>
            </w:r>
            <w:r>
              <w:rPr>
                <w:rFonts w:ascii="Calibri" w:eastAsia="Times New Roman" w:hAnsi="Calibri" w:cs="Times New Roman"/>
                <w:color w:val="000000"/>
                <w:lang w:eastAsia="en-GB"/>
              </w:rPr>
              <w:t>copy number variants</w:t>
            </w:r>
            <w:r w:rsidRPr="00170E58">
              <w:rPr>
                <w:rFonts w:ascii="Calibri" w:eastAsia="Times New Roman" w:hAnsi="Calibri" w:cs="Times New Roman"/>
                <w:color w:val="000000"/>
                <w:lang w:eastAsia="en-GB"/>
              </w:rPr>
              <w:t>.</w:t>
            </w:r>
          </w:p>
        </w:tc>
      </w:tr>
      <w:tr w:rsidR="009D0780" w:rsidRPr="00170E58" w14:paraId="7BB529A6" w14:textId="77777777" w:rsidTr="009D0780">
        <w:trPr>
          <w:cnfStyle w:val="000000100000" w:firstRow="0" w:lastRow="0" w:firstColumn="0" w:lastColumn="0" w:oddVBand="0" w:evenVBand="0" w:oddHBand="1" w:evenHBand="0" w:firstRowFirstColumn="0" w:firstRowLastColumn="0" w:lastRowFirstColumn="0" w:lastRowLastColumn="0"/>
          <w:trHeight w:val="986"/>
        </w:trPr>
        <w:tc>
          <w:tcPr>
            <w:cnfStyle w:val="001000000000" w:firstRow="0" w:lastRow="0" w:firstColumn="1" w:lastColumn="0" w:oddVBand="0" w:evenVBand="0" w:oddHBand="0" w:evenHBand="0" w:firstRowFirstColumn="0" w:firstRowLastColumn="0" w:lastRowFirstColumn="0" w:lastRowLastColumn="0"/>
            <w:tcW w:w="1060" w:type="dxa"/>
            <w:vAlign w:val="center"/>
            <w:hideMark/>
          </w:tcPr>
          <w:p w14:paraId="735DFC34" w14:textId="77777777" w:rsidR="009D0780" w:rsidRPr="00170E58" w:rsidRDefault="009D0780" w:rsidP="00081D8A">
            <w:pPr>
              <w:jc w:val="center"/>
              <w:rPr>
                <w:rFonts w:ascii="Calibri" w:eastAsia="Times New Roman" w:hAnsi="Calibri" w:cs="Times New Roman"/>
                <w:b w:val="0"/>
                <w:lang w:eastAsia="en-GB"/>
              </w:rPr>
            </w:pPr>
            <w:r w:rsidRPr="00170E58">
              <w:rPr>
                <w:rFonts w:ascii="Calibri" w:eastAsia="Times New Roman" w:hAnsi="Calibri" w:cs="Times New Roman"/>
                <w:b w:val="0"/>
                <w:lang w:eastAsia="en-GB"/>
              </w:rPr>
              <w:t>WGS</w:t>
            </w:r>
          </w:p>
        </w:tc>
        <w:tc>
          <w:tcPr>
            <w:tcW w:w="1660" w:type="dxa"/>
            <w:vAlign w:val="center"/>
            <w:hideMark/>
          </w:tcPr>
          <w:p w14:paraId="77A13F1D" w14:textId="77777777" w:rsidR="009D0780" w:rsidRPr="00170E58" w:rsidRDefault="009D0780" w:rsidP="00081D8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170E58">
              <w:rPr>
                <w:rFonts w:ascii="Calibri" w:eastAsia="Times New Roman" w:hAnsi="Calibri" w:cs="Times New Roman"/>
                <w:color w:val="000000"/>
                <w:lang w:eastAsia="en-GB"/>
              </w:rPr>
              <w:t>~ 1600 €</w:t>
            </w:r>
          </w:p>
        </w:tc>
        <w:tc>
          <w:tcPr>
            <w:tcW w:w="6206" w:type="dxa"/>
            <w:vAlign w:val="center"/>
            <w:hideMark/>
          </w:tcPr>
          <w:p w14:paraId="7FFF2ED9" w14:textId="77777777" w:rsidR="009D0780" w:rsidRPr="00170E58" w:rsidRDefault="009D0780" w:rsidP="00081D8A">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lang w:eastAsia="en-GB"/>
              </w:rPr>
            </w:pPr>
            <w:r w:rsidRPr="00170E58">
              <w:rPr>
                <w:rFonts w:ascii="Calibri" w:eastAsia="Times New Roman" w:hAnsi="Calibri" w:cs="Times New Roman"/>
                <w:color w:val="000000"/>
                <w:lang w:eastAsia="en-GB"/>
              </w:rPr>
              <w:t xml:space="preserve">Analysis of the entire genome. Allows easy detection of </w:t>
            </w:r>
            <w:r>
              <w:rPr>
                <w:rFonts w:ascii="Calibri" w:eastAsia="Times New Roman" w:hAnsi="Calibri" w:cs="Times New Roman"/>
                <w:color w:val="000000"/>
                <w:lang w:eastAsia="en-GB"/>
              </w:rPr>
              <w:t>copy number variant</w:t>
            </w:r>
            <w:r w:rsidRPr="00170E58">
              <w:rPr>
                <w:rFonts w:ascii="Calibri" w:eastAsia="Times New Roman" w:hAnsi="Calibri" w:cs="Times New Roman"/>
                <w:color w:val="000000"/>
                <w:lang w:eastAsia="en-GB"/>
              </w:rPr>
              <w:t>s. Potentially important in research setting to discover clinically relevant variants that change gene expression.</w:t>
            </w:r>
          </w:p>
        </w:tc>
      </w:tr>
    </w:tbl>
    <w:p w14:paraId="64B43A56" w14:textId="7B221754" w:rsidR="003B3D11" w:rsidRPr="004121B7" w:rsidRDefault="00E05D71" w:rsidP="00A6735A">
      <w:pPr>
        <w:spacing w:line="276" w:lineRule="auto"/>
        <w:rPr>
          <w:i/>
          <w:color w:val="auto"/>
        </w:rPr>
      </w:pPr>
      <w:r>
        <w:rPr>
          <w:b/>
          <w:i/>
          <w:color w:val="auto"/>
        </w:rPr>
        <w:t xml:space="preserve">Supplementary </w:t>
      </w:r>
      <w:r w:rsidR="00E91664" w:rsidRPr="004121B7">
        <w:rPr>
          <w:b/>
          <w:i/>
          <w:color w:val="auto"/>
        </w:rPr>
        <w:t>Table 1</w:t>
      </w:r>
      <w:r w:rsidR="00E91664" w:rsidRPr="004121B7">
        <w:rPr>
          <w:i/>
          <w:color w:val="auto"/>
        </w:rPr>
        <w:t>. Comparison of three test</w:t>
      </w:r>
      <w:r w:rsidR="00EB4A92">
        <w:rPr>
          <w:i/>
          <w:color w:val="auto"/>
        </w:rPr>
        <w:t>s</w:t>
      </w:r>
      <w:r w:rsidR="00E91664" w:rsidRPr="004121B7">
        <w:rPr>
          <w:i/>
          <w:color w:val="auto"/>
        </w:rPr>
        <w:t xml:space="preserve"> for genetic diagnosis. </w:t>
      </w:r>
      <w:r w:rsidR="00EB4A92" w:rsidRPr="00EB4A92">
        <w:rPr>
          <w:i/>
          <w:color w:val="auto"/>
        </w:rPr>
        <w:t>Whole Genome Sequencing (WGS) is the most efficient method, but is more expensive that Whole Exome Sequencing (WES).</w:t>
      </w:r>
    </w:p>
    <w:p w14:paraId="712EE75B" w14:textId="3396FC3B" w:rsidR="003B3D11" w:rsidRPr="004121B7" w:rsidRDefault="00E91664" w:rsidP="006D7153">
      <w:pPr>
        <w:spacing w:line="480" w:lineRule="auto"/>
        <w:jc w:val="both"/>
        <w:rPr>
          <w:color w:val="auto"/>
        </w:rPr>
      </w:pPr>
      <w:r w:rsidRPr="004121B7">
        <w:rPr>
          <w:color w:val="auto"/>
        </w:rPr>
        <w:t xml:space="preserve">It is likely that WES (and </w:t>
      </w:r>
      <w:r w:rsidR="00512119" w:rsidRPr="004121B7">
        <w:rPr>
          <w:color w:val="auto"/>
        </w:rPr>
        <w:t>possibly</w:t>
      </w:r>
      <w:r w:rsidRPr="004121B7">
        <w:rPr>
          <w:color w:val="auto"/>
        </w:rPr>
        <w:t xml:space="preserve"> </w:t>
      </w:r>
      <w:r w:rsidR="00512119" w:rsidRPr="004121B7">
        <w:rPr>
          <w:color w:val="auto"/>
        </w:rPr>
        <w:t xml:space="preserve">also </w:t>
      </w:r>
      <w:r w:rsidRPr="004121B7">
        <w:rPr>
          <w:color w:val="auto"/>
        </w:rPr>
        <w:t>WGS) will become the first-tier genetic test in due time because of the high overall diagnostic yield, especially in diagnostic odyssey cases, the relatively low costs, and the e</w:t>
      </w:r>
      <w:r w:rsidR="006F254B" w:rsidRPr="004121B7">
        <w:rPr>
          <w:color w:val="auto"/>
        </w:rPr>
        <w:t>asy workflow (one test for all)</w:t>
      </w:r>
      <w:r w:rsidR="006711D2">
        <w:rPr>
          <w:color w:val="auto"/>
        </w:rPr>
        <w:t>.</w:t>
      </w:r>
      <w:r w:rsidR="006711D2">
        <w:rPr>
          <w:color w:val="auto"/>
        </w:rPr>
        <w:fldChar w:fldCharType="begin"/>
      </w:r>
      <w:r w:rsidR="006711D2">
        <w:rPr>
          <w:color w:val="auto"/>
        </w:rPr>
        <w:instrText xml:space="preserve"> ADDIN ZOTERO_ITEM CSL_CITATION {"citationID":"aou9qatqeg","properties":{"formattedCitation":"{\\rtf \\super 16,17\\nosupersub{}}","plainCitation":"16,17"},"citationItems":[{"id":128,"uris":["http://zotero.org/users/564462/items/AJPCQ5YP"],"uri":["http://zotero.org/users/564462/items/AJPCQ5YP"],"itemData":{"id":128,"type":"article-journal","title":"Improved diagnostic yield compared with targeted gene sequencing panels suggests a role for whole-genome sequencing as a first-tier genetic test","container-title":"GENETICS in MEDICINE","source":"www.nature.com","abstract":"Genetic testing is an integral diagnostic component of pediatric medicine. Standard of care is often a time-consuming stepwise approach involving chromosomal microarray analysis and targeted gene sequencing panels, which can be costly and inconclusive. Whole-genome sequencing (WGS) provides a comprehensive testing platform that has the potential to streamline genetic assessments, but there are limited comparative data to guide its clinical use.\nWe prospectively recruited 103 patients from pediatric non-genetic subspecialty clinics, each with a clinical phenotype suggestive of an underlying genetic disorder, and compared the diagnostic yield and coverage of WGS with those of conventional genetic testing.\nWGS identified diagnostic variants in 41% of individuals, representing a significant increase over conventional testing results (24%; P = 0.01). Genes clinically sequenced in the cohort (n = 1,226) were well covered by WGS, with a median exonic coverage of 40 × ±8 × (mean ±SD). All the molecular diagnoses made by conventional methods were captured by WGS. The 18 new diagnoses made with WGS included structural and non-exonic sequence variants not detectable with whole-exome sequencing, and confirmed recent disease associations with the genes PIGG, RNU4ATAC, TRIO, and UNC13A.\nWGS as a primary clinical test provided a higher diagnostic yield than conventional genetic testing in a clinically heterogeneous cohort.","URL":"https://www.nature.com/gim/journal/vaop/ncurrent/full/gim2017119a.html","DOI":"10.1038/gim.2017.119","ISSN":"1098-3600","journalAbbreviation":"Genet Med","language":"en","author":[{"family":"Lionel","given":"Anath C."},{"family":"Costain","given":"Gregory"},{"family":"Monfared","given":"Nasim"},{"family":"Walker","given":"Susan"},{"family":"Reuter","given":"Miriam S."},{"family":"Hosseini","given":"S. Mohsen"},{"family":"Thiruvahindrapuram","given":"Bhooma"},{"family":"Merico","given":"Daniele"},{"family":"Jobling","given":"Rebekah"},{"family":"Nalpathamkalam","given":"Thomas"},{"family":"Pellecchia","given":"Giovanna"},{"family":"Sung","given":"Wilson W. L."},{"family":"Wang","given":"Zhuozhi"},{"family":"Bikangaga","given":"Peter"},{"family":"Boelman","given":"Cyrus"},{"family":"Carter","given":"Melissa T."},{"family":"Cordeiro","given":"Dawn"},{"family":"Cytrynbaum","given":"Cheryl"},{"family":"Dell","given":"Sharon D."},{"family":"Dhir","given":"Priya"},{"family":"Dowling","given":"James J."},{"family":"Heon","given":"Elise"},{"family":"Hewson","given":"Stacy"},{"family":"Hiraki","given":"Linda"},{"family":"Inbar-Feigenberg","given":"Michal"},{"family":"Klatt","given":"Regan"},{"family":"Kronick","given":"Jonathan"},{"family":"Laxer","given":"Ronald M."},{"family":"Licht","given":"Christoph"},{"family":"MacDonald","given":"Heather"},{"family":"Mercimek-Andrews","given":"Saadet"},{"family":"Mendoza-Londono","given":"Roberto"},{"family":"Piscione","given":"Tino"},{"family":"Schneider","given":"Rayfel"},{"family":"Schulze","given":"Andreas"},{"family":"Silverman","given":"Earl"},{"family":"Siriwardena","given":"Komudi"},{"family":"Snead","given":"O. Carter"},{"family":"Sondheimer","given":"Neal"},{"family":"Sutherland","given":"Joanne"},{"family":"Vincent","given":"Ajoy"},{"family":"Wasserman","given":"Jonathan D."},{"family":"Weksberg","given":"Rosanna"},{"family":"Shuman","given":"Cheryl"},{"family":"Carew","given":"Chris"},{"family":"Szego","given":"Michael J."},{"family":"Hayeems","given":"Robin Z."},{"family":"Basran","given":"Raveen"},{"family":"Stavropoulos","given":"Dimitri J."},{"family":"Ray","given":"Peter N."},{"family":"Bowdin","given":"Sarah"},{"family":"Meyn","given":"M. Stephen"},{"family":"Cohn","given":"Ronald D."},{"family":"Scherer","given":"Stephen W."},{"family":"Marshall","given":"Christian R."}],"issued":{"date-parts":[["2017",8,3]]}}},{"id":131,"uris":["http://zotero.org/users/564462/items/BLM7AU5T"],"uri":["http://zotero.org/users/564462/items/BLM7AU5T"],"itemData":{"id":131,"type":"article-journal","title":"Diagnostic Impact and Cost-effectiveness of Whole-Exome Sequencing for Ambulant Children With Suspected Monogenic Conditions","container-title":"JAMA Pediatrics","page":"855-862","volume":"171","issue":"9","source":"jamanetwork.com","abstract":"&lt;h3&gt;Importance&lt;/h3&gt;&lt;p&gt;Optimal use of whole-exome sequencing (WES) in the pediatric setting requires an understanding of who should be considered for testing and when it should be performed to maximize clinical utility and cost-effectiveness.&lt;/p&gt;&lt;h3&gt;Objectives&lt;/h3&gt;&lt;p&gt;To investigate the impact of WES in sequencing-naive children suspected of having a monogenic disorder and evaluate its cost-effectiveness if WES had been available at different time points in their diagnostic trajectory.&lt;/p&gt;&lt;h3&gt;Design, Setting, and Participants&lt;/h3&gt;&lt;p&gt;This prospective study was part of the Melbourne Genomics Health Alliance demonstration project. At the ambulatory outpatient clinics of the Victorian Clinical Genetics Services at the Royal Children’s Hospital, Melbourne, Australia, children older than 2 years suspected of having a monogenic disorder were prospectively recruited from May 1 through November 30, 2015, by clinical geneticists after referral from general and subspecialist pediatricians. All children had nondiagnostic microarrays and no prior single-gene or panel sequencing.&lt;/p&gt;&lt;h3&gt;Exposures&lt;/h3&gt;&lt;p&gt;All children underwent singleton WES with targeted phenotype-driven analysis.&lt;/p&gt;&lt;h3&gt;Main Outcomes and Measures&lt;/h3&gt;&lt;p&gt;The study examined the clinical utility of a molecular diagnosis and the cost-effectiveness of alternative diagnostic trajectories, depending on timing of WES.&lt;/p&gt;&lt;h3&gt;Results&lt;/h3&gt;&lt;p&gt;Of 61 children originally assessed, 44 (21 [48%] male and 23 [52%] female) aged 2 to 18 years (mean age at initial presentation, 28 months; range, 0-121 months) were recruited, and a diagnosis was achieved in 23 (52%) by singleton WES. The diagnoses were unexpected in 8 of 23 (35%), and clinical management was altered in 6 of 23 (26%). The mean duration of the diagnostic odyssey was 6 years, with each child having a mean of 19 tests and 4 clinical genetics and 4 nongenetics specialist consultations, and 26 (59%) underwent a procedure while under general anesthetic for diagnostic purposes. Economic analyses of the diagnostic trajectory identified that WES performed at initial tertiary presentation resulted in an incremental cost savings of A$9020 (US$6838) per additional diagnosis (95% CI, A$4304-A$15 404 [US$3263-US$11 678]) compared with the standard diagnostic pathway. Even if WES were performed at the first genetics appointment, there would be an incremental cost savings of A$5461 (US$4140) (95% CI, A$1433-A$10 557 [US$1086- US$8004]) per additional diagnosis compared with the standard diagnostic pathway.&lt;/p&gt;&lt;h3&gt;Conclusions and Relevance&lt;/h3&gt;&lt;p&gt;Singleton WES in children with suspected monogenic conditions has high diagnostic yield, and cost-effectiveness is maximized by early application in the diagnostic pathway. Pediatricians should consider early referral of children with undiagnosed syndromes to clinical geneticists.&lt;/p&gt;","DOI":"10.1001/jamapediatrics.2017.1755","ISSN":"2168-6203","journalAbbreviation":"JAMA Pediatr","author":[{"family":"Tan","given":"Tiong Yang"},{"family":"Dillon","given":"Oliver James"},{"family":"Stark","given":"Zornitza"},{"family":"Schofield","given":"Deborah"},{"family":"Alam","given":"Khurshid"},{"family":"Shrestha","given":"Rupendra"},{"family":"Chong","given":"Belinda"},{"family":"Phelan","given":"Dean"},{"family":"Brett","given":"Gemma R."},{"family":"Creed","given":"Emma"},{"family":"Jarmolowicz","given":"Anna"},{"family":"Yap","given":"Patrick"},{"family":"Walsh","given":"Maie"},{"family":"Downie","given":"Lilian"},{"family":"Amor","given":"David J."},{"family":"Savarirayan","given":"Ravi"},{"family":"McGillivray","given":"George"},{"family":"Yeung","given":"Alison"},{"family":"Peters","given":"Heidi"},{"family":"Robertson","given":"Susan J."},{"family":"Robinson","given":"Aaron J."},{"family":"Macciocca","given":"Ivan"},{"family":"Sadedin","given":"Simon"},{"family":"Bell","given":"Katrina"},{"family":"Oshlack","given":"Alicia"},{"family":"Georgeson","given":"Peter"},{"family":"Thorne","given":"Natalie"},{"family":"Gaff","given":"Clara"},{"family":"White","given":"Susan M."}],"issued":{"date-parts":[["2017",9,1]]}}}],"schema":"https://github.com/citation-style-language/schema/raw/master/csl-citation.json"} </w:instrText>
      </w:r>
      <w:r w:rsidR="006711D2">
        <w:rPr>
          <w:color w:val="auto"/>
        </w:rPr>
        <w:fldChar w:fldCharType="separate"/>
      </w:r>
      <w:r w:rsidR="006711D2" w:rsidRPr="006711D2">
        <w:rPr>
          <w:szCs w:val="24"/>
          <w:vertAlign w:val="superscript"/>
        </w:rPr>
        <w:t>16,17</w:t>
      </w:r>
      <w:r w:rsidR="006711D2">
        <w:rPr>
          <w:color w:val="auto"/>
        </w:rPr>
        <w:fldChar w:fldCharType="end"/>
      </w:r>
    </w:p>
    <w:p w14:paraId="2F6E8067" w14:textId="243EA17D" w:rsidR="003B3D11" w:rsidRPr="004121B7" w:rsidRDefault="00E91664" w:rsidP="006D7153">
      <w:pPr>
        <w:spacing w:line="480" w:lineRule="auto"/>
        <w:jc w:val="both"/>
        <w:rPr>
          <w:color w:val="auto"/>
        </w:rPr>
      </w:pPr>
      <w:r w:rsidRPr="004121B7">
        <w:rPr>
          <w:color w:val="auto"/>
        </w:rPr>
        <w:t xml:space="preserve">Nevertheless, solving the unsolvable cases requires multi-omics approach, combining transcriptomics, </w:t>
      </w:r>
      <w:proofErr w:type="spellStart"/>
      <w:r w:rsidRPr="004121B7">
        <w:rPr>
          <w:color w:val="auto"/>
        </w:rPr>
        <w:t>epigenomics</w:t>
      </w:r>
      <w:proofErr w:type="spellEnd"/>
      <w:r w:rsidRPr="004121B7">
        <w:rPr>
          <w:color w:val="auto"/>
        </w:rPr>
        <w:t xml:space="preserve">, metabolomics, phenomics etc. For instance, NeurOmics </w:t>
      </w:r>
      <w:proofErr w:type="spellStart"/>
      <w:r w:rsidRPr="004121B7">
        <w:rPr>
          <w:color w:val="auto"/>
        </w:rPr>
        <w:t>RNAseq</w:t>
      </w:r>
      <w:proofErr w:type="spellEnd"/>
      <w:r w:rsidRPr="004121B7">
        <w:rPr>
          <w:color w:val="auto"/>
        </w:rPr>
        <w:t xml:space="preserve"> studies revealed several possible genetic modifiers that may determine sym</w:t>
      </w:r>
      <w:r w:rsidR="006711D2">
        <w:rPr>
          <w:color w:val="auto"/>
        </w:rPr>
        <w:t>ptom severity and age of onset.</w:t>
      </w:r>
    </w:p>
    <w:p w14:paraId="3D40AA16" w14:textId="77777777" w:rsidR="003B3D11" w:rsidRPr="004121B7" w:rsidRDefault="00E91664" w:rsidP="006D7153">
      <w:pPr>
        <w:pStyle w:val="Heading3"/>
        <w:spacing w:line="480" w:lineRule="auto"/>
        <w:rPr>
          <w:color w:val="auto"/>
        </w:rPr>
      </w:pPr>
      <w:r w:rsidRPr="004121B7">
        <w:rPr>
          <w:color w:val="auto"/>
        </w:rPr>
        <w:lastRenderedPageBreak/>
        <w:t>NGS and privacy protection</w:t>
      </w:r>
    </w:p>
    <w:p w14:paraId="74C9F072" w14:textId="730DDD14" w:rsidR="003B3D11" w:rsidRPr="004121B7" w:rsidRDefault="00E91664" w:rsidP="006D7153">
      <w:pPr>
        <w:spacing w:line="480" w:lineRule="auto"/>
        <w:jc w:val="both"/>
        <w:rPr>
          <w:color w:val="auto"/>
        </w:rPr>
      </w:pPr>
      <w:r w:rsidRPr="004121B7">
        <w:rPr>
          <w:color w:val="auto"/>
        </w:rPr>
        <w:t xml:space="preserve">As discussed in the earlier session data sharing is crucial to the advancement of care and therapy in rare diseases. This is also the case when looking at diagnostic data. In particular, when it comes to incidental findings (unanticipated, “secondary” findings not related to initial reason for genetic analysis) which </w:t>
      </w:r>
      <w:proofErr w:type="gramStart"/>
      <w:r w:rsidRPr="004121B7">
        <w:rPr>
          <w:color w:val="auto"/>
        </w:rPr>
        <w:t>are reported</w:t>
      </w:r>
      <w:proofErr w:type="gramEnd"/>
      <w:r w:rsidRPr="004121B7">
        <w:rPr>
          <w:color w:val="auto"/>
        </w:rPr>
        <w:t xml:space="preserve"> in 1-8.8% of cases in different studies Reporting them back to the patients can sometimes save their lives, but can also influence unaffected family members, who may share the same risk variants. The panel and audience acknowledged the complexity of this </w:t>
      </w:r>
      <w:proofErr w:type="gramStart"/>
      <w:r w:rsidRPr="004121B7">
        <w:rPr>
          <w:color w:val="auto"/>
        </w:rPr>
        <w:t>issue,</w:t>
      </w:r>
      <w:proofErr w:type="gramEnd"/>
      <w:r w:rsidRPr="004121B7">
        <w:rPr>
          <w:color w:val="auto"/>
        </w:rPr>
        <w:t xml:space="preserve"> however did not </w:t>
      </w:r>
      <w:r w:rsidR="006711D2" w:rsidRPr="004121B7">
        <w:rPr>
          <w:color w:val="auto"/>
        </w:rPr>
        <w:t>conclude</w:t>
      </w:r>
      <w:r w:rsidRPr="004121B7">
        <w:rPr>
          <w:color w:val="auto"/>
        </w:rPr>
        <w:t xml:space="preserve"> on how to move forward. This is not an area that was explored in detail in RD-Connect, NeurOmics and EURenOmics, but is something for future consideration. </w:t>
      </w:r>
    </w:p>
    <w:p w14:paraId="021A392F" w14:textId="77777777" w:rsidR="003B3D11" w:rsidRPr="00EB4A92" w:rsidRDefault="00E91664" w:rsidP="006D7153">
      <w:pPr>
        <w:pStyle w:val="Heading3"/>
        <w:spacing w:line="480" w:lineRule="auto"/>
        <w:rPr>
          <w:color w:val="auto"/>
          <w:sz w:val="22"/>
        </w:rPr>
      </w:pPr>
      <w:r w:rsidRPr="00EB4A92">
        <w:rPr>
          <w:color w:val="auto"/>
          <w:sz w:val="22"/>
        </w:rPr>
        <w:t>Medical staff training and personalised genetic counselling</w:t>
      </w:r>
    </w:p>
    <w:p w14:paraId="4310659D" w14:textId="2DA73CDF" w:rsidR="003B3D11" w:rsidRPr="004121B7" w:rsidRDefault="00E91664" w:rsidP="006D7153">
      <w:pPr>
        <w:spacing w:line="480" w:lineRule="auto"/>
        <w:jc w:val="both"/>
        <w:rPr>
          <w:color w:val="auto"/>
        </w:rPr>
      </w:pPr>
      <w:r w:rsidRPr="004121B7">
        <w:rPr>
          <w:color w:val="auto"/>
        </w:rPr>
        <w:t xml:space="preserve">As stated by Daniel Renault, patients are searching not only for a quick diagnosis but also </w:t>
      </w:r>
      <w:r w:rsidR="006455AB">
        <w:rPr>
          <w:color w:val="auto"/>
        </w:rPr>
        <w:t xml:space="preserve">for </w:t>
      </w:r>
      <w:r w:rsidRPr="004121B7">
        <w:rPr>
          <w:color w:val="auto"/>
        </w:rPr>
        <w:t xml:space="preserve">information about the prognosis and disease management. Results </w:t>
      </w:r>
      <w:proofErr w:type="gramStart"/>
      <w:r w:rsidRPr="004121B7">
        <w:rPr>
          <w:color w:val="auto"/>
        </w:rPr>
        <w:t>should be shared</w:t>
      </w:r>
      <w:proofErr w:type="gramEnd"/>
      <w:r w:rsidRPr="004121B7">
        <w:rPr>
          <w:color w:val="auto"/>
        </w:rPr>
        <w:t xml:space="preserve"> with the patient carefully, and clinicians should be sensitive to how the patient responds to it. Our goal should be this kind of personalised counselling in all healthcare systems. </w:t>
      </w:r>
    </w:p>
    <w:p w14:paraId="671711F3" w14:textId="75E748C4" w:rsidR="003B3D11" w:rsidRPr="004121B7" w:rsidRDefault="00E91664" w:rsidP="006D7153">
      <w:pPr>
        <w:spacing w:line="480" w:lineRule="auto"/>
        <w:jc w:val="both"/>
        <w:rPr>
          <w:color w:val="auto"/>
        </w:rPr>
      </w:pPr>
      <w:r w:rsidRPr="004121B7">
        <w:rPr>
          <w:color w:val="auto"/>
        </w:rPr>
        <w:t xml:space="preserve">Nine Knoers pointed out that currently, insufficient numbers of clinicians and biologists </w:t>
      </w:r>
      <w:proofErr w:type="gramStart"/>
      <w:r w:rsidRPr="004121B7">
        <w:rPr>
          <w:color w:val="auto"/>
        </w:rPr>
        <w:t>are trained</w:t>
      </w:r>
      <w:proofErr w:type="gramEnd"/>
      <w:r w:rsidRPr="004121B7">
        <w:rPr>
          <w:color w:val="auto"/>
        </w:rPr>
        <w:t xml:space="preserve"> to interpret NGS data to enable them to help patients and families manage the disease and make informed reproductive choices. Therefore, it </w:t>
      </w:r>
      <w:proofErr w:type="gramStart"/>
      <w:r w:rsidRPr="004121B7">
        <w:rPr>
          <w:color w:val="auto"/>
        </w:rPr>
        <w:t>is urgently needed</w:t>
      </w:r>
      <w:proofErr w:type="gramEnd"/>
      <w:r w:rsidRPr="004121B7">
        <w:rPr>
          <w:color w:val="auto"/>
        </w:rPr>
        <w:t xml:space="preserve"> to develop guidelines for genetic counselling and training programs for clinicians, while NGS analysis should become a part of curriculum at all medical universities. Which professions are the most appropriate to provide genetic counselling remains under debate. </w:t>
      </w:r>
    </w:p>
    <w:p w14:paraId="7B1886EB" w14:textId="77777777" w:rsidR="003B3D11" w:rsidRPr="00EB4A92" w:rsidRDefault="00E91664" w:rsidP="006D7153">
      <w:pPr>
        <w:pStyle w:val="Heading3"/>
        <w:spacing w:line="480" w:lineRule="auto"/>
        <w:rPr>
          <w:color w:val="auto"/>
          <w:sz w:val="22"/>
        </w:rPr>
      </w:pPr>
      <w:r w:rsidRPr="00EB4A92">
        <w:rPr>
          <w:color w:val="auto"/>
          <w:sz w:val="22"/>
        </w:rPr>
        <w:t>Diagnosis across the globe</w:t>
      </w:r>
    </w:p>
    <w:p w14:paraId="76FCD7EF" w14:textId="77777777" w:rsidR="003B3D11" w:rsidRPr="004121B7" w:rsidRDefault="00E91664" w:rsidP="006D7153">
      <w:pPr>
        <w:spacing w:line="480" w:lineRule="auto"/>
        <w:jc w:val="both"/>
        <w:rPr>
          <w:color w:val="auto"/>
        </w:rPr>
      </w:pPr>
      <w:r w:rsidRPr="004121B7">
        <w:rPr>
          <w:color w:val="auto"/>
        </w:rPr>
        <w:t xml:space="preserve">Matthias </w:t>
      </w:r>
      <w:proofErr w:type="spellStart"/>
      <w:r w:rsidRPr="004121B7">
        <w:rPr>
          <w:color w:val="auto"/>
        </w:rPr>
        <w:t>Kretzler</w:t>
      </w:r>
      <w:proofErr w:type="spellEnd"/>
      <w:r w:rsidRPr="004121B7">
        <w:rPr>
          <w:color w:val="auto"/>
        </w:rPr>
        <w:t xml:space="preserve"> raised the importance of considering genetic diagnosis in a global context. He stated that most genetic studies </w:t>
      </w:r>
      <w:proofErr w:type="gramStart"/>
      <w:r w:rsidRPr="004121B7">
        <w:rPr>
          <w:color w:val="auto"/>
        </w:rPr>
        <w:t>are currently performed</w:t>
      </w:r>
      <w:proofErr w:type="gramEnd"/>
      <w:r w:rsidRPr="004121B7">
        <w:rPr>
          <w:color w:val="auto"/>
        </w:rPr>
        <w:t xml:space="preserve"> in people of Caucasian ethnicity. We therefore lack data from other ethnic groups and this impedes the diagnosis of non-Caucasian patients. The bias is evident not only between continents, but also within the EU itself – as pointed by Milan Macek, </w:t>
      </w:r>
      <w:r w:rsidRPr="004121B7">
        <w:rPr>
          <w:color w:val="auto"/>
        </w:rPr>
        <w:lastRenderedPageBreak/>
        <w:t xml:space="preserve">patients from Eastern Europe </w:t>
      </w:r>
      <w:proofErr w:type="gramStart"/>
      <w:r w:rsidRPr="004121B7">
        <w:rPr>
          <w:color w:val="auto"/>
        </w:rPr>
        <w:t>are underrepresented</w:t>
      </w:r>
      <w:proofErr w:type="gramEnd"/>
      <w:r w:rsidRPr="004121B7">
        <w:rPr>
          <w:color w:val="auto"/>
        </w:rPr>
        <w:t xml:space="preserve"> in most studies. Several countries in Africa and Middle East have valuable high quality DNA and data collections and active RD communities, which makes them potential important research partners. Researchers and research funders, such as EU and NIH, are actively exploring these research opportunities across continents.</w:t>
      </w:r>
    </w:p>
    <w:p w14:paraId="5CF4E1AF" w14:textId="63529AAD" w:rsidR="003B3D11" w:rsidRPr="004121B7" w:rsidRDefault="00E91664" w:rsidP="006D7153">
      <w:pPr>
        <w:spacing w:line="480" w:lineRule="auto"/>
        <w:jc w:val="both"/>
        <w:rPr>
          <w:color w:val="auto"/>
        </w:rPr>
      </w:pPr>
      <w:r w:rsidRPr="004121B7">
        <w:rPr>
          <w:color w:val="auto"/>
        </w:rPr>
        <w:t xml:space="preserve">High costs of genetic testing create inequity </w:t>
      </w:r>
      <w:proofErr w:type="gramStart"/>
      <w:r w:rsidRPr="004121B7">
        <w:rPr>
          <w:color w:val="auto"/>
        </w:rPr>
        <w:t>in the access to diagnosis between patients from different parts of the world</w:t>
      </w:r>
      <w:proofErr w:type="gramEnd"/>
      <w:r w:rsidRPr="004121B7">
        <w:rPr>
          <w:color w:val="auto"/>
        </w:rPr>
        <w:t xml:space="preserve">. In certain countries, genetic testing </w:t>
      </w:r>
      <w:proofErr w:type="gramStart"/>
      <w:r w:rsidRPr="004121B7">
        <w:rPr>
          <w:color w:val="auto"/>
        </w:rPr>
        <w:t>is covered</w:t>
      </w:r>
      <w:proofErr w:type="gramEnd"/>
      <w:r w:rsidRPr="004121B7">
        <w:rPr>
          <w:color w:val="auto"/>
        </w:rPr>
        <w:t xml:space="preserve"> by the health insurance, but in most, the patients have to cover the full cost or have no access at all.</w:t>
      </w:r>
    </w:p>
    <w:p w14:paraId="3982EC23" w14:textId="77777777" w:rsidR="003B3D11" w:rsidRPr="004121B7" w:rsidRDefault="003B3D11" w:rsidP="006D7153">
      <w:pPr>
        <w:spacing w:line="480" w:lineRule="auto"/>
        <w:rPr>
          <w:color w:val="auto"/>
        </w:rPr>
      </w:pPr>
    </w:p>
    <w:p w14:paraId="6EA9D454" w14:textId="77777777" w:rsidR="003B3D11" w:rsidRPr="004121B7" w:rsidRDefault="00E91664" w:rsidP="006D7153">
      <w:pPr>
        <w:pStyle w:val="Heading2"/>
        <w:spacing w:line="480" w:lineRule="auto"/>
        <w:rPr>
          <w:color w:val="auto"/>
        </w:rPr>
      </w:pPr>
      <w:bookmarkStart w:id="5" w:name="_e50v0dg2mxq" w:colFirst="0" w:colLast="0"/>
      <w:bookmarkEnd w:id="5"/>
      <w:r w:rsidRPr="004121B7">
        <w:rPr>
          <w:color w:val="auto"/>
        </w:rPr>
        <w:t>Therapies</w:t>
      </w:r>
    </w:p>
    <w:p w14:paraId="04437DA6" w14:textId="77777777" w:rsidR="003B3D11" w:rsidRPr="004121B7" w:rsidRDefault="00E91664" w:rsidP="006D7153">
      <w:pPr>
        <w:spacing w:line="480" w:lineRule="auto"/>
        <w:jc w:val="both"/>
        <w:rPr>
          <w:color w:val="auto"/>
        </w:rPr>
      </w:pPr>
      <w:proofErr w:type="gramStart"/>
      <w:r w:rsidRPr="004121B7">
        <w:rPr>
          <w:color w:val="auto"/>
        </w:rPr>
        <w:t xml:space="preserve">The last panel session, dedicated to therapies, was chaired by Annemieke Aartsma-Rus (Leiden University Medical </w:t>
      </w:r>
      <w:proofErr w:type="spellStart"/>
      <w:r w:rsidRPr="004121B7">
        <w:rPr>
          <w:color w:val="auto"/>
        </w:rPr>
        <w:t>Center</w:t>
      </w:r>
      <w:proofErr w:type="spellEnd"/>
      <w:r w:rsidRPr="004121B7">
        <w:rPr>
          <w:color w:val="auto"/>
        </w:rPr>
        <w:t>, NeurOmics)</w:t>
      </w:r>
      <w:proofErr w:type="gramEnd"/>
      <w:r w:rsidRPr="004121B7">
        <w:rPr>
          <w:color w:val="auto"/>
        </w:rPr>
        <w:t xml:space="preserve">. </w:t>
      </w:r>
      <w:proofErr w:type="gramStart"/>
      <w:r w:rsidRPr="004121B7">
        <w:rPr>
          <w:color w:val="auto"/>
        </w:rPr>
        <w:t xml:space="preserve">The panel was formed by Lucia Monaco (Fondazione Telethon, RD-Connect), Jack </w:t>
      </w:r>
      <w:proofErr w:type="spellStart"/>
      <w:r w:rsidRPr="004121B7">
        <w:rPr>
          <w:color w:val="auto"/>
        </w:rPr>
        <w:t>Wetzels</w:t>
      </w:r>
      <w:proofErr w:type="spellEnd"/>
      <w:r w:rsidRPr="004121B7">
        <w:rPr>
          <w:color w:val="auto"/>
        </w:rPr>
        <w:t xml:space="preserve"> (</w:t>
      </w:r>
      <w:proofErr w:type="spellStart"/>
      <w:r w:rsidRPr="004121B7">
        <w:rPr>
          <w:color w:val="auto"/>
        </w:rPr>
        <w:t>Radboud</w:t>
      </w:r>
      <w:proofErr w:type="spellEnd"/>
      <w:r w:rsidRPr="004121B7">
        <w:rPr>
          <w:color w:val="auto"/>
        </w:rPr>
        <w:t xml:space="preserve"> University Nijmegen Medical Centre, EURenOmics) and Jenny </w:t>
      </w:r>
      <w:proofErr w:type="spellStart"/>
      <w:r w:rsidRPr="004121B7">
        <w:rPr>
          <w:color w:val="auto"/>
        </w:rPr>
        <w:t>Versnel</w:t>
      </w:r>
      <w:proofErr w:type="spellEnd"/>
      <w:r w:rsidRPr="004121B7">
        <w:rPr>
          <w:color w:val="auto"/>
        </w:rPr>
        <w:t xml:space="preserve"> (Muscular Dystrophy UK, Patient Advisory Council)</w:t>
      </w:r>
      <w:proofErr w:type="gramEnd"/>
      <w:r w:rsidRPr="004121B7">
        <w:rPr>
          <w:color w:val="auto"/>
        </w:rPr>
        <w:t>.</w:t>
      </w:r>
    </w:p>
    <w:p w14:paraId="2C3808C5" w14:textId="77777777" w:rsidR="003B3D11" w:rsidRPr="004121B7" w:rsidRDefault="00E91664" w:rsidP="006D7153">
      <w:pPr>
        <w:spacing w:line="480" w:lineRule="auto"/>
        <w:jc w:val="both"/>
        <w:rPr>
          <w:color w:val="auto"/>
        </w:rPr>
      </w:pPr>
      <w:r w:rsidRPr="004121B7">
        <w:rPr>
          <w:color w:val="auto"/>
        </w:rPr>
        <w:t xml:space="preserve">Annemieke Aartsma-Rus opened the session with a reminder that the goal of IRDIRC to have 200 therapies for RDs by 2020 </w:t>
      </w:r>
      <w:proofErr w:type="gramStart"/>
      <w:r w:rsidRPr="004121B7">
        <w:rPr>
          <w:color w:val="auto"/>
        </w:rPr>
        <w:t>has been achieved</w:t>
      </w:r>
      <w:proofErr w:type="gramEnd"/>
      <w:r w:rsidRPr="004121B7">
        <w:rPr>
          <w:color w:val="auto"/>
        </w:rPr>
        <w:t xml:space="preserve"> ahead of time. However, some diseases have more than one therapy and with an estimated 6000-8000 RDs, it follows that for the vast majority of patients no therapy is yet available. Rarity remains the biggest bottleneck in therapy development for </w:t>
      </w:r>
      <w:proofErr w:type="spellStart"/>
      <w:r w:rsidRPr="004121B7">
        <w:rPr>
          <w:color w:val="auto"/>
        </w:rPr>
        <w:t>RDs.</w:t>
      </w:r>
      <w:proofErr w:type="spellEnd"/>
      <w:r w:rsidRPr="004121B7">
        <w:rPr>
          <w:color w:val="auto"/>
        </w:rPr>
        <w:t xml:space="preserve"> Therapy development for RDs is a complex and laborious process, because for most RDs tools required for clinical evaluation such as patient registries, trial site registries and outcome measures are not yet available. RD-Connect is currently addressing this by generating registry platforms. Still, many therapeutic options fail on the pre-clinical or clinical stage. We are beginning to look to new innovative approaches for therapy development and in some </w:t>
      </w:r>
      <w:proofErr w:type="gramStart"/>
      <w:r w:rsidRPr="004121B7">
        <w:rPr>
          <w:color w:val="auto"/>
        </w:rPr>
        <w:t>RDs</w:t>
      </w:r>
      <w:proofErr w:type="gramEnd"/>
      <w:r w:rsidRPr="004121B7">
        <w:rPr>
          <w:color w:val="auto"/>
        </w:rPr>
        <w:t xml:space="preserve"> these in a very early development stage, such as genome editing and induced pluripotent stem cells (</w:t>
      </w:r>
      <w:proofErr w:type="spellStart"/>
      <w:r w:rsidRPr="004121B7">
        <w:rPr>
          <w:color w:val="auto"/>
        </w:rPr>
        <w:t>iPSCs</w:t>
      </w:r>
      <w:proofErr w:type="spellEnd"/>
      <w:r w:rsidRPr="004121B7">
        <w:rPr>
          <w:color w:val="auto"/>
        </w:rPr>
        <w:t>).</w:t>
      </w:r>
    </w:p>
    <w:p w14:paraId="7CB541A2" w14:textId="77777777" w:rsidR="003B3D11" w:rsidRPr="004121B7" w:rsidRDefault="00E91664" w:rsidP="006D7153">
      <w:pPr>
        <w:pStyle w:val="Heading3"/>
        <w:spacing w:line="480" w:lineRule="auto"/>
        <w:rPr>
          <w:color w:val="auto"/>
        </w:rPr>
      </w:pPr>
      <w:r w:rsidRPr="004121B7">
        <w:rPr>
          <w:color w:val="auto"/>
        </w:rPr>
        <w:lastRenderedPageBreak/>
        <w:t>Developing novel therapeutic approaches</w:t>
      </w:r>
    </w:p>
    <w:p w14:paraId="50A3DC69" w14:textId="757892DE" w:rsidR="003B3D11" w:rsidRPr="004121B7" w:rsidRDefault="00E91664" w:rsidP="006D7153">
      <w:pPr>
        <w:spacing w:line="480" w:lineRule="auto"/>
        <w:jc w:val="both"/>
        <w:rPr>
          <w:color w:val="auto"/>
        </w:rPr>
      </w:pPr>
      <w:r w:rsidRPr="004121B7">
        <w:rPr>
          <w:color w:val="auto"/>
        </w:rPr>
        <w:t>One promising novel therapeutic approach highlighted by</w:t>
      </w:r>
      <w:r w:rsidRPr="004121B7">
        <w:rPr>
          <w:b/>
          <w:color w:val="auto"/>
        </w:rPr>
        <w:t xml:space="preserve"> </w:t>
      </w:r>
      <w:r w:rsidRPr="004121B7">
        <w:rPr>
          <w:color w:val="auto"/>
        </w:rPr>
        <w:t xml:space="preserve">Annemieke Aartsma-Rus is antisense oligonucleotide (AON)-mediated exon skipping. This approach </w:t>
      </w:r>
      <w:proofErr w:type="gramStart"/>
      <w:r w:rsidRPr="004121B7">
        <w:rPr>
          <w:color w:val="auto"/>
        </w:rPr>
        <w:t>can be employed</w:t>
      </w:r>
      <w:proofErr w:type="gramEnd"/>
      <w:r w:rsidRPr="004121B7">
        <w:rPr>
          <w:color w:val="auto"/>
        </w:rPr>
        <w:t xml:space="preserve"> to correct the reading frame, to allow the production of a partially functional protein rather than a non-functional protein. This approach is in clinical trials for Duchenne muscular dystrophy and exon 51 skipping has been approved in the USA by the food and drug administration</w:t>
      </w:r>
      <w:r w:rsidR="006711D2">
        <w:rPr>
          <w:color w:val="auto"/>
        </w:rPr>
        <w:t>.</w:t>
      </w:r>
      <w:r w:rsidR="006711D2">
        <w:rPr>
          <w:color w:val="auto"/>
        </w:rPr>
        <w:fldChar w:fldCharType="begin"/>
      </w:r>
      <w:r w:rsidR="006711D2">
        <w:rPr>
          <w:color w:val="auto"/>
        </w:rPr>
        <w:instrText xml:space="preserve"> ADDIN ZOTERO_ITEM CSL_CITATION {"citationID":"a2e18ca947o","properties":{"formattedCitation":"{\\rtf \\super 18\\nosupersub{}}","plainCitation":"18"},"citationItems":[{"id":80,"uris":["http://zotero.org/users/564462/items/QBTKYE7V"],"uri":["http://zotero.org/users/564462/items/QBTKYE7V"],"itemData":{"id":80,"type":"article-journal","title":"FDA Approves Eteplirsen for Duchenne Muscular Dystrophy: The Next Chapter in the Eteplirsen Saga","container-title":"Nucleic Acid Therapeutics","page":"1-3","volume":"27","issue":"1","source":"CrossRef","DOI":"10.1089/nat.2016.0657","ISSN":"2159-3337, 2159-3345","shortTitle":"FDA Approves Eteplirsen for Duchenne Muscular Dystrophy","language":"en","author":[{"family":"Aartsma-Rus","given":"Annemieke"},{"family":"Krieg","given":"Arthur M."}],"issued":{"date-parts":[["2017",2]]}}}],"schema":"https://github.com/citation-style-language/schema/raw/master/csl-citation.json"} </w:instrText>
      </w:r>
      <w:r w:rsidR="006711D2">
        <w:rPr>
          <w:color w:val="auto"/>
        </w:rPr>
        <w:fldChar w:fldCharType="separate"/>
      </w:r>
      <w:r w:rsidR="006711D2" w:rsidRPr="006711D2">
        <w:rPr>
          <w:szCs w:val="24"/>
          <w:vertAlign w:val="superscript"/>
        </w:rPr>
        <w:t>18</w:t>
      </w:r>
      <w:r w:rsidR="006711D2">
        <w:rPr>
          <w:color w:val="auto"/>
        </w:rPr>
        <w:fldChar w:fldCharType="end"/>
      </w:r>
      <w:r w:rsidRPr="004121B7">
        <w:rPr>
          <w:color w:val="auto"/>
        </w:rPr>
        <w:t xml:space="preserve"> For </w:t>
      </w:r>
      <w:proofErr w:type="spellStart"/>
      <w:r w:rsidRPr="004121B7">
        <w:rPr>
          <w:color w:val="auto"/>
        </w:rPr>
        <w:t>dysferlinopathies</w:t>
      </w:r>
      <w:proofErr w:type="spellEnd"/>
      <w:r w:rsidRPr="004121B7">
        <w:rPr>
          <w:color w:val="auto"/>
        </w:rPr>
        <w:t xml:space="preserve"> the approach can be used to bypass the mutation, while still allowing the production of an internally deleted </w:t>
      </w:r>
      <w:proofErr w:type="spellStart"/>
      <w:r w:rsidRPr="004121B7">
        <w:rPr>
          <w:color w:val="auto"/>
        </w:rPr>
        <w:t>dysferlin</w:t>
      </w:r>
      <w:proofErr w:type="spellEnd"/>
      <w:r w:rsidRPr="004121B7">
        <w:rPr>
          <w:color w:val="auto"/>
        </w:rPr>
        <w:t xml:space="preserve"> protein</w:t>
      </w:r>
      <w:r w:rsidR="008C2B1E">
        <w:rPr>
          <w:color w:val="auto"/>
        </w:rPr>
        <w:t>.</w:t>
      </w:r>
      <w:r w:rsidR="008C2B1E">
        <w:rPr>
          <w:color w:val="auto"/>
        </w:rPr>
        <w:fldChar w:fldCharType="begin"/>
      </w:r>
      <w:r w:rsidR="008C2B1E">
        <w:rPr>
          <w:color w:val="auto"/>
        </w:rPr>
        <w:instrText xml:space="preserve"> ADDIN ZOTERO_ITEM CSL_CITATION {"citationID":"a10li701k9o","properties":{"formattedCitation":"{\\rtf \\super 19\\nosupersub{}}","plainCitation":"19"},"citationItems":[{"id":81,"uris":["http://zotero.org/users/564462/items/WYD8CGYQ"],"uri":["http://zotero.org/users/564462/items/WYD8CGYQ"],"itemData":{"id":81,"type":"article-journal","title":"Exon 32 Skipping of Dysferlin Rescues Membrane Repair in Patients’ Cells","container-title":"Journal of Neuromuscular Diseases","page":"281-290","volume":"2","issue":"3","source":"CrossRef","DOI":"10.3233/JND-150109","ISSN":"22143599, 22143602","author":[{"family":"Barthélémy","given":"Florian"},{"family":"Blouin","given":"Cédric"},{"family":"Wein","given":"Nicolas"},{"family":"Mouly","given":"Vincent"},{"family":"Courrier","given":"Sébastien"},{"family":"Dionnet","given":"Eugénie"},{"family":"Kergourlay","given":"Virginie"},{"family":"Mathieu","given":"Yves"},{"family":"Garcia","given":"Luis"},{"family":"Butler-Browne","given":"Gillian"},{"family":"Lamaze","given":"Christophe"},{"family":"Lévy","given":"Nicolas"},{"family":"Krahn","given":"Martin"},{"family":"Bartoli","given":"Marc"}],"issued":{"date-parts":[["2015",9,2]]}}}],"schema":"https://github.com/citation-style-language/schema/raw/master/csl-citation.json"} </w:instrText>
      </w:r>
      <w:r w:rsidR="008C2B1E">
        <w:rPr>
          <w:color w:val="auto"/>
        </w:rPr>
        <w:fldChar w:fldCharType="separate"/>
      </w:r>
      <w:r w:rsidR="008C2B1E" w:rsidRPr="008C2B1E">
        <w:rPr>
          <w:szCs w:val="24"/>
          <w:vertAlign w:val="superscript"/>
        </w:rPr>
        <w:t>19</w:t>
      </w:r>
      <w:r w:rsidR="008C2B1E">
        <w:rPr>
          <w:color w:val="auto"/>
        </w:rPr>
        <w:fldChar w:fldCharType="end"/>
      </w:r>
      <w:r w:rsidRPr="004121B7">
        <w:rPr>
          <w:color w:val="auto"/>
        </w:rPr>
        <w:t xml:space="preserve"> This approach </w:t>
      </w:r>
      <w:proofErr w:type="gramStart"/>
      <w:r w:rsidRPr="004121B7">
        <w:rPr>
          <w:color w:val="auto"/>
        </w:rPr>
        <w:t>is being tested</w:t>
      </w:r>
      <w:proofErr w:type="gramEnd"/>
      <w:r w:rsidRPr="004121B7">
        <w:rPr>
          <w:color w:val="auto"/>
        </w:rPr>
        <w:t xml:space="preserve"> in vivo in a humanized </w:t>
      </w:r>
      <w:proofErr w:type="spellStart"/>
      <w:r w:rsidRPr="004121B7">
        <w:rPr>
          <w:color w:val="auto"/>
        </w:rPr>
        <w:t>dysterlin</w:t>
      </w:r>
      <w:proofErr w:type="spellEnd"/>
      <w:r w:rsidRPr="004121B7">
        <w:rPr>
          <w:color w:val="auto"/>
        </w:rPr>
        <w:t xml:space="preserve"> mouse model in the NeurOmics project. Finally, it is possible to use exon skipping to generate a less toxic protein, e.g. for spinocerebellar ataxia</w:t>
      </w:r>
      <w:r w:rsidR="008C2B1E">
        <w:rPr>
          <w:color w:val="auto"/>
        </w:rPr>
        <w:t>.</w:t>
      </w:r>
      <w:r w:rsidR="008C2B1E">
        <w:rPr>
          <w:color w:val="auto"/>
        </w:rPr>
        <w:fldChar w:fldCharType="begin"/>
      </w:r>
      <w:r w:rsidR="008C2B1E">
        <w:rPr>
          <w:color w:val="auto"/>
        </w:rPr>
        <w:instrText xml:space="preserve"> ADDIN ZOTERO_ITEM CSL_CITATION {"citationID":"a1be7hf2a0e","properties":{"formattedCitation":"{\\rtf \\super 20\\nosupersub{}}","plainCitation":"20"},"citationItems":[{"id":82,"uris":["http://zotero.org/users/564462/items/I6U9RNPI"],"uri":["http://zotero.org/users/564462/items/I6U9RNPI"],"itemData":{"id":82,"type":"article-journal","title":"Antisense oligonucleotide-mediated exon skipping as a strategy to reduce proteolytic cleavage of ataxin-3","container-title":"Scientific Reports","volume":"6","issue":"1","source":"CrossRef","URL":"http://www.nature.com/articles/srep35200","DOI":"10.1038/srep35200","ISSN":"2045-2322","language":"en","author":[{"family":"Toonen","given":"Lodewijk J. A."},{"family":"Schmidt","given":"Iris"},{"family":"Luijsterburg","given":"Martijn S."},{"family":"Attikum","given":"Haico","non-dropping-particle":"van"},{"family":"Roon-Mom","given":"Willeke M. C.","non-dropping-particle":"van"}],"issued":{"date-parts":[["2016",12]]},"accessed":{"date-parts":[["2017",8,17]]}}}],"schema":"https://github.com/citation-style-language/schema/raw/master/csl-citation.json"} </w:instrText>
      </w:r>
      <w:r w:rsidR="008C2B1E">
        <w:rPr>
          <w:color w:val="auto"/>
        </w:rPr>
        <w:fldChar w:fldCharType="separate"/>
      </w:r>
      <w:r w:rsidR="008C2B1E" w:rsidRPr="008C2B1E">
        <w:rPr>
          <w:szCs w:val="24"/>
          <w:vertAlign w:val="superscript"/>
        </w:rPr>
        <w:t>20</w:t>
      </w:r>
      <w:r w:rsidR="008C2B1E">
        <w:rPr>
          <w:color w:val="auto"/>
        </w:rPr>
        <w:fldChar w:fldCharType="end"/>
      </w:r>
      <w:r w:rsidRPr="004121B7">
        <w:rPr>
          <w:color w:val="auto"/>
        </w:rPr>
        <w:t xml:space="preserve"> This approach </w:t>
      </w:r>
      <w:proofErr w:type="gramStart"/>
      <w:r w:rsidRPr="004121B7">
        <w:rPr>
          <w:color w:val="auto"/>
        </w:rPr>
        <w:t>has been tested</w:t>
      </w:r>
      <w:proofErr w:type="gramEnd"/>
      <w:r w:rsidRPr="004121B7">
        <w:rPr>
          <w:color w:val="auto"/>
        </w:rPr>
        <w:t xml:space="preserve"> in vitro and in vivo in the NeurOmics project. The panel continued the discussion acknowledging </w:t>
      </w:r>
      <w:proofErr w:type="gramStart"/>
      <w:r w:rsidRPr="004121B7">
        <w:rPr>
          <w:color w:val="auto"/>
        </w:rPr>
        <w:t>it is not only the therapeutic approach itself that is required for therapy development</w:t>
      </w:r>
      <w:proofErr w:type="gramEnd"/>
      <w:r w:rsidRPr="004121B7">
        <w:rPr>
          <w:color w:val="auto"/>
        </w:rPr>
        <w:t xml:space="preserve"> but also the means to test is efficacy. The development of is essential to the advancement of individualized RD therapy</w:t>
      </w:r>
      <w:r w:rsidRPr="004121B7">
        <w:rPr>
          <w:b/>
          <w:color w:val="auto"/>
        </w:rPr>
        <w:t xml:space="preserve">. </w:t>
      </w:r>
      <w:r w:rsidRPr="004121B7">
        <w:rPr>
          <w:color w:val="auto"/>
        </w:rPr>
        <w:t xml:space="preserve">Biomarkers aim at accurate prediction of prognosis and treatment response. In EURenOmics, the levels of PLA2R antibodies in the blood of patients with membranous nephropathy </w:t>
      </w:r>
      <w:proofErr w:type="gramStart"/>
      <w:r w:rsidRPr="004121B7">
        <w:rPr>
          <w:color w:val="auto"/>
        </w:rPr>
        <w:t>were measured to predict spontaneous remission and allowed to avoid toxic, immunosuppressive therapy and use treatment with fewer side effects</w:t>
      </w:r>
      <w:proofErr w:type="gramEnd"/>
      <w:r w:rsidRPr="004121B7">
        <w:rPr>
          <w:color w:val="auto"/>
        </w:rPr>
        <w:t>. Non-responders were identifiable by high levels of anti-PLA2R antibodies, while effective treatment was predicted by disappearance of PLA2R antibodies</w:t>
      </w:r>
      <w:r w:rsidR="008C2B1E">
        <w:rPr>
          <w:color w:val="auto"/>
        </w:rPr>
        <w:t>.</w:t>
      </w:r>
      <w:r w:rsidR="008C2B1E">
        <w:rPr>
          <w:color w:val="auto"/>
        </w:rPr>
        <w:fldChar w:fldCharType="begin"/>
      </w:r>
      <w:r w:rsidR="008C2B1E">
        <w:rPr>
          <w:color w:val="auto"/>
        </w:rPr>
        <w:instrText xml:space="preserve"> ADDIN ZOTERO_ITEM CSL_CITATION {"citationID":"a2372nmpd7c","properties":{"formattedCitation":"{\\rtf \\super 21\\nosupersub{}}","plainCitation":"21"},"citationItems":[{"id":104,"uris":["http://zotero.org/users/564462/items/D8ZMJEYN"],"uri":["http://zotero.org/users/564462/items/D8ZMJEYN"],"itemData":{"id":104,"type":"article-journal","title":"Rituximab for Severe Membranous Nephropathy: A 6-Month Trial with Extended Follow-Up","container-title":"Journal of the American Society of Nephrology","page":"348-358","volume":"28","issue":"1","source":"CrossRef","DOI":"10.1681/ASN.2016040449","ISSN":"1046-6673, 1533-3450","shortTitle":"Rituximab for Severe Membranous Nephropathy","language":"en","author":[{"family":"Dahan","given":"Karine"},{"family":"Debiec","given":"Hanna"},{"family":"Plaisier","given":"Emmanuelle"},{"family":"Cachanado","given":"Marine"},{"family":"Rousseau","given":"Alexandra"},{"family":"Wakselman","given":"Laura"},{"family":"Michel","given":"Pierre-Antoine"},{"family":"Mihout","given":"Fabrice"},{"family":"Dussol","given":"Bertrand"},{"family":"Matignon","given":"Marie"},{"family":"Mousson","given":"Christiane"},{"family":"Simon","given":"Tabassome"},{"family":"Ronco","given":"Pierre"}],"issued":{"date-parts":[["2017",1]]}}}],"schema":"https://github.com/citation-style-language/schema/raw/master/csl-citation.json"} </w:instrText>
      </w:r>
      <w:r w:rsidR="008C2B1E">
        <w:rPr>
          <w:color w:val="auto"/>
        </w:rPr>
        <w:fldChar w:fldCharType="separate"/>
      </w:r>
      <w:r w:rsidR="008C2B1E" w:rsidRPr="008C2B1E">
        <w:rPr>
          <w:szCs w:val="24"/>
          <w:vertAlign w:val="superscript"/>
        </w:rPr>
        <w:t>21</w:t>
      </w:r>
      <w:r w:rsidR="008C2B1E">
        <w:rPr>
          <w:color w:val="auto"/>
        </w:rPr>
        <w:fldChar w:fldCharType="end"/>
      </w:r>
      <w:r w:rsidRPr="004121B7">
        <w:rPr>
          <w:color w:val="auto"/>
        </w:rPr>
        <w:t xml:space="preserve"> Also, patients’ response to different kinds of treatment depended on the initial PLA2R antibody levels. This finding opens perspectives for antibody</w:t>
      </w:r>
      <w:r w:rsidR="006455AB">
        <w:rPr>
          <w:color w:val="auto"/>
        </w:rPr>
        <w:t>-</w:t>
      </w:r>
      <w:r w:rsidRPr="004121B7">
        <w:rPr>
          <w:color w:val="auto"/>
        </w:rPr>
        <w:t>guided, individualized therapy.</w:t>
      </w:r>
    </w:p>
    <w:p w14:paraId="394B8C06" w14:textId="77777777" w:rsidR="003B3D11" w:rsidRPr="004121B7" w:rsidRDefault="00E91664" w:rsidP="006D7153">
      <w:pPr>
        <w:spacing w:line="480" w:lineRule="auto"/>
        <w:jc w:val="both"/>
        <w:rPr>
          <w:color w:val="auto"/>
        </w:rPr>
      </w:pPr>
      <w:r w:rsidRPr="004121B7">
        <w:rPr>
          <w:color w:val="auto"/>
        </w:rPr>
        <w:t>Lucia Monaco stated that biomarker and therapy development greatly benefit from biosample sharing. Cataloguing and registration of RD biobanks is an important part of the RD-Connect infrastructure. Sharing sample-level data in a common database, right down to individual samples, allows researchers to find the samples they need for their research and allows data from omics experiments to be traced back to the sample it came from for further research.</w:t>
      </w:r>
    </w:p>
    <w:p w14:paraId="2247A0E4" w14:textId="749B2D4C" w:rsidR="003B3D11" w:rsidRPr="004121B7" w:rsidRDefault="00E91664" w:rsidP="006D7153">
      <w:pPr>
        <w:spacing w:line="480" w:lineRule="auto"/>
        <w:jc w:val="both"/>
        <w:rPr>
          <w:color w:val="auto"/>
        </w:rPr>
      </w:pPr>
      <w:r w:rsidRPr="004121B7">
        <w:rPr>
          <w:color w:val="auto"/>
        </w:rPr>
        <w:lastRenderedPageBreak/>
        <w:t xml:space="preserve">The panel discussed how therapy development </w:t>
      </w:r>
      <w:proofErr w:type="gramStart"/>
      <w:r w:rsidRPr="004121B7">
        <w:rPr>
          <w:color w:val="auto"/>
        </w:rPr>
        <w:t>can</w:t>
      </w:r>
      <w:proofErr w:type="gramEnd"/>
      <w:r w:rsidRPr="004121B7">
        <w:rPr>
          <w:color w:val="auto"/>
        </w:rPr>
        <w:t xml:space="preserve"> be further advanced through the use of the clinical bioinformatic tools that are integrated in the RD-Connect platform. They include: NR </w:t>
      </w:r>
      <w:proofErr w:type="spellStart"/>
      <w:r w:rsidRPr="004121B7">
        <w:rPr>
          <w:color w:val="auto"/>
        </w:rPr>
        <w:t>Analyzer</w:t>
      </w:r>
      <w:proofErr w:type="spellEnd"/>
      <w:r w:rsidRPr="004121B7">
        <w:rPr>
          <w:color w:val="auto"/>
        </w:rPr>
        <w:t xml:space="preserve"> (clinical bioinformatics system for the nonsense read-through therapeutic strategy), SKIP-e tool (to facilitate antisense oligonucleotide selection for exon skipping strategies), </w:t>
      </w:r>
      <w:proofErr w:type="spellStart"/>
      <w:r w:rsidRPr="004121B7">
        <w:rPr>
          <w:color w:val="auto"/>
        </w:rPr>
        <w:t>ePGA</w:t>
      </w:r>
      <w:proofErr w:type="spellEnd"/>
      <w:r w:rsidRPr="004121B7">
        <w:rPr>
          <w:color w:val="auto"/>
        </w:rPr>
        <w:t xml:space="preserve"> (electronic Pharmacogenomics Assistance system to provide information about gene-drug interactions)</w:t>
      </w:r>
      <w:r w:rsidR="008C2B1E">
        <w:rPr>
          <w:color w:val="auto"/>
        </w:rPr>
        <w:t>.</w:t>
      </w:r>
      <w:r w:rsidR="008C2B1E">
        <w:rPr>
          <w:color w:val="auto"/>
        </w:rPr>
        <w:fldChar w:fldCharType="begin"/>
      </w:r>
      <w:r w:rsidR="008C2B1E">
        <w:rPr>
          <w:color w:val="auto"/>
        </w:rPr>
        <w:instrText xml:space="preserve"> ADDIN ZOTERO_ITEM CSL_CITATION {"citationID":"a2a8rmr3e1f","properties":{"formattedCitation":"{\\rtf \\super 22\\nosupersub{}}","plainCitation":"22"},"citationItems":[{"id":65,"uris":["http://zotero.org/users/564462/items/34BEXVCX"],"uri":["http://zotero.org/users/564462/items/34BEXVCX"],"itemData":{"id":65,"type":"article-journal","title":"ePGA: A Web-Based Information System for Translational Pharmacogenomics","container-title":"PLOS ONE","page":"e0162801","volume":"11","issue":"9","source":"CrossRef","DOI":"10.1371/journal.pone.0162801","ISSN":"1932-6203","shortTitle":"ePGA","language":"en","author":[{"family":"Lakiotaki","given":"Kleanthi"},{"family":"Kartsaki","given":"Evgenia"},{"family":"Kanterakis","given":"Alexandros"},{"family":"Katsila","given":"Theodora"},{"family":"Patrinos","given":"George P."},{"family":"Potamias","given":"George"}],"editor":[{"family":"Novelli","given":"Giuseppe"}],"issued":{"date-parts":[["2016",9,15]]}}}],"schema":"https://github.com/citation-style-language/schema/raw/master/csl-citation.json"} </w:instrText>
      </w:r>
      <w:r w:rsidR="008C2B1E">
        <w:rPr>
          <w:color w:val="auto"/>
        </w:rPr>
        <w:fldChar w:fldCharType="separate"/>
      </w:r>
      <w:r w:rsidR="008C2B1E" w:rsidRPr="008C2B1E">
        <w:rPr>
          <w:szCs w:val="24"/>
          <w:vertAlign w:val="superscript"/>
        </w:rPr>
        <w:t>22</w:t>
      </w:r>
      <w:r w:rsidR="008C2B1E">
        <w:rPr>
          <w:color w:val="auto"/>
        </w:rPr>
        <w:fldChar w:fldCharType="end"/>
      </w:r>
    </w:p>
    <w:p w14:paraId="30F41515" w14:textId="77777777" w:rsidR="003B3D11" w:rsidRPr="004121B7" w:rsidRDefault="00E91664" w:rsidP="006D7153">
      <w:pPr>
        <w:spacing w:line="480" w:lineRule="auto"/>
        <w:jc w:val="both"/>
        <w:rPr>
          <w:color w:val="auto"/>
        </w:rPr>
      </w:pPr>
      <w:r w:rsidRPr="004121B7">
        <w:rPr>
          <w:color w:val="auto"/>
        </w:rPr>
        <w:t xml:space="preserve">An additional approach to treatment for rare diseases is through drug repurposing. The NeurOmics coordinator, Olaf Horst Rieß, reported that NeurOmics has screened many compounds for therapy of selected diseases and in the future, the approach </w:t>
      </w:r>
      <w:proofErr w:type="gramStart"/>
      <w:r w:rsidRPr="004121B7">
        <w:rPr>
          <w:color w:val="auto"/>
        </w:rPr>
        <w:t>could be made</w:t>
      </w:r>
      <w:proofErr w:type="gramEnd"/>
      <w:r w:rsidRPr="004121B7">
        <w:rPr>
          <w:color w:val="auto"/>
        </w:rPr>
        <w:t xml:space="preserve"> more effective by screening multiple drugs for many diseases in a single test and sharing them between researchers. </w:t>
      </w:r>
    </w:p>
    <w:p w14:paraId="1ED9A0B2" w14:textId="77777777" w:rsidR="003B3D11" w:rsidRPr="00EB4A92" w:rsidRDefault="00E91664" w:rsidP="006D7153">
      <w:pPr>
        <w:pStyle w:val="Heading3"/>
        <w:spacing w:line="480" w:lineRule="auto"/>
        <w:rPr>
          <w:color w:val="auto"/>
          <w:sz w:val="22"/>
        </w:rPr>
      </w:pPr>
      <w:r w:rsidRPr="00EB4A92">
        <w:rPr>
          <w:color w:val="auto"/>
          <w:sz w:val="22"/>
        </w:rPr>
        <w:t>Tri-lateral communication between researchers, drug regulators and patients</w:t>
      </w:r>
    </w:p>
    <w:p w14:paraId="1DF68CE1" w14:textId="2F5C43A9" w:rsidR="003B3D11" w:rsidRPr="004121B7" w:rsidRDefault="00E91664" w:rsidP="006D7153">
      <w:pPr>
        <w:spacing w:line="480" w:lineRule="auto"/>
        <w:jc w:val="both"/>
        <w:rPr>
          <w:color w:val="auto"/>
        </w:rPr>
      </w:pPr>
      <w:r w:rsidRPr="004121B7">
        <w:rPr>
          <w:color w:val="auto"/>
        </w:rPr>
        <w:t xml:space="preserve">Apart from the pharmaceutical industry, therapy development involves three major stakeholder groups: academics, regulators and patients. Efficient therapy development requires efficient tri-lateral communication between them, as each of has important information to contribute. Patients’ associations should communicate their needs with other stakeholders from the initial stages of therapy development and be involved in outcome measure and endpoint development and selection. Regulators, who approve drugs for all diseases, need to receive education on RDs and genetics, to understand the patients’ needs and novel therapy approaches. </w:t>
      </w:r>
      <w:proofErr w:type="spellStart"/>
      <w:r w:rsidRPr="004121B7">
        <w:rPr>
          <w:color w:val="auto"/>
        </w:rPr>
        <w:t>Multistakeholder</w:t>
      </w:r>
      <w:proofErr w:type="spellEnd"/>
      <w:r w:rsidRPr="004121B7">
        <w:rPr>
          <w:color w:val="auto"/>
        </w:rPr>
        <w:t xml:space="preserve"> meetings have recently been hosted by the European Medicines Agency for DMD and spinal muscular atroph</w:t>
      </w:r>
      <w:r w:rsidR="008C2B1E">
        <w:rPr>
          <w:color w:val="auto"/>
        </w:rPr>
        <w:t>y.</w:t>
      </w:r>
      <w:r w:rsidR="008C2B1E">
        <w:rPr>
          <w:color w:val="auto"/>
        </w:rPr>
        <w:fldChar w:fldCharType="begin"/>
      </w:r>
      <w:r w:rsidR="008C2B1E">
        <w:rPr>
          <w:color w:val="auto"/>
        </w:rPr>
        <w:instrText xml:space="preserve"> ADDIN ZOTERO_ITEM CSL_CITATION {"citationID":"a17brjo6qf2","properties":{"formattedCitation":"{\\rtf \\super 23,24\\nosupersub{}}","plainCitation":"23,24"},"citationItems":[{"id":83,"uris":["http://zotero.org/users/564462/items/Z6SYFJYW"],"uri":["http://zotero.org/users/564462/items/Z6SYFJYW"],"itemData":{"id":83,"type":"article-journal","title":"Stakeholder cooperation to overcome challenges in orphan medicine development: the example of Duchenne muscular dystrophy","container-title":"The Lancet Neurology","page":"882-890","volume":"15","issue":"8","source":"CrossRef","DOI":"10.1016/S1474-4422(16)30035-7","ISSN":"14744422","shortTitle":"Stakeholder cooperation to overcome challenges in orphan medicine development","language":"en","author":[{"family":"Straub","given":"Volker"},{"family":"Balabanov","given":"Pavel"},{"family":"Bushby","given":"Kate"},{"family":"Ensini","given":"Monica"},{"family":"Goemans","given":"Nathalie"},{"family":"De Luca","given":"Annamaria"},{"family":"Pereda","given":"Alejandra"},{"family":"Hemmings","given":"Robert"},{"family":"Campion","given":"Giles"},{"family":"Kaye","given":"Edward"},{"family":"Arechavala-Gomeza","given":"Virginia"},{"family":"Goyenvalle","given":"Aurelie"},{"family":"Niks","given":"Erik"},{"family":"Veldhuizen","given":"Olav"},{"family":"Furlong","given":"Pat"},{"family":"Stoyanova-Beninska","given":"Violeta"},{"family":"Wood","given":"Matthew J"},{"family":"Johnson","given":"Alex"},{"family":"Mercuri","given":"Eugenio"},{"family":"Muntoni","given":"Francesco"},{"family":"Sepodes","given":"Bruno"},{"family":"Haas","given":"Manuel"},{"family":"Vroom","given":"Elizabeth"},{"family":"Aartsma-Rus","given":"Annemieke"}],"issued":{"date-parts":[["2016",7]]}}},{"id":39,"uris":["http://zotero.org/users/564462/items/PAVM2EYJ"],"uri":["http://zotero.org/users/564462/items/PAVM2EYJ"],"itemData":{"id":39,"type":"article-journal","title":"Stakeholder collaboration for spinal muscular atrophy therapy development","container-title":"The Lancet Neurology","page":"264","volume":"16","issue":"4","source":"www.thelancet.com","DOI":"10.1016/S1474-4422(17)30041-8","ISSN":"1474-4422, 1474-4465","note":"PMID: 28327335, 28327335","journalAbbreviation":"The Lancet Neurology","language":"English","author":[{"family":"Aartsma-Rus","given":"Annemieke"},{"family":"Balabanov","given":"Pavel"},{"family":"Binetti","given":"Luca"},{"family":"Haas","given":"Manuel"},{"family":"Haberkamp","given":"Marion"},{"family":"Mitchell","given":"Joanna"},{"family":"Rosa","given":"Mário Miguel"},{"family":"Muntoni","given":"Francesco"},{"family":"Finkel","given":"Richard"},{"family":"Mercuri","given":"Eugenio"}],"issued":{"date-parts":[["2017",4,1]]}}}],"schema":"https://github.com/citation-style-language/schema/raw/master/csl-citation.json"} </w:instrText>
      </w:r>
      <w:r w:rsidR="008C2B1E">
        <w:rPr>
          <w:color w:val="auto"/>
        </w:rPr>
        <w:fldChar w:fldCharType="separate"/>
      </w:r>
      <w:r w:rsidR="008C2B1E" w:rsidRPr="008C2B1E">
        <w:rPr>
          <w:szCs w:val="24"/>
          <w:vertAlign w:val="superscript"/>
        </w:rPr>
        <w:t>23,24</w:t>
      </w:r>
      <w:r w:rsidR="008C2B1E">
        <w:rPr>
          <w:color w:val="auto"/>
        </w:rPr>
        <w:fldChar w:fldCharType="end"/>
      </w:r>
      <w:r w:rsidRPr="004121B7">
        <w:rPr>
          <w:color w:val="auto"/>
        </w:rPr>
        <w:t xml:space="preserve"> Communication with patients at every step of the development process is crucial to facilitate therapy development, but also to let them have realistic expectations and consider acceptable and unacceptable burdens of therapy. Researchers, patients and regulators need to educate each other as is seen for example in the EURORDIS summer schools.</w:t>
      </w:r>
    </w:p>
    <w:p w14:paraId="168760C4" w14:textId="77777777" w:rsidR="003B3D11" w:rsidRPr="004121B7" w:rsidRDefault="00E91664" w:rsidP="006D7153">
      <w:pPr>
        <w:spacing w:line="480" w:lineRule="auto"/>
        <w:jc w:val="both"/>
        <w:rPr>
          <w:color w:val="auto"/>
        </w:rPr>
      </w:pPr>
      <w:r w:rsidRPr="004121B7">
        <w:rPr>
          <w:color w:val="auto"/>
        </w:rPr>
        <w:t xml:space="preserve">Therapy </w:t>
      </w:r>
      <w:proofErr w:type="gramStart"/>
      <w:r w:rsidRPr="004121B7">
        <w:rPr>
          <w:color w:val="auto"/>
        </w:rPr>
        <w:t>must be adjusted</w:t>
      </w:r>
      <w:proofErr w:type="gramEnd"/>
      <w:r w:rsidRPr="004121B7">
        <w:rPr>
          <w:color w:val="auto"/>
        </w:rPr>
        <w:t xml:space="preserve"> to patients’ needs. As pointed out by Annemieke Aartsma-Rus, patients’ priority is to increase their life quality rather than just life expectancy. Patients’ preference </w:t>
      </w:r>
      <w:proofErr w:type="gramStart"/>
      <w:r w:rsidRPr="004121B7">
        <w:rPr>
          <w:color w:val="auto"/>
        </w:rPr>
        <w:t>must be considered</w:t>
      </w:r>
      <w:proofErr w:type="gramEnd"/>
      <w:r w:rsidRPr="004121B7">
        <w:rPr>
          <w:color w:val="auto"/>
        </w:rPr>
        <w:t xml:space="preserve"> in drug development and clinical trials should have real-life outcome measures (i.e. ability </w:t>
      </w:r>
      <w:r w:rsidRPr="004121B7">
        <w:rPr>
          <w:color w:val="auto"/>
        </w:rPr>
        <w:lastRenderedPageBreak/>
        <w:t>to hold a cup rather than a 6-minutes walking test). Thus, patients must be involved from the earliest stage.</w:t>
      </w:r>
    </w:p>
    <w:p w14:paraId="62980E8D" w14:textId="77777777" w:rsidR="003B3D11" w:rsidRPr="00EB4A92" w:rsidRDefault="00E91664" w:rsidP="006D7153">
      <w:pPr>
        <w:pStyle w:val="Heading3"/>
        <w:spacing w:line="480" w:lineRule="auto"/>
        <w:rPr>
          <w:color w:val="auto"/>
          <w:sz w:val="22"/>
        </w:rPr>
      </w:pPr>
      <w:r w:rsidRPr="00EB4A92">
        <w:rPr>
          <w:color w:val="auto"/>
          <w:sz w:val="22"/>
        </w:rPr>
        <w:t>Clinical trials</w:t>
      </w:r>
    </w:p>
    <w:p w14:paraId="7E731EC5" w14:textId="77777777" w:rsidR="003B3D11" w:rsidRPr="004121B7" w:rsidRDefault="00E91664" w:rsidP="006D7153">
      <w:pPr>
        <w:spacing w:line="480" w:lineRule="auto"/>
        <w:jc w:val="both"/>
        <w:rPr>
          <w:color w:val="auto"/>
        </w:rPr>
      </w:pPr>
      <w:r w:rsidRPr="004121B7">
        <w:rPr>
          <w:color w:val="auto"/>
        </w:rPr>
        <w:t xml:space="preserve">The session continued with a focus on clinical trials. Clinical trials depend on the capacity to recruit sufficient numbers of patients, which </w:t>
      </w:r>
      <w:proofErr w:type="gramStart"/>
      <w:r w:rsidRPr="004121B7">
        <w:rPr>
          <w:color w:val="auto"/>
        </w:rPr>
        <w:t>can be supported</w:t>
      </w:r>
      <w:proofErr w:type="gramEnd"/>
      <w:r w:rsidRPr="004121B7">
        <w:rPr>
          <w:color w:val="auto"/>
        </w:rPr>
        <w:t xml:space="preserve"> through patient registries that can provide access to large numbers of patients with a specific disease. To facilitate identification of registries holding information on a disease of interest, the RD-Connect ID-Cards catalogue provides information about existing registries and the numbers of patients they contain. </w:t>
      </w:r>
    </w:p>
    <w:p w14:paraId="21706CD2" w14:textId="20584F68" w:rsidR="003B3D11" w:rsidRPr="004121B7" w:rsidRDefault="00E91664" w:rsidP="006D7153">
      <w:pPr>
        <w:spacing w:line="480" w:lineRule="auto"/>
        <w:jc w:val="both"/>
        <w:rPr>
          <w:color w:val="auto"/>
        </w:rPr>
      </w:pPr>
      <w:r w:rsidRPr="004121B7">
        <w:rPr>
          <w:color w:val="auto"/>
        </w:rPr>
        <w:t>Annemieke Aartsma-Rus also mentioned the Care and Trial Site Registry (CTSR), originally developed as part of the Neuromuscular network TREAT-NMD and developed further by NeurOmics</w:t>
      </w:r>
      <w:r w:rsidR="008C2B1E">
        <w:rPr>
          <w:color w:val="auto"/>
        </w:rPr>
        <w:t>.</w:t>
      </w:r>
      <w:r w:rsidR="008C2B1E">
        <w:rPr>
          <w:color w:val="auto"/>
        </w:rPr>
        <w:fldChar w:fldCharType="begin"/>
      </w:r>
      <w:r w:rsidR="008C2B1E">
        <w:rPr>
          <w:color w:val="auto"/>
        </w:rPr>
        <w:instrText xml:space="preserve"> ADDIN ZOTERO_ITEM CSL_CITATION {"citationID":"a17juj09efk","properties":{"formattedCitation":"{\\rtf \\super 25,26\\nosupersub{}}","plainCitation":"25,26"},"citationItems":[{"id":84,"uris":["http://zotero.org/users/564462/items/CSG5JVPH"],"uri":["http://zotero.org/users/564462/items/CSG5JVPH"],"itemData":{"id":84,"type":"article-journal","title":"The TREAT-NMD care and trial site registry: an online registry to facilitate clinical research for neuromuscular diseases","container-title":"Orphanet Journal of Rare Diseases","page":"171","volume":"8","issue":"1","source":"CrossRef","DOI":"10.1186/1750-1172-8-171","ISSN":"1750-1172","shortTitle":"The TREAT-NMD care and trial site registry","language":"en","author":[{"family":"Rodger","given":"Sunil"},{"family":"Lochmüller","given":"Hanns"},{"family":"Tassoni","given":"Adrian"},{"family":"Gramsch","given":"Kathrin"},{"family":"König","given":"Kirsten"},{"family":"Bushby","given":"Kate"},{"family":"Straub","given":"Volker"},{"family":"Korinthenberg","given":"Rudolf"},{"family":"Kirschner","given":"Janbernd"}],"issued":{"date-parts":[["2013"]]}}},{"id":85,"uris":["http://zotero.org/users/564462/items/GVLFMLBC"],"uri":["http://zotero.org/users/564462/items/GVLFMLBC"],"itemData":{"id":85,"type":"article-journal","title":"Translational Research in Europe for the Assessment and Treatment for Neuromuscular Disorders (TREAT-NMD)","container-title":"Neuropediatrics","page":"211-220","volume":"48","issue":"04","source":"CrossRef","DOI":"10.1055/s-0037-1604110","ISSN":"0174-304X, 1439-1899","language":"en","author":[{"family":"Leary","given":"Rebecca"},{"family":"Oyewole","given":"Anne"},{"family":"Bushby","given":"Katharine"},{"family":"Aartsma-Rus","given":"Annemieke"}],"issued":{"date-parts":[["2017",8]]}}}],"schema":"https://github.com/citation-style-language/schema/raw/master/csl-citation.json"} </w:instrText>
      </w:r>
      <w:r w:rsidR="008C2B1E">
        <w:rPr>
          <w:color w:val="auto"/>
        </w:rPr>
        <w:fldChar w:fldCharType="separate"/>
      </w:r>
      <w:r w:rsidR="008C2B1E" w:rsidRPr="008C2B1E">
        <w:rPr>
          <w:szCs w:val="24"/>
          <w:vertAlign w:val="superscript"/>
        </w:rPr>
        <w:t>25,26</w:t>
      </w:r>
      <w:r w:rsidR="008C2B1E">
        <w:rPr>
          <w:color w:val="auto"/>
        </w:rPr>
        <w:fldChar w:fldCharType="end"/>
      </w:r>
      <w:r w:rsidRPr="004121B7">
        <w:rPr>
          <w:color w:val="auto"/>
        </w:rPr>
        <w:t xml:space="preserve"> The CTSR helps pharmaceutical companies and clinical researchers select trial sites and identify potential partners for upcoming research projects. To improve capacity for clinical trials, NeurOmics have expanded the CTSR to include potential trial sites for neurodegenerative conditions and introduced a “phenotype search facility”. The CTSR now has 337 sites in 51 countries and 88 of these see neurodegenerative disease patients. Around 67000 patients </w:t>
      </w:r>
      <w:proofErr w:type="gramStart"/>
      <w:r w:rsidRPr="004121B7">
        <w:rPr>
          <w:color w:val="auto"/>
        </w:rPr>
        <w:t>are seen</w:t>
      </w:r>
      <w:proofErr w:type="gramEnd"/>
      <w:r w:rsidRPr="004121B7">
        <w:rPr>
          <w:color w:val="auto"/>
        </w:rPr>
        <w:t xml:space="preserve"> across these 337 sites providing an invaluable resource to those conducting feasibility studies and seeking sites to carry out clinical trials.</w:t>
      </w:r>
    </w:p>
    <w:p w14:paraId="710B7480" w14:textId="77777777" w:rsidR="003B3D11" w:rsidRPr="00EB4A92" w:rsidRDefault="00E91664" w:rsidP="006D7153">
      <w:pPr>
        <w:pStyle w:val="Heading3"/>
        <w:spacing w:line="480" w:lineRule="auto"/>
        <w:rPr>
          <w:color w:val="auto"/>
          <w:sz w:val="22"/>
        </w:rPr>
      </w:pPr>
      <w:r w:rsidRPr="00EB4A92">
        <w:rPr>
          <w:color w:val="auto"/>
          <w:sz w:val="22"/>
        </w:rPr>
        <w:t>Treatment cost and availability</w:t>
      </w:r>
    </w:p>
    <w:p w14:paraId="5F8145E3" w14:textId="13C1129A" w:rsidR="003B3D11" w:rsidRPr="004121B7" w:rsidRDefault="00E91664" w:rsidP="006D7153">
      <w:pPr>
        <w:spacing w:line="480" w:lineRule="auto"/>
        <w:jc w:val="both"/>
        <w:rPr>
          <w:color w:val="auto"/>
        </w:rPr>
      </w:pPr>
      <w:r w:rsidRPr="004121B7">
        <w:rPr>
          <w:color w:val="auto"/>
        </w:rPr>
        <w:t xml:space="preserve">In response to a question from the </w:t>
      </w:r>
      <w:proofErr w:type="gramStart"/>
      <w:r w:rsidRPr="004121B7">
        <w:rPr>
          <w:color w:val="auto"/>
        </w:rPr>
        <w:t>audience</w:t>
      </w:r>
      <w:proofErr w:type="gramEnd"/>
      <w:r w:rsidRPr="004121B7">
        <w:rPr>
          <w:color w:val="auto"/>
        </w:rPr>
        <w:t xml:space="preserve"> the panel discussed the issue of cost in rare disease therapy development. The cost of therapy per patient is important and may cover one-off or lifetime treatment (e.g. gene therapy or enzyme replacement). It </w:t>
      </w:r>
      <w:proofErr w:type="gramStart"/>
      <w:r w:rsidRPr="004121B7">
        <w:rPr>
          <w:color w:val="auto"/>
        </w:rPr>
        <w:t>is expected</w:t>
      </w:r>
      <w:proofErr w:type="gramEnd"/>
      <w:r w:rsidRPr="004121B7">
        <w:rPr>
          <w:color w:val="auto"/>
        </w:rPr>
        <w:t xml:space="preserve"> that prices will decrease with advancements in technology. The RD community faces the challenge that even though the costs of developing treatment for rare and common diseases is similar, the per-patient prices of the RD medicines are much higher, because the recoup is spread between fewer patients</w:t>
      </w:r>
      <w:r w:rsidR="003A1C45">
        <w:rPr>
          <w:color w:val="auto"/>
        </w:rPr>
        <w:t>.</w:t>
      </w:r>
      <w:r w:rsidR="003A1C45">
        <w:rPr>
          <w:color w:val="auto"/>
        </w:rPr>
        <w:fldChar w:fldCharType="begin"/>
      </w:r>
      <w:r w:rsidR="003A1C45">
        <w:rPr>
          <w:color w:val="auto"/>
        </w:rPr>
        <w:instrText xml:space="preserve"> ADDIN ZOTERO_ITEM CSL_CITATION {"citationID":"a7s3q5v8h2","properties":{"formattedCitation":"{\\rtf \\super 27\\nosupersub{}}","plainCitation":"27"},"citationItems":[{"id":61,"uris":["http://zotero.org/users/564462/items/3KQYD3EK"],"uri":["http://zotero.org/users/564462/items/3KQYD3EK"],"itemData":{"id":61,"type":"article-journal","title":"Do payers value rarity? An analysis of the relationship between disease rarity and orphan drug prices in Europe","container-title":"Journal of Market Access &amp; Health Policy","page":"1299665","volume":"5","issue":"1","source":"CrossRef","DOI":"10.1080/20016689.2017.1299665","ISSN":"2001-6689","shortTitle":"Do payers value rarity?","language":"en","author":[{"family":"Medic","given":"Goran"},{"family":"Korchagina","given":"Daria"},{"family":"Young","given":"Katherine Eve"},{"family":"Toumi","given":"Mondher"},{"family":"Postma","given":"Maarten Jacobus"},{"family":"Wille","given":"Micheline"},{"family":"Hemels","given":"Michiel"}],"issued":{"date-parts":[["2017",1]]}}}],"schema":"https://github.com/citation-style-language/schema/raw/master/csl-citation.json"} </w:instrText>
      </w:r>
      <w:r w:rsidR="003A1C45">
        <w:rPr>
          <w:color w:val="auto"/>
        </w:rPr>
        <w:fldChar w:fldCharType="separate"/>
      </w:r>
      <w:r w:rsidR="003A1C45" w:rsidRPr="003A1C45">
        <w:rPr>
          <w:szCs w:val="24"/>
          <w:vertAlign w:val="superscript"/>
        </w:rPr>
        <w:t>27</w:t>
      </w:r>
      <w:r w:rsidR="003A1C45">
        <w:rPr>
          <w:color w:val="auto"/>
        </w:rPr>
        <w:fldChar w:fldCharType="end"/>
      </w:r>
      <w:r w:rsidRPr="004121B7">
        <w:rPr>
          <w:color w:val="auto"/>
        </w:rPr>
        <w:t xml:space="preserve"> These costs are often unaffordable for the national healthcare systems and force the patients to find own resources. </w:t>
      </w:r>
      <w:r w:rsidRPr="004121B7">
        <w:rPr>
          <w:color w:val="auto"/>
        </w:rPr>
        <w:lastRenderedPageBreak/>
        <w:t xml:space="preserve">Researchers should therefore consider for potential therapies how expensive, invasive and likely to </w:t>
      </w:r>
      <w:proofErr w:type="gramStart"/>
      <w:r w:rsidRPr="004121B7">
        <w:rPr>
          <w:color w:val="auto"/>
        </w:rPr>
        <w:t>be translated</w:t>
      </w:r>
      <w:proofErr w:type="gramEnd"/>
      <w:r w:rsidRPr="004121B7">
        <w:rPr>
          <w:color w:val="auto"/>
        </w:rPr>
        <w:t xml:space="preserve"> to humans the therapy will be already at early stages of animal testing. </w:t>
      </w:r>
    </w:p>
    <w:p w14:paraId="7D630B2C" w14:textId="77777777" w:rsidR="003B3D11" w:rsidRPr="004121B7" w:rsidRDefault="00E91664" w:rsidP="006D7153">
      <w:pPr>
        <w:spacing w:line="480" w:lineRule="auto"/>
        <w:jc w:val="both"/>
        <w:rPr>
          <w:color w:val="auto"/>
        </w:rPr>
      </w:pPr>
      <w:r w:rsidRPr="004121B7">
        <w:rPr>
          <w:color w:val="auto"/>
        </w:rPr>
        <w:t xml:space="preserve">The access to therapy remains a challenge. While drugs for RDs </w:t>
      </w:r>
      <w:proofErr w:type="gramStart"/>
      <w:r w:rsidRPr="004121B7">
        <w:rPr>
          <w:color w:val="auto"/>
        </w:rPr>
        <w:t>are approved</w:t>
      </w:r>
      <w:proofErr w:type="gramEnd"/>
      <w:r w:rsidRPr="004121B7">
        <w:rPr>
          <w:color w:val="auto"/>
        </w:rPr>
        <w:t xml:space="preserve"> at an EU level, post marketing surveillance, marketing, pricing and health technology assessment (HTA) occurs at a national level, each with different requirements in different countries. Complicated procedures for HTA and a small size of the patient population might stop the company from applying for an approval in a given country and lead to inequalities. Therefore, EU should develop standards for drug marketing to ensure uniformity of access across countries. EURORDIS and the ERNs will be important players to address this challenge.</w:t>
      </w:r>
    </w:p>
    <w:p w14:paraId="5BB0A4E6" w14:textId="77777777" w:rsidR="003B3D11" w:rsidRPr="004121B7" w:rsidRDefault="00E91664" w:rsidP="006D7153">
      <w:pPr>
        <w:pStyle w:val="Heading2"/>
        <w:spacing w:line="480" w:lineRule="auto"/>
        <w:rPr>
          <w:color w:val="auto"/>
        </w:rPr>
      </w:pPr>
      <w:bookmarkStart w:id="6" w:name="_m5g08qbdqx49" w:colFirst="0" w:colLast="0"/>
      <w:bookmarkEnd w:id="6"/>
      <w:r w:rsidRPr="004121B7">
        <w:rPr>
          <w:color w:val="auto"/>
        </w:rPr>
        <w:t>Implementing research findings in cross-border healthcare</w:t>
      </w:r>
    </w:p>
    <w:p w14:paraId="22B2E698" w14:textId="77777777" w:rsidR="003B3D11" w:rsidRPr="004121B7" w:rsidRDefault="00E91664" w:rsidP="006D7153">
      <w:pPr>
        <w:spacing w:line="480" w:lineRule="auto"/>
        <w:jc w:val="both"/>
        <w:rPr>
          <w:color w:val="auto"/>
        </w:rPr>
      </w:pPr>
      <w:r w:rsidRPr="004121B7">
        <w:rPr>
          <w:color w:val="auto"/>
        </w:rPr>
        <w:t>Olaf Rieß presented the potential future developments in the area of rare disease research. Research results and innovative therapy approaches need to be adapted in healthcare more efficiently. Thus, the EU plans to implement a research and innovation pipeline from bench to bedside. The Programme will link major EU and national initiatives: R&amp;D, research infrastructures and patient registries, and bridge them to the ERNs to help implementing research results in healthcare.</w:t>
      </w:r>
    </w:p>
    <w:p w14:paraId="4445234B" w14:textId="77777777" w:rsidR="003B3D11" w:rsidRPr="004121B7" w:rsidRDefault="00E91664" w:rsidP="006D7153">
      <w:pPr>
        <w:spacing w:line="480" w:lineRule="auto"/>
        <w:jc w:val="both"/>
        <w:rPr>
          <w:color w:val="auto"/>
        </w:rPr>
      </w:pPr>
      <w:r w:rsidRPr="004121B7">
        <w:rPr>
          <w:color w:val="auto"/>
        </w:rPr>
        <w:t xml:space="preserve">The potential structure for the future Joint Programme </w:t>
      </w:r>
      <w:proofErr w:type="spellStart"/>
      <w:r w:rsidRPr="004121B7">
        <w:rPr>
          <w:color w:val="auto"/>
        </w:rPr>
        <w:t>Cofund</w:t>
      </w:r>
      <w:proofErr w:type="spellEnd"/>
      <w:r w:rsidRPr="004121B7">
        <w:rPr>
          <w:color w:val="auto"/>
        </w:rPr>
        <w:t xml:space="preserve"> initiative for European RD Research covers the following three key actions:</w:t>
      </w:r>
    </w:p>
    <w:p w14:paraId="2B67D86D" w14:textId="77777777" w:rsidR="003B3D11" w:rsidRPr="004121B7" w:rsidRDefault="00E91664" w:rsidP="006D7153">
      <w:pPr>
        <w:numPr>
          <w:ilvl w:val="0"/>
          <w:numId w:val="1"/>
        </w:numPr>
        <w:spacing w:line="480" w:lineRule="auto"/>
        <w:contextualSpacing/>
        <w:jc w:val="both"/>
        <w:rPr>
          <w:color w:val="auto"/>
        </w:rPr>
      </w:pPr>
      <w:r w:rsidRPr="004121B7">
        <w:rPr>
          <w:color w:val="auto"/>
        </w:rPr>
        <w:t xml:space="preserve">Transnational calls for proposals to fund collaborative RD-research projects, combining EC and Member States’ funding. </w:t>
      </w:r>
    </w:p>
    <w:p w14:paraId="49E6A1D1" w14:textId="77777777" w:rsidR="003B3D11" w:rsidRPr="004121B7" w:rsidRDefault="00E91664" w:rsidP="006D7153">
      <w:pPr>
        <w:numPr>
          <w:ilvl w:val="0"/>
          <w:numId w:val="1"/>
        </w:numPr>
        <w:spacing w:line="480" w:lineRule="auto"/>
        <w:contextualSpacing/>
        <w:jc w:val="both"/>
        <w:rPr>
          <w:color w:val="auto"/>
        </w:rPr>
      </w:pPr>
      <w:r w:rsidRPr="004121B7">
        <w:rPr>
          <w:color w:val="auto"/>
        </w:rPr>
        <w:t xml:space="preserve">Data &amp; Information – virtual platform for coordinated access, data exchange and repository facilities built on existing resources. Work on standards of reusability and regulatory readiness, analysis tools and links to care data as well as scalable pilots to ensure usefulness of the tools in clinical setting and ERNs. </w:t>
      </w:r>
    </w:p>
    <w:p w14:paraId="2FDAAF0F" w14:textId="77777777" w:rsidR="003B3D11" w:rsidRPr="004121B7" w:rsidRDefault="00E91664" w:rsidP="006D7153">
      <w:pPr>
        <w:numPr>
          <w:ilvl w:val="0"/>
          <w:numId w:val="1"/>
        </w:numPr>
        <w:spacing w:line="480" w:lineRule="auto"/>
        <w:contextualSpacing/>
        <w:jc w:val="both"/>
        <w:rPr>
          <w:color w:val="auto"/>
        </w:rPr>
      </w:pPr>
      <w:r w:rsidRPr="004121B7">
        <w:rPr>
          <w:color w:val="auto"/>
        </w:rPr>
        <w:lastRenderedPageBreak/>
        <w:t>Capacity building by training and support on data management, product development, translational research etc. for stakeholders including patient organisations. Sharing best practices and tech transfer facility towards industry.</w:t>
      </w:r>
    </w:p>
    <w:p w14:paraId="737AAE02" w14:textId="77777777" w:rsidR="003B3D11" w:rsidRPr="004121B7" w:rsidRDefault="00E91664" w:rsidP="006D7153">
      <w:pPr>
        <w:spacing w:line="480" w:lineRule="auto"/>
        <w:jc w:val="both"/>
        <w:rPr>
          <w:color w:val="auto"/>
        </w:rPr>
      </w:pPr>
      <w:r w:rsidRPr="004121B7">
        <w:rPr>
          <w:color w:val="auto"/>
        </w:rPr>
        <w:t xml:space="preserve">NeurOmics and EURenOmics could become a blueprint for a “next generation” of global Research-Diagnostic-Clinical Networks, as their clinical partner organizations form the backbone of the ERNs ERN-EURO-NMD, ERN-RND and ERK-NET. The development such cross-border care system would increase equity in treatment accessibility across the EU. </w:t>
      </w:r>
    </w:p>
    <w:p w14:paraId="44728195" w14:textId="77777777" w:rsidR="003B3D11" w:rsidRPr="004121B7" w:rsidRDefault="00E91664" w:rsidP="006D7153">
      <w:pPr>
        <w:spacing w:line="480" w:lineRule="auto"/>
        <w:jc w:val="both"/>
        <w:rPr>
          <w:color w:val="auto"/>
        </w:rPr>
      </w:pPr>
      <w:r w:rsidRPr="004121B7">
        <w:rPr>
          <w:b/>
          <w:color w:val="auto"/>
        </w:rPr>
        <w:t>European Genetic Diagnostic Reference Networks</w:t>
      </w:r>
      <w:r w:rsidRPr="004121B7">
        <w:rPr>
          <w:color w:val="auto"/>
        </w:rPr>
        <w:t xml:space="preserve"> connecting centres </w:t>
      </w:r>
      <w:proofErr w:type="gramStart"/>
      <w:r w:rsidRPr="004121B7">
        <w:rPr>
          <w:color w:val="auto"/>
        </w:rPr>
        <w:t>to not only provide</w:t>
      </w:r>
      <w:proofErr w:type="gramEnd"/>
      <w:r w:rsidRPr="004121B7">
        <w:rPr>
          <w:color w:val="auto"/>
        </w:rPr>
        <w:t xml:space="preserve"> care but also diagnosis across borders. Like the ERNs, they </w:t>
      </w:r>
      <w:proofErr w:type="gramStart"/>
      <w:r w:rsidRPr="004121B7">
        <w:rPr>
          <w:color w:val="auto"/>
        </w:rPr>
        <w:t>would be connected</w:t>
      </w:r>
      <w:proofErr w:type="gramEnd"/>
      <w:r w:rsidRPr="004121B7">
        <w:rPr>
          <w:color w:val="auto"/>
        </w:rPr>
        <w:t xml:space="preserve"> via a Diagnostic Hub. RD-Connect plays a role in: 1) Establishing technical standards of WES/WGS in diagnostics; 2) Standardization of bioinformatic tools and algorithms; 3) Standards in reporting of findings; 4) Correction of wrong annotations in databases based on genetic diagnosis; 5) Harmonization of interpretations of variants; 6) Defining „actionable genes“ and harmonization for implementation into the clinics.</w:t>
      </w:r>
    </w:p>
    <w:p w14:paraId="77E1F888" w14:textId="77777777" w:rsidR="003B3D11" w:rsidRPr="004121B7" w:rsidRDefault="00E91664" w:rsidP="006D7153">
      <w:pPr>
        <w:spacing w:line="480" w:lineRule="auto"/>
        <w:jc w:val="both"/>
        <w:rPr>
          <w:color w:val="auto"/>
        </w:rPr>
      </w:pPr>
      <w:r w:rsidRPr="004121B7">
        <w:rPr>
          <w:b/>
          <w:color w:val="auto"/>
        </w:rPr>
        <w:t>European Research Core Networks</w:t>
      </w:r>
      <w:r w:rsidRPr="004121B7">
        <w:rPr>
          <w:color w:val="auto"/>
        </w:rPr>
        <w:t xml:space="preserve"> connecting laboratories, biobanks and other research centres coordinated by the European Joint Programme Brokerage hub. </w:t>
      </w:r>
    </w:p>
    <w:p w14:paraId="33087D95" w14:textId="77777777" w:rsidR="003B3D11" w:rsidRPr="004121B7" w:rsidRDefault="00E91664" w:rsidP="006D7153">
      <w:pPr>
        <w:spacing w:line="480" w:lineRule="auto"/>
        <w:jc w:val="both"/>
        <w:rPr>
          <w:color w:val="auto"/>
        </w:rPr>
      </w:pPr>
      <w:r w:rsidRPr="004121B7">
        <w:rPr>
          <w:color w:val="auto"/>
        </w:rPr>
        <w:t>The cooperation of such networks would allow research, diagnosis and care work in unison, e.g. coordinate preclinical studies in research units with biomarker studies and clinical trials. In parallel, EU member states should form diagnostic and care networks on the national level, which would provide patients in all parts of the country equal access to the expert centres.</w:t>
      </w:r>
    </w:p>
    <w:p w14:paraId="67C6807D" w14:textId="77777777" w:rsidR="003B3D11" w:rsidRPr="004121B7" w:rsidRDefault="00E91664" w:rsidP="006D7153">
      <w:pPr>
        <w:pStyle w:val="Heading2"/>
        <w:spacing w:line="480" w:lineRule="auto"/>
        <w:rPr>
          <w:color w:val="auto"/>
        </w:rPr>
      </w:pPr>
      <w:bookmarkStart w:id="7" w:name="_sxshj6jruy7m" w:colFirst="0" w:colLast="0"/>
      <w:bookmarkEnd w:id="7"/>
      <w:r w:rsidRPr="004121B7">
        <w:rPr>
          <w:color w:val="auto"/>
        </w:rPr>
        <w:t>Conclusions</w:t>
      </w:r>
    </w:p>
    <w:p w14:paraId="16B6F479" w14:textId="4F06EE69" w:rsidR="003B3D11" w:rsidRDefault="00E91664" w:rsidP="00243A5A">
      <w:pPr>
        <w:spacing w:line="480" w:lineRule="auto"/>
        <w:jc w:val="both"/>
        <w:rPr>
          <w:color w:val="auto"/>
        </w:rPr>
      </w:pPr>
      <w:r w:rsidRPr="004121B7">
        <w:rPr>
          <w:color w:val="auto"/>
        </w:rPr>
        <w:t xml:space="preserve">The Outreach Day provided an opportunity to multiple stakeholders, to exchange views and opinions on priorities, opportunities and challenges in the RD research field. It highlighted the importance of international RD-research and data sharing promoted by IRDiRC and funded by the European Commission, the NIH and other major funding organisations, with the ultimate goal of supporting and </w:t>
      </w:r>
      <w:r w:rsidRPr="004121B7">
        <w:rPr>
          <w:color w:val="auto"/>
        </w:rPr>
        <w:lastRenderedPageBreak/>
        <w:t xml:space="preserve">improving life quality of patients. RD-Connect, NeurOmics and EURenOmics have greatly contributed to three areas crucial in RD research: data sharing, diagnosis and new therapies. Whereas data </w:t>
      </w:r>
      <w:proofErr w:type="gramStart"/>
      <w:r w:rsidRPr="004121B7">
        <w:rPr>
          <w:color w:val="auto"/>
        </w:rPr>
        <w:t xml:space="preserve">was largely </w:t>
      </w:r>
      <w:proofErr w:type="spellStart"/>
      <w:r w:rsidRPr="004121B7">
        <w:rPr>
          <w:color w:val="auto"/>
        </w:rPr>
        <w:t>siloed</w:t>
      </w:r>
      <w:proofErr w:type="spellEnd"/>
      <w:proofErr w:type="gramEnd"/>
      <w:r w:rsidRPr="004121B7">
        <w:rPr>
          <w:color w:val="auto"/>
        </w:rPr>
        <w:t xml:space="preserve"> prior to these projects, the collaboration and trust that has been </w:t>
      </w:r>
      <w:r w:rsidR="0015365A" w:rsidRPr="004121B7">
        <w:rPr>
          <w:color w:val="auto"/>
        </w:rPr>
        <w:t>built</w:t>
      </w:r>
      <w:r w:rsidRPr="004121B7">
        <w:rPr>
          <w:color w:val="auto"/>
        </w:rPr>
        <w:t xml:space="preserve"> in the last years has culminated in clinical researchers benefitting from the computational systems established by RD-Connect that facilitate clinical research and might find their way into general clinical practice. For diagnosis of RDs, genetic testing has an increasing role and is likely to become the first step in diagnosing any RD.  The growing use of next generation sequencing (NGS) techniques for genetic testing has increased the diagnostic efficiency, but has also created novel challenges, the most important being the interpretation of the enormous amount of NGS data </w:t>
      </w:r>
      <w:proofErr w:type="gramStart"/>
      <w:r w:rsidRPr="004121B7">
        <w:rPr>
          <w:color w:val="auto"/>
        </w:rPr>
        <w:t>being produced</w:t>
      </w:r>
      <w:proofErr w:type="gramEnd"/>
      <w:r w:rsidRPr="004121B7">
        <w:rPr>
          <w:color w:val="auto"/>
        </w:rPr>
        <w:t xml:space="preserve"> and novel ethical/legal issues. These challenges </w:t>
      </w:r>
      <w:proofErr w:type="gramStart"/>
      <w:r w:rsidRPr="004121B7">
        <w:rPr>
          <w:color w:val="auto"/>
        </w:rPr>
        <w:t>can only be addressed</w:t>
      </w:r>
      <w:proofErr w:type="gramEnd"/>
      <w:r w:rsidRPr="004121B7">
        <w:rPr>
          <w:color w:val="auto"/>
        </w:rPr>
        <w:t xml:space="preserve"> jointly, by data sharing and collaborative development of novel bioinformatic and analysis tools and by a joint multidisciplinary discussion on how to deal with the ethical/legal issues. One of the key challenges for RD therapy development is research using cell and animal models, while simultaneously establishing methods and tools to assess efficacy. Once drugs receive marketing authorization, a major challenge is to provide equal access to the therapy across different countries with different reimbursement systems. It is clear that both challenges can only be addressed by pan-European and worldwide multi-stakeholder collaboration. Finally, the </w:t>
      </w:r>
      <w:r w:rsidR="003A1C45" w:rsidRPr="004121B7">
        <w:rPr>
          <w:color w:val="auto"/>
        </w:rPr>
        <w:t>novel approaches</w:t>
      </w:r>
      <w:r w:rsidRPr="004121B7">
        <w:rPr>
          <w:color w:val="auto"/>
        </w:rPr>
        <w:t>, established by the three projects, have laid foundations for the future developments in RD research, and may be adapted for research on common diseases.</w:t>
      </w:r>
    </w:p>
    <w:p w14:paraId="44C2510D" w14:textId="77777777" w:rsidR="003A1C45" w:rsidRPr="004121B7" w:rsidRDefault="003A1C45" w:rsidP="00243A5A">
      <w:pPr>
        <w:spacing w:line="480" w:lineRule="auto"/>
        <w:jc w:val="both"/>
        <w:rPr>
          <w:color w:val="auto"/>
        </w:rPr>
      </w:pPr>
    </w:p>
    <w:p w14:paraId="104913A4" w14:textId="77777777" w:rsidR="00243E9A" w:rsidRPr="004121B7" w:rsidRDefault="00E91664" w:rsidP="006D7153">
      <w:pPr>
        <w:pStyle w:val="Heading1"/>
        <w:spacing w:line="480" w:lineRule="auto"/>
        <w:rPr>
          <w:color w:val="auto"/>
        </w:rPr>
      </w:pPr>
      <w:bookmarkStart w:id="8" w:name="_nlrm8amp3t5y" w:colFirst="0" w:colLast="0"/>
      <w:bookmarkEnd w:id="8"/>
      <w:r w:rsidRPr="004121B7">
        <w:rPr>
          <w:color w:val="auto"/>
        </w:rPr>
        <w:t>Works Cited</w:t>
      </w:r>
    </w:p>
    <w:p w14:paraId="24663146" w14:textId="77777777" w:rsidR="003A1C45" w:rsidRPr="003A1C45" w:rsidRDefault="003A1C45" w:rsidP="003A1C45">
      <w:pPr>
        <w:pStyle w:val="Bibliography"/>
      </w:pPr>
      <w:r>
        <w:rPr>
          <w:b/>
          <w:color w:val="auto"/>
        </w:rPr>
        <w:fldChar w:fldCharType="begin"/>
      </w:r>
      <w:r>
        <w:rPr>
          <w:b/>
          <w:color w:val="auto"/>
        </w:rPr>
        <w:instrText xml:space="preserve"> ADDIN ZOTERO_BIBL {"custom":[]} CSL_BIBLIOGRAPHY </w:instrText>
      </w:r>
      <w:r>
        <w:rPr>
          <w:b/>
          <w:color w:val="auto"/>
        </w:rPr>
        <w:fldChar w:fldCharType="separate"/>
      </w:r>
      <w:r w:rsidRPr="003A1C45">
        <w:t xml:space="preserve">1 </w:t>
      </w:r>
      <w:r w:rsidRPr="003A1C45">
        <w:tab/>
        <w:t>Battaglia S. ‘Medical Infrastructure / Users Forum’ (MIUF) Survey Report. 2017.http://www.ecrin.org/sites/default/files/CORBEL/MIUF%20Survey%20Lay%20Report.pdf.</w:t>
      </w:r>
    </w:p>
    <w:p w14:paraId="7F7D0F10" w14:textId="77777777" w:rsidR="003A1C45" w:rsidRPr="003A1C45" w:rsidRDefault="003A1C45" w:rsidP="003A1C45">
      <w:pPr>
        <w:pStyle w:val="Bibliography"/>
      </w:pPr>
      <w:r w:rsidRPr="003A1C45">
        <w:rPr>
          <w:lang w:val="es-AR"/>
        </w:rPr>
        <w:t xml:space="preserve">2 </w:t>
      </w:r>
      <w:r w:rsidRPr="003A1C45">
        <w:rPr>
          <w:lang w:val="es-AR"/>
        </w:rPr>
        <w:tab/>
        <w:t xml:space="preserve">Laurie S, Fernandez-Callejo M, Marco-Sola S </w:t>
      </w:r>
      <w:r w:rsidRPr="003A1C45">
        <w:rPr>
          <w:i/>
          <w:iCs/>
          <w:lang w:val="es-AR"/>
        </w:rPr>
        <w:t>et al.</w:t>
      </w:r>
      <w:r w:rsidRPr="003A1C45">
        <w:rPr>
          <w:lang w:val="es-AR"/>
        </w:rPr>
        <w:t xml:space="preserve"> </w:t>
      </w:r>
      <w:r w:rsidRPr="003A1C45">
        <w:t xml:space="preserve">From Wet-Lab to Variations: Concordance and Speed of Bioinformatics Pipelines for Whole Genome and Whole Exome Sequencing. </w:t>
      </w:r>
      <w:r w:rsidRPr="003A1C45">
        <w:rPr>
          <w:i/>
          <w:iCs/>
        </w:rPr>
        <w:t>Hum Mutat</w:t>
      </w:r>
      <w:r w:rsidRPr="003A1C45">
        <w:t xml:space="preserve"> 2016; </w:t>
      </w:r>
      <w:r w:rsidRPr="003A1C45">
        <w:rPr>
          <w:b/>
          <w:bCs/>
        </w:rPr>
        <w:t>37</w:t>
      </w:r>
      <w:r w:rsidRPr="003A1C45">
        <w:t>: 1263–1271.</w:t>
      </w:r>
    </w:p>
    <w:p w14:paraId="7BB7D856" w14:textId="77777777" w:rsidR="003A1C45" w:rsidRPr="003A1C45" w:rsidRDefault="003A1C45" w:rsidP="003A1C45">
      <w:pPr>
        <w:pStyle w:val="Bibliography"/>
      </w:pPr>
      <w:r w:rsidRPr="003A1C45">
        <w:t xml:space="preserve">3 </w:t>
      </w:r>
      <w:r w:rsidRPr="003A1C45">
        <w:tab/>
        <w:t xml:space="preserve">Emmert DB, Stoehr PJ, Stoesser G, Cameron GN. The European Bioinformatics Institute (EBI) databases. </w:t>
      </w:r>
      <w:r w:rsidRPr="003A1C45">
        <w:rPr>
          <w:i/>
          <w:iCs/>
        </w:rPr>
        <w:t>Nucleic Acids Res</w:t>
      </w:r>
      <w:r w:rsidRPr="003A1C45">
        <w:t xml:space="preserve"> 1994; </w:t>
      </w:r>
      <w:r w:rsidRPr="003A1C45">
        <w:rPr>
          <w:b/>
          <w:bCs/>
        </w:rPr>
        <w:t>22</w:t>
      </w:r>
      <w:r w:rsidRPr="003A1C45">
        <w:t>: 3445–3449.</w:t>
      </w:r>
    </w:p>
    <w:p w14:paraId="56F36170" w14:textId="77777777" w:rsidR="003A1C45" w:rsidRPr="003A1C45" w:rsidRDefault="003A1C45" w:rsidP="003A1C45">
      <w:pPr>
        <w:pStyle w:val="Bibliography"/>
      </w:pPr>
      <w:r w:rsidRPr="003A1C45">
        <w:lastRenderedPageBreak/>
        <w:t xml:space="preserve">4 </w:t>
      </w:r>
      <w:r w:rsidRPr="003A1C45">
        <w:tab/>
        <w:t xml:space="preserve">Martens L, Hermjakob H, Jones P </w:t>
      </w:r>
      <w:r w:rsidRPr="003A1C45">
        <w:rPr>
          <w:i/>
          <w:iCs/>
        </w:rPr>
        <w:t>et al.</w:t>
      </w:r>
      <w:r w:rsidRPr="003A1C45">
        <w:t xml:space="preserve"> PRIDE: The proteomics identifications database. </w:t>
      </w:r>
      <w:r w:rsidRPr="003A1C45">
        <w:rPr>
          <w:i/>
          <w:iCs/>
        </w:rPr>
        <w:t>PROTEOMICS</w:t>
      </w:r>
      <w:r w:rsidRPr="003A1C45">
        <w:t xml:space="preserve"> 2005; </w:t>
      </w:r>
      <w:r w:rsidRPr="003A1C45">
        <w:rPr>
          <w:b/>
          <w:bCs/>
        </w:rPr>
        <w:t>5</w:t>
      </w:r>
      <w:r w:rsidRPr="003A1C45">
        <w:t>: 3537–3545.</w:t>
      </w:r>
    </w:p>
    <w:p w14:paraId="51EDEBD0" w14:textId="77777777" w:rsidR="003A1C45" w:rsidRPr="003A1C45" w:rsidRDefault="003A1C45" w:rsidP="003A1C45">
      <w:pPr>
        <w:pStyle w:val="Bibliography"/>
      </w:pPr>
      <w:r w:rsidRPr="003A1C45">
        <w:t xml:space="preserve">5 </w:t>
      </w:r>
      <w:r w:rsidRPr="003A1C45">
        <w:tab/>
        <w:t xml:space="preserve">Jones P. PRIDE: a public repository of protein and peptide identifications for the proteomics community. </w:t>
      </w:r>
      <w:r w:rsidRPr="003A1C45">
        <w:rPr>
          <w:i/>
          <w:iCs/>
        </w:rPr>
        <w:t>Nucleic Acids Res</w:t>
      </w:r>
      <w:r w:rsidRPr="003A1C45">
        <w:t xml:space="preserve"> 2006; </w:t>
      </w:r>
      <w:r w:rsidRPr="003A1C45">
        <w:rPr>
          <w:b/>
          <w:bCs/>
        </w:rPr>
        <w:t>34</w:t>
      </w:r>
      <w:r w:rsidRPr="003A1C45">
        <w:t>: D659–D663.</w:t>
      </w:r>
    </w:p>
    <w:p w14:paraId="2F7C7A82" w14:textId="77777777" w:rsidR="003A1C45" w:rsidRPr="003A1C45" w:rsidRDefault="003A1C45" w:rsidP="003A1C45">
      <w:pPr>
        <w:pStyle w:val="Bibliography"/>
      </w:pPr>
      <w:r w:rsidRPr="003A1C45">
        <w:t xml:space="preserve">6 </w:t>
      </w:r>
      <w:r w:rsidRPr="003A1C45">
        <w:tab/>
        <w:t xml:space="preserve">Steinbeck C, Conesa P, Haug K </w:t>
      </w:r>
      <w:r w:rsidRPr="003A1C45">
        <w:rPr>
          <w:i/>
          <w:iCs/>
        </w:rPr>
        <w:t>et al.</w:t>
      </w:r>
      <w:r w:rsidRPr="003A1C45">
        <w:t xml:space="preserve"> MetaboLights: towards a new COSMOS of metabolomics data management. </w:t>
      </w:r>
      <w:r w:rsidRPr="003A1C45">
        <w:rPr>
          <w:i/>
          <w:iCs/>
        </w:rPr>
        <w:t>Metabolomics</w:t>
      </w:r>
      <w:r w:rsidRPr="003A1C45">
        <w:t xml:space="preserve"> 2012; </w:t>
      </w:r>
      <w:r w:rsidRPr="003A1C45">
        <w:rPr>
          <w:b/>
          <w:bCs/>
        </w:rPr>
        <w:t>8</w:t>
      </w:r>
      <w:r w:rsidRPr="003A1C45">
        <w:t>: 757–760.</w:t>
      </w:r>
    </w:p>
    <w:p w14:paraId="55748EF0" w14:textId="77777777" w:rsidR="003A1C45" w:rsidRPr="003A1C45" w:rsidRDefault="003A1C45" w:rsidP="003A1C45">
      <w:pPr>
        <w:pStyle w:val="Bibliography"/>
      </w:pPr>
      <w:r w:rsidRPr="003A1C45">
        <w:t xml:space="preserve">7 </w:t>
      </w:r>
      <w:r w:rsidRPr="003A1C45">
        <w:tab/>
        <w:t xml:space="preserve">Salek RM, Haug K, Conesa P </w:t>
      </w:r>
      <w:r w:rsidRPr="003A1C45">
        <w:rPr>
          <w:i/>
          <w:iCs/>
        </w:rPr>
        <w:t>et al.</w:t>
      </w:r>
      <w:r w:rsidRPr="003A1C45">
        <w:t xml:space="preserve"> The MetaboLights repository: curation challenges in metabolomics. </w:t>
      </w:r>
      <w:r w:rsidRPr="003A1C45">
        <w:rPr>
          <w:i/>
          <w:iCs/>
        </w:rPr>
        <w:t>Database</w:t>
      </w:r>
      <w:r w:rsidRPr="003A1C45">
        <w:t xml:space="preserve"> 2013; </w:t>
      </w:r>
      <w:r w:rsidRPr="003A1C45">
        <w:rPr>
          <w:b/>
          <w:bCs/>
        </w:rPr>
        <w:t>2013</w:t>
      </w:r>
      <w:r w:rsidRPr="003A1C45">
        <w:t>: bat029-bat029.</w:t>
      </w:r>
    </w:p>
    <w:p w14:paraId="739C727D" w14:textId="77777777" w:rsidR="003A1C45" w:rsidRPr="003A1C45" w:rsidRDefault="003A1C45" w:rsidP="003A1C45">
      <w:pPr>
        <w:pStyle w:val="Bibliography"/>
      </w:pPr>
      <w:r w:rsidRPr="003A1C45">
        <w:t xml:space="preserve">8 </w:t>
      </w:r>
      <w:r w:rsidRPr="003A1C45">
        <w:tab/>
        <w:t xml:space="preserve">Haug K, Salek RM, Conesa P </w:t>
      </w:r>
      <w:r w:rsidRPr="003A1C45">
        <w:rPr>
          <w:i/>
          <w:iCs/>
        </w:rPr>
        <w:t>et al.</w:t>
      </w:r>
      <w:r w:rsidRPr="003A1C45">
        <w:t xml:space="preserve"> MetaboLights—an open-access general-purpose repository for metabolomics studies and associated meta-data. </w:t>
      </w:r>
      <w:r w:rsidRPr="003A1C45">
        <w:rPr>
          <w:i/>
          <w:iCs/>
        </w:rPr>
        <w:t>Nucleic Acids Res</w:t>
      </w:r>
      <w:r w:rsidRPr="003A1C45">
        <w:t xml:space="preserve"> 2013; </w:t>
      </w:r>
      <w:r w:rsidRPr="003A1C45">
        <w:rPr>
          <w:b/>
          <w:bCs/>
        </w:rPr>
        <w:t>41</w:t>
      </w:r>
      <w:r w:rsidRPr="003A1C45">
        <w:t>: D781–D786.</w:t>
      </w:r>
    </w:p>
    <w:p w14:paraId="53E1156D" w14:textId="77777777" w:rsidR="003A1C45" w:rsidRPr="003A1C45" w:rsidRDefault="003A1C45" w:rsidP="003A1C45">
      <w:pPr>
        <w:pStyle w:val="Bibliography"/>
        <w:rPr>
          <w:lang w:val="es-AR"/>
        </w:rPr>
      </w:pPr>
      <w:r w:rsidRPr="003A1C45">
        <w:t xml:space="preserve">9 </w:t>
      </w:r>
      <w:r w:rsidRPr="003A1C45">
        <w:tab/>
        <w:t xml:space="preserve">den Dunnen JT. The DNA Bank: High-Security Bank Accounts to Protect and Share Your Genetic Identity. </w:t>
      </w:r>
      <w:r w:rsidRPr="003A1C45">
        <w:rPr>
          <w:i/>
          <w:iCs/>
          <w:lang w:val="es-AR"/>
        </w:rPr>
        <w:t>Hum Mutat</w:t>
      </w:r>
      <w:r w:rsidRPr="003A1C45">
        <w:rPr>
          <w:lang w:val="es-AR"/>
        </w:rPr>
        <w:t xml:space="preserve"> 2015; </w:t>
      </w:r>
      <w:r w:rsidRPr="003A1C45">
        <w:rPr>
          <w:b/>
          <w:bCs/>
          <w:lang w:val="es-AR"/>
        </w:rPr>
        <w:t>36</w:t>
      </w:r>
      <w:r w:rsidRPr="003A1C45">
        <w:rPr>
          <w:lang w:val="es-AR"/>
        </w:rPr>
        <w:t>: 657–659.</w:t>
      </w:r>
    </w:p>
    <w:p w14:paraId="7CFFE5B7" w14:textId="77777777" w:rsidR="003A1C45" w:rsidRPr="003A1C45" w:rsidRDefault="003A1C45" w:rsidP="003A1C45">
      <w:pPr>
        <w:pStyle w:val="Bibliography"/>
      </w:pPr>
      <w:r w:rsidRPr="003A1C45">
        <w:rPr>
          <w:lang w:val="es-AR"/>
        </w:rPr>
        <w:t xml:space="preserve">10 </w:t>
      </w:r>
      <w:r w:rsidRPr="003A1C45">
        <w:rPr>
          <w:lang w:val="es-AR"/>
        </w:rPr>
        <w:tab/>
        <w:t xml:space="preserve">Wilkinson MD, Verborgh R, Bonino da Silva Santos LO </w:t>
      </w:r>
      <w:r w:rsidRPr="003A1C45">
        <w:rPr>
          <w:i/>
          <w:iCs/>
          <w:lang w:val="es-AR"/>
        </w:rPr>
        <w:t>et al.</w:t>
      </w:r>
      <w:r w:rsidRPr="003A1C45">
        <w:rPr>
          <w:lang w:val="es-AR"/>
        </w:rPr>
        <w:t xml:space="preserve"> </w:t>
      </w:r>
      <w:r w:rsidRPr="003A1C45">
        <w:t xml:space="preserve">Interoperability and FAIRness through a novel combination of Web technologies. </w:t>
      </w:r>
      <w:r w:rsidRPr="003A1C45">
        <w:rPr>
          <w:i/>
          <w:iCs/>
        </w:rPr>
        <w:t>PeerJ Comput Sci</w:t>
      </w:r>
      <w:r w:rsidRPr="003A1C45">
        <w:t xml:space="preserve"> 2017; </w:t>
      </w:r>
      <w:r w:rsidRPr="003A1C45">
        <w:rPr>
          <w:b/>
          <w:bCs/>
        </w:rPr>
        <w:t>3</w:t>
      </w:r>
      <w:r w:rsidRPr="003A1C45">
        <w:t>: e110.</w:t>
      </w:r>
    </w:p>
    <w:p w14:paraId="001C85A3" w14:textId="77777777" w:rsidR="003A1C45" w:rsidRPr="003A1C45" w:rsidRDefault="003A1C45" w:rsidP="003A1C45">
      <w:pPr>
        <w:pStyle w:val="Bibliography"/>
      </w:pPr>
      <w:r w:rsidRPr="003A1C45">
        <w:t xml:space="preserve">11 </w:t>
      </w:r>
      <w:r w:rsidRPr="003A1C45">
        <w:tab/>
        <w:t xml:space="preserve">McCormack P, Kole A, Gainotti S </w:t>
      </w:r>
      <w:r w:rsidRPr="003A1C45">
        <w:rPr>
          <w:i/>
          <w:iCs/>
        </w:rPr>
        <w:t>et al.</w:t>
      </w:r>
      <w:r w:rsidRPr="003A1C45">
        <w:t xml:space="preserve"> ‘You should at least ask’. The expectations, hopes and fears of rare disease patients on large-scale data and biomaterial sharing for genomics research. </w:t>
      </w:r>
      <w:r w:rsidRPr="003A1C45">
        <w:rPr>
          <w:i/>
          <w:iCs/>
        </w:rPr>
        <w:t>Eur J Hum Genet</w:t>
      </w:r>
      <w:r w:rsidRPr="003A1C45">
        <w:t xml:space="preserve"> 2016; </w:t>
      </w:r>
      <w:r w:rsidRPr="003A1C45">
        <w:rPr>
          <w:b/>
          <w:bCs/>
        </w:rPr>
        <w:t>24</w:t>
      </w:r>
      <w:r w:rsidRPr="003A1C45">
        <w:t>: 1403–1408.</w:t>
      </w:r>
    </w:p>
    <w:p w14:paraId="613F5DE8" w14:textId="77777777" w:rsidR="003A1C45" w:rsidRPr="003A1C45" w:rsidRDefault="003A1C45" w:rsidP="003A1C45">
      <w:pPr>
        <w:pStyle w:val="Bibliography"/>
      </w:pPr>
      <w:r w:rsidRPr="003A1C45">
        <w:t xml:space="preserve">12 </w:t>
      </w:r>
      <w:r w:rsidRPr="003A1C45">
        <w:tab/>
        <w:t>Home Page of EU GDPR. EU GDPR Portal. http://eugdpr.org/eugdpr.org.html.</w:t>
      </w:r>
    </w:p>
    <w:p w14:paraId="5702871D" w14:textId="77777777" w:rsidR="003A1C45" w:rsidRPr="003A1C45" w:rsidRDefault="003A1C45" w:rsidP="003A1C45">
      <w:pPr>
        <w:pStyle w:val="Bibliography"/>
      </w:pPr>
      <w:r w:rsidRPr="003A1C45">
        <w:t xml:space="preserve">13 </w:t>
      </w:r>
      <w:r w:rsidRPr="003A1C45">
        <w:tab/>
        <w:t xml:space="preserve">McCarthy DJ, Humburg P, Kanapin A </w:t>
      </w:r>
      <w:r w:rsidRPr="003A1C45">
        <w:rPr>
          <w:i/>
          <w:iCs/>
        </w:rPr>
        <w:t>et al.</w:t>
      </w:r>
      <w:r w:rsidRPr="003A1C45">
        <w:t xml:space="preserve"> Choice of transcripts and software has a large effect on variant annotation. </w:t>
      </w:r>
      <w:r w:rsidRPr="003A1C45">
        <w:rPr>
          <w:i/>
          <w:iCs/>
        </w:rPr>
        <w:t>Genome Med</w:t>
      </w:r>
      <w:r w:rsidRPr="003A1C45">
        <w:t xml:space="preserve"> 2014; </w:t>
      </w:r>
      <w:r w:rsidRPr="003A1C45">
        <w:rPr>
          <w:b/>
          <w:bCs/>
        </w:rPr>
        <w:t>6</w:t>
      </w:r>
      <w:r w:rsidRPr="003A1C45">
        <w:t>: 26.</w:t>
      </w:r>
    </w:p>
    <w:p w14:paraId="1706591A" w14:textId="77777777" w:rsidR="003A1C45" w:rsidRPr="003A1C45" w:rsidRDefault="003A1C45" w:rsidP="003A1C45">
      <w:pPr>
        <w:pStyle w:val="Bibliography"/>
      </w:pPr>
      <w:r w:rsidRPr="003A1C45">
        <w:t xml:space="preserve">14 </w:t>
      </w:r>
      <w:r w:rsidRPr="003A1C45">
        <w:tab/>
        <w:t xml:space="preserve">Piton A, Redin C, Mandel J-L. XLID-Causing Mutations and Associated Genes Challenged in Light of Data From Large-Scale Human Exome Sequencing. </w:t>
      </w:r>
      <w:r w:rsidRPr="003A1C45">
        <w:rPr>
          <w:i/>
          <w:iCs/>
        </w:rPr>
        <w:t>Am J Hum Genet</w:t>
      </w:r>
      <w:r w:rsidRPr="003A1C45">
        <w:t xml:space="preserve"> 2013; </w:t>
      </w:r>
      <w:r w:rsidRPr="003A1C45">
        <w:rPr>
          <w:b/>
          <w:bCs/>
        </w:rPr>
        <w:t>93</w:t>
      </w:r>
      <w:r w:rsidRPr="003A1C45">
        <w:t>: 368–383.</w:t>
      </w:r>
    </w:p>
    <w:p w14:paraId="6994EDB2" w14:textId="77777777" w:rsidR="003A1C45" w:rsidRPr="003A1C45" w:rsidRDefault="003A1C45" w:rsidP="003A1C45">
      <w:pPr>
        <w:pStyle w:val="Bibliography"/>
      </w:pPr>
      <w:r w:rsidRPr="003A1C45">
        <w:t xml:space="preserve">15 </w:t>
      </w:r>
      <w:r w:rsidRPr="003A1C45">
        <w:tab/>
        <w:t xml:space="preserve">Nicolaou N, Pulit SL, Nijman IJ </w:t>
      </w:r>
      <w:r w:rsidRPr="003A1C45">
        <w:rPr>
          <w:i/>
          <w:iCs/>
        </w:rPr>
        <w:t>et al.</w:t>
      </w:r>
      <w:r w:rsidRPr="003A1C45">
        <w:t xml:space="preserve"> Prioritization and burden analysis of rare variants in 208 candidate genes suggest they do not play a major role in CAKUT. </w:t>
      </w:r>
      <w:r w:rsidRPr="003A1C45">
        <w:rPr>
          <w:i/>
          <w:iCs/>
        </w:rPr>
        <w:t>Kidney Int</w:t>
      </w:r>
      <w:r w:rsidRPr="003A1C45">
        <w:t xml:space="preserve"> 2016; </w:t>
      </w:r>
      <w:r w:rsidRPr="003A1C45">
        <w:rPr>
          <w:b/>
          <w:bCs/>
        </w:rPr>
        <w:t>89</w:t>
      </w:r>
      <w:r w:rsidRPr="003A1C45">
        <w:t>: 476–486.</w:t>
      </w:r>
    </w:p>
    <w:p w14:paraId="116FA8CC" w14:textId="77777777" w:rsidR="003A1C45" w:rsidRPr="003A1C45" w:rsidRDefault="003A1C45" w:rsidP="003A1C45">
      <w:pPr>
        <w:pStyle w:val="Bibliography"/>
      </w:pPr>
      <w:r w:rsidRPr="003A1C45">
        <w:t xml:space="preserve">16 </w:t>
      </w:r>
      <w:r w:rsidRPr="003A1C45">
        <w:tab/>
        <w:t xml:space="preserve">Lionel AC, Costain G, Monfared N </w:t>
      </w:r>
      <w:r w:rsidRPr="003A1C45">
        <w:rPr>
          <w:i/>
          <w:iCs/>
        </w:rPr>
        <w:t>et al.</w:t>
      </w:r>
      <w:r w:rsidRPr="003A1C45">
        <w:t xml:space="preserve"> Improved diagnostic yield compared with targeted gene sequencing panels suggests a role for whole-genome sequencing as a first-tier genetic test. </w:t>
      </w:r>
      <w:r w:rsidRPr="003A1C45">
        <w:rPr>
          <w:i/>
          <w:iCs/>
        </w:rPr>
        <w:t>Genet Med</w:t>
      </w:r>
      <w:r w:rsidRPr="003A1C45">
        <w:t xml:space="preserve"> 2017. doi:10.1038/gim.2017.119.</w:t>
      </w:r>
    </w:p>
    <w:p w14:paraId="03AB5981" w14:textId="77777777" w:rsidR="003A1C45" w:rsidRPr="003A1C45" w:rsidRDefault="003A1C45" w:rsidP="003A1C45">
      <w:pPr>
        <w:pStyle w:val="Bibliography"/>
      </w:pPr>
      <w:r w:rsidRPr="003A1C45">
        <w:t xml:space="preserve">17 </w:t>
      </w:r>
      <w:r w:rsidRPr="003A1C45">
        <w:tab/>
        <w:t xml:space="preserve">Tan TY, Dillon OJ, Stark Z </w:t>
      </w:r>
      <w:r w:rsidRPr="003A1C45">
        <w:rPr>
          <w:i/>
          <w:iCs/>
        </w:rPr>
        <w:t>et al.</w:t>
      </w:r>
      <w:r w:rsidRPr="003A1C45">
        <w:t xml:space="preserve"> Diagnostic Impact and Cost-effectiveness of Whole-Exome Sequencing for Ambulant Children With Suspected Monogenic Conditions. </w:t>
      </w:r>
      <w:r w:rsidRPr="003A1C45">
        <w:rPr>
          <w:i/>
          <w:iCs/>
        </w:rPr>
        <w:t>JAMA Pediatr</w:t>
      </w:r>
      <w:r w:rsidRPr="003A1C45">
        <w:t xml:space="preserve"> 2017; </w:t>
      </w:r>
      <w:r w:rsidRPr="003A1C45">
        <w:rPr>
          <w:b/>
          <w:bCs/>
        </w:rPr>
        <w:t>171</w:t>
      </w:r>
      <w:r w:rsidRPr="003A1C45">
        <w:t>: 855–862.</w:t>
      </w:r>
    </w:p>
    <w:p w14:paraId="5F95509A" w14:textId="77777777" w:rsidR="003A1C45" w:rsidRPr="003A1C45" w:rsidRDefault="003A1C45" w:rsidP="003A1C45">
      <w:pPr>
        <w:pStyle w:val="Bibliography"/>
      </w:pPr>
      <w:r w:rsidRPr="003A1C45">
        <w:t xml:space="preserve">18 </w:t>
      </w:r>
      <w:r w:rsidRPr="003A1C45">
        <w:tab/>
        <w:t xml:space="preserve">Aartsma-Rus A, Krieg AM. FDA Approves Eteplirsen for Duchenne Muscular Dystrophy: The Next Chapter in the Eteplirsen Saga. </w:t>
      </w:r>
      <w:r w:rsidRPr="003A1C45">
        <w:rPr>
          <w:i/>
          <w:iCs/>
        </w:rPr>
        <w:t>Nucleic Acid Ther</w:t>
      </w:r>
      <w:r w:rsidRPr="003A1C45">
        <w:t xml:space="preserve"> 2017; </w:t>
      </w:r>
      <w:r w:rsidRPr="003A1C45">
        <w:rPr>
          <w:b/>
          <w:bCs/>
        </w:rPr>
        <w:t>27</w:t>
      </w:r>
      <w:r w:rsidRPr="003A1C45">
        <w:t>: 1–3.</w:t>
      </w:r>
    </w:p>
    <w:p w14:paraId="7E41FA42" w14:textId="77777777" w:rsidR="003A1C45" w:rsidRPr="003A1C45" w:rsidRDefault="003A1C45" w:rsidP="003A1C45">
      <w:pPr>
        <w:pStyle w:val="Bibliography"/>
      </w:pPr>
      <w:r w:rsidRPr="003A1C45">
        <w:t xml:space="preserve">19 </w:t>
      </w:r>
      <w:r w:rsidRPr="003A1C45">
        <w:tab/>
        <w:t xml:space="preserve">Barthélémy F, Blouin C, Wein N </w:t>
      </w:r>
      <w:r w:rsidRPr="003A1C45">
        <w:rPr>
          <w:i/>
          <w:iCs/>
        </w:rPr>
        <w:t>et al.</w:t>
      </w:r>
      <w:r w:rsidRPr="003A1C45">
        <w:t xml:space="preserve"> Exon 32 Skipping of Dysferlin Rescues Membrane Repair in Patients’ Cells. </w:t>
      </w:r>
      <w:r w:rsidRPr="003A1C45">
        <w:rPr>
          <w:i/>
          <w:iCs/>
        </w:rPr>
        <w:t>J Neuromuscul Dis</w:t>
      </w:r>
      <w:r w:rsidRPr="003A1C45">
        <w:t xml:space="preserve"> 2015; </w:t>
      </w:r>
      <w:r w:rsidRPr="003A1C45">
        <w:rPr>
          <w:b/>
          <w:bCs/>
        </w:rPr>
        <w:t>2</w:t>
      </w:r>
      <w:r w:rsidRPr="003A1C45">
        <w:t>: 281–290.</w:t>
      </w:r>
    </w:p>
    <w:p w14:paraId="442ABFC5" w14:textId="77777777" w:rsidR="003A1C45" w:rsidRPr="003A1C45" w:rsidRDefault="003A1C45" w:rsidP="003A1C45">
      <w:pPr>
        <w:pStyle w:val="Bibliography"/>
      </w:pPr>
      <w:r w:rsidRPr="003A1C45">
        <w:t xml:space="preserve">20 </w:t>
      </w:r>
      <w:r w:rsidRPr="003A1C45">
        <w:tab/>
        <w:t xml:space="preserve">Toonen LJA, Schmidt I, Luijsterburg MS, van Attikum H, van Roon-Mom WMC. Antisense oligonucleotide-mediated exon skipping as a strategy to reduce proteolytic cleavage of ataxin-3. </w:t>
      </w:r>
      <w:r w:rsidRPr="003A1C45">
        <w:rPr>
          <w:i/>
          <w:iCs/>
        </w:rPr>
        <w:t>Sci Rep</w:t>
      </w:r>
      <w:r w:rsidRPr="003A1C45">
        <w:t xml:space="preserve"> 2016; </w:t>
      </w:r>
      <w:r w:rsidRPr="003A1C45">
        <w:rPr>
          <w:b/>
          <w:bCs/>
        </w:rPr>
        <w:t>6</w:t>
      </w:r>
      <w:r w:rsidRPr="003A1C45">
        <w:t>. doi:10.1038/srep35200.</w:t>
      </w:r>
    </w:p>
    <w:p w14:paraId="370BC3E8" w14:textId="77777777" w:rsidR="003A1C45" w:rsidRPr="003A1C45" w:rsidRDefault="003A1C45" w:rsidP="003A1C45">
      <w:pPr>
        <w:pStyle w:val="Bibliography"/>
      </w:pPr>
      <w:r w:rsidRPr="003A1C45">
        <w:lastRenderedPageBreak/>
        <w:t xml:space="preserve">21 </w:t>
      </w:r>
      <w:r w:rsidRPr="003A1C45">
        <w:tab/>
        <w:t xml:space="preserve">Dahan K, Debiec H, Plaisier E </w:t>
      </w:r>
      <w:r w:rsidRPr="003A1C45">
        <w:rPr>
          <w:i/>
          <w:iCs/>
        </w:rPr>
        <w:t>et al.</w:t>
      </w:r>
      <w:r w:rsidRPr="003A1C45">
        <w:t xml:space="preserve"> Rituximab for Severe Membranous Nephropathy: A 6-Month Trial with Extended Follow-Up. </w:t>
      </w:r>
      <w:r w:rsidRPr="003A1C45">
        <w:rPr>
          <w:i/>
          <w:iCs/>
        </w:rPr>
        <w:t>J Am Soc Nephrol</w:t>
      </w:r>
      <w:r w:rsidRPr="003A1C45">
        <w:t xml:space="preserve"> 2017; </w:t>
      </w:r>
      <w:r w:rsidRPr="003A1C45">
        <w:rPr>
          <w:b/>
          <w:bCs/>
        </w:rPr>
        <w:t>28</w:t>
      </w:r>
      <w:r w:rsidRPr="003A1C45">
        <w:t>: 348–358.</w:t>
      </w:r>
    </w:p>
    <w:p w14:paraId="59675EDE" w14:textId="77777777" w:rsidR="003A1C45" w:rsidRPr="003A1C45" w:rsidRDefault="003A1C45" w:rsidP="003A1C45">
      <w:pPr>
        <w:pStyle w:val="Bibliography"/>
      </w:pPr>
      <w:r w:rsidRPr="003A1C45">
        <w:t xml:space="preserve">22 </w:t>
      </w:r>
      <w:r w:rsidRPr="003A1C45">
        <w:tab/>
        <w:t xml:space="preserve">Lakiotaki K, Kartsaki E, Kanterakis A, Katsila T, Patrinos GP, Potamias G. ePGA: A Web-Based Information System for Translational Pharmacogenomics. </w:t>
      </w:r>
      <w:r w:rsidRPr="003A1C45">
        <w:rPr>
          <w:i/>
          <w:iCs/>
        </w:rPr>
        <w:t>PLOS ONE</w:t>
      </w:r>
      <w:r w:rsidRPr="003A1C45">
        <w:t xml:space="preserve"> 2016; </w:t>
      </w:r>
      <w:r w:rsidRPr="003A1C45">
        <w:rPr>
          <w:b/>
          <w:bCs/>
        </w:rPr>
        <w:t>11</w:t>
      </w:r>
      <w:r w:rsidRPr="003A1C45">
        <w:t>: e0162801.</w:t>
      </w:r>
    </w:p>
    <w:p w14:paraId="6DAF3E57" w14:textId="77777777" w:rsidR="003A1C45" w:rsidRPr="003A1C45" w:rsidRDefault="003A1C45" w:rsidP="003A1C45">
      <w:pPr>
        <w:pStyle w:val="Bibliography"/>
      </w:pPr>
      <w:r w:rsidRPr="003A1C45">
        <w:t xml:space="preserve">23 </w:t>
      </w:r>
      <w:r w:rsidRPr="003A1C45">
        <w:tab/>
        <w:t xml:space="preserve">Straub V, Balabanov P, Bushby K </w:t>
      </w:r>
      <w:r w:rsidRPr="003A1C45">
        <w:rPr>
          <w:i/>
          <w:iCs/>
        </w:rPr>
        <w:t>et al.</w:t>
      </w:r>
      <w:r w:rsidRPr="003A1C45">
        <w:t xml:space="preserve"> Stakeholder cooperation to overcome challenges in orphan medicine development: the example of Duchenne muscular dystrophy. </w:t>
      </w:r>
      <w:r w:rsidRPr="003A1C45">
        <w:rPr>
          <w:i/>
          <w:iCs/>
        </w:rPr>
        <w:t>Lancet Neurol</w:t>
      </w:r>
      <w:r w:rsidRPr="003A1C45">
        <w:t xml:space="preserve"> 2016; </w:t>
      </w:r>
      <w:r w:rsidRPr="003A1C45">
        <w:rPr>
          <w:b/>
          <w:bCs/>
        </w:rPr>
        <w:t>15</w:t>
      </w:r>
      <w:r w:rsidRPr="003A1C45">
        <w:t>: 882–890.</w:t>
      </w:r>
    </w:p>
    <w:p w14:paraId="76F78BAF" w14:textId="77777777" w:rsidR="003A1C45" w:rsidRPr="003A1C45" w:rsidRDefault="003A1C45" w:rsidP="003A1C45">
      <w:pPr>
        <w:pStyle w:val="Bibliography"/>
      </w:pPr>
      <w:r w:rsidRPr="003A1C45">
        <w:t xml:space="preserve">24 </w:t>
      </w:r>
      <w:r w:rsidRPr="003A1C45">
        <w:tab/>
        <w:t xml:space="preserve">Aartsma-Rus A, Balabanov P, Binetti L </w:t>
      </w:r>
      <w:r w:rsidRPr="003A1C45">
        <w:rPr>
          <w:i/>
          <w:iCs/>
        </w:rPr>
        <w:t>et al.</w:t>
      </w:r>
      <w:r w:rsidRPr="003A1C45">
        <w:t xml:space="preserve"> Stakeholder collaboration for spinal muscular atrophy therapy development. </w:t>
      </w:r>
      <w:r w:rsidRPr="003A1C45">
        <w:rPr>
          <w:i/>
          <w:iCs/>
        </w:rPr>
        <w:t>Lancet Neurol</w:t>
      </w:r>
      <w:r w:rsidRPr="003A1C45">
        <w:t xml:space="preserve"> 2017; </w:t>
      </w:r>
      <w:r w:rsidRPr="003A1C45">
        <w:rPr>
          <w:b/>
          <w:bCs/>
        </w:rPr>
        <w:t>16</w:t>
      </w:r>
      <w:r w:rsidRPr="003A1C45">
        <w:t>: 264.</w:t>
      </w:r>
    </w:p>
    <w:p w14:paraId="11B6B0FD" w14:textId="77777777" w:rsidR="003A1C45" w:rsidRPr="003A1C45" w:rsidRDefault="003A1C45" w:rsidP="003A1C45">
      <w:pPr>
        <w:pStyle w:val="Bibliography"/>
      </w:pPr>
      <w:r w:rsidRPr="003A1C45">
        <w:t xml:space="preserve">25 </w:t>
      </w:r>
      <w:r w:rsidRPr="003A1C45">
        <w:tab/>
        <w:t xml:space="preserve">Rodger S, Lochmüller H, Tassoni A </w:t>
      </w:r>
      <w:r w:rsidRPr="003A1C45">
        <w:rPr>
          <w:i/>
          <w:iCs/>
        </w:rPr>
        <w:t>et al.</w:t>
      </w:r>
      <w:r w:rsidRPr="003A1C45">
        <w:t xml:space="preserve"> The TREAT-NMD care and trial site registry: an online registry to facilitate clinical research for neuromuscular diseases. </w:t>
      </w:r>
      <w:r w:rsidRPr="003A1C45">
        <w:rPr>
          <w:i/>
          <w:iCs/>
        </w:rPr>
        <w:t>Orphanet J Rare Dis</w:t>
      </w:r>
      <w:r w:rsidRPr="003A1C45">
        <w:t xml:space="preserve"> 2013; </w:t>
      </w:r>
      <w:r w:rsidRPr="003A1C45">
        <w:rPr>
          <w:b/>
          <w:bCs/>
        </w:rPr>
        <w:t>8</w:t>
      </w:r>
      <w:r w:rsidRPr="003A1C45">
        <w:t>: 171.</w:t>
      </w:r>
    </w:p>
    <w:p w14:paraId="28B0897E" w14:textId="77777777" w:rsidR="003A1C45" w:rsidRPr="003A1C45" w:rsidRDefault="003A1C45" w:rsidP="003A1C45">
      <w:pPr>
        <w:pStyle w:val="Bibliography"/>
      </w:pPr>
      <w:r w:rsidRPr="003A1C45">
        <w:t xml:space="preserve">26 </w:t>
      </w:r>
      <w:r w:rsidRPr="003A1C45">
        <w:tab/>
        <w:t xml:space="preserve">Leary R, Oyewole A, Bushby K, Aartsma-Rus A. Translational Research in Europe for the Assessment and Treatment for Neuromuscular Disorders (TREAT-NMD). </w:t>
      </w:r>
      <w:r w:rsidRPr="003A1C45">
        <w:rPr>
          <w:i/>
          <w:iCs/>
        </w:rPr>
        <w:t>Neuropediatrics</w:t>
      </w:r>
      <w:r w:rsidRPr="003A1C45">
        <w:t xml:space="preserve"> 2017; </w:t>
      </w:r>
      <w:r w:rsidRPr="003A1C45">
        <w:rPr>
          <w:b/>
          <w:bCs/>
        </w:rPr>
        <w:t>48</w:t>
      </w:r>
      <w:r w:rsidRPr="003A1C45">
        <w:t>: 211–220.</w:t>
      </w:r>
    </w:p>
    <w:p w14:paraId="1797675D" w14:textId="77777777" w:rsidR="003A1C45" w:rsidRPr="003A1C45" w:rsidRDefault="003A1C45" w:rsidP="003A1C45">
      <w:pPr>
        <w:pStyle w:val="Bibliography"/>
      </w:pPr>
      <w:r w:rsidRPr="003A1C45">
        <w:t xml:space="preserve">27 </w:t>
      </w:r>
      <w:r w:rsidRPr="003A1C45">
        <w:tab/>
        <w:t xml:space="preserve">Medic G, Korchagina D, Young KE </w:t>
      </w:r>
      <w:r w:rsidRPr="003A1C45">
        <w:rPr>
          <w:i/>
          <w:iCs/>
        </w:rPr>
        <w:t>et al.</w:t>
      </w:r>
      <w:r w:rsidRPr="003A1C45">
        <w:t xml:space="preserve"> Do payers value rarity? An analysis of the relationship between disease rarity and orphan drug prices in Europe. </w:t>
      </w:r>
      <w:r w:rsidRPr="003A1C45">
        <w:rPr>
          <w:i/>
          <w:iCs/>
        </w:rPr>
        <w:t>J Mark Access Health Policy</w:t>
      </w:r>
      <w:r w:rsidRPr="003A1C45">
        <w:t xml:space="preserve"> 2017; </w:t>
      </w:r>
      <w:r w:rsidRPr="003A1C45">
        <w:rPr>
          <w:b/>
          <w:bCs/>
        </w:rPr>
        <w:t>5</w:t>
      </w:r>
      <w:r w:rsidRPr="003A1C45">
        <w:t>: 1299665.</w:t>
      </w:r>
    </w:p>
    <w:p w14:paraId="237CFADF" w14:textId="488D5D6C" w:rsidR="003B3D11" w:rsidRPr="004121B7" w:rsidRDefault="003A1C45" w:rsidP="00243A5A">
      <w:pPr>
        <w:rPr>
          <w:b/>
          <w:color w:val="auto"/>
        </w:rPr>
      </w:pPr>
      <w:r>
        <w:rPr>
          <w:b/>
          <w:color w:val="auto"/>
        </w:rPr>
        <w:fldChar w:fldCharType="end"/>
      </w:r>
    </w:p>
    <w:sectPr w:rsidR="003B3D11" w:rsidRPr="004121B7" w:rsidSect="00E05D71">
      <w:headerReference w:type="default" r:id="rId8"/>
      <w:footerReference w:type="default" r:id="rId9"/>
      <w:pgSz w:w="11906" w:h="16838"/>
      <w:pgMar w:top="1440" w:right="1440" w:bottom="1440" w:left="1440" w:header="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E1EFE4" w14:textId="77777777" w:rsidR="00C56270" w:rsidRDefault="00C56270" w:rsidP="00C56270">
      <w:pPr>
        <w:spacing w:after="0" w:line="240" w:lineRule="auto"/>
      </w:pPr>
      <w:r>
        <w:separator/>
      </w:r>
    </w:p>
  </w:endnote>
  <w:endnote w:type="continuationSeparator" w:id="0">
    <w:p w14:paraId="6EF9B196" w14:textId="77777777" w:rsidR="00C56270" w:rsidRDefault="00C56270" w:rsidP="00C56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5097494"/>
      <w:docPartObj>
        <w:docPartGallery w:val="Page Numbers (Bottom of Page)"/>
        <w:docPartUnique/>
      </w:docPartObj>
    </w:sdtPr>
    <w:sdtEndPr>
      <w:rPr>
        <w:noProof/>
      </w:rPr>
    </w:sdtEndPr>
    <w:sdtContent>
      <w:p w14:paraId="75A0BAD3" w14:textId="649A5075" w:rsidR="00E05D71" w:rsidRDefault="00E05D71">
        <w:pPr>
          <w:pStyle w:val="Footer"/>
          <w:jc w:val="right"/>
        </w:pPr>
        <w:r>
          <w:fldChar w:fldCharType="begin"/>
        </w:r>
        <w:r>
          <w:instrText xml:space="preserve"> PAGE   \* MERGEFORMAT </w:instrText>
        </w:r>
        <w:r>
          <w:fldChar w:fldCharType="separate"/>
        </w:r>
        <w:r w:rsidR="000D6A18">
          <w:rPr>
            <w:noProof/>
          </w:rPr>
          <w:t>7</w:t>
        </w:r>
        <w:r>
          <w:rPr>
            <w:noProof/>
          </w:rPr>
          <w:fldChar w:fldCharType="end"/>
        </w:r>
      </w:p>
    </w:sdtContent>
  </w:sdt>
  <w:p w14:paraId="75D12923" w14:textId="796A147B" w:rsidR="00C56270" w:rsidRDefault="00C562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630DC7" w14:textId="77777777" w:rsidR="00C56270" w:rsidRDefault="00C56270" w:rsidP="00C56270">
      <w:pPr>
        <w:spacing w:after="0" w:line="240" w:lineRule="auto"/>
      </w:pPr>
      <w:r>
        <w:separator/>
      </w:r>
    </w:p>
  </w:footnote>
  <w:footnote w:type="continuationSeparator" w:id="0">
    <w:p w14:paraId="5BBA2346" w14:textId="77777777" w:rsidR="00C56270" w:rsidRDefault="00C56270" w:rsidP="00C562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34687" w14:textId="6CDD7040" w:rsidR="00E05D71" w:rsidRDefault="00E05D71">
    <w:pPr>
      <w:pStyle w:val="Header"/>
    </w:pPr>
    <w:r w:rsidRPr="00E05D71">
      <w:t xml:space="preserve">Lochmüller &amp; Badowska </w:t>
    </w:r>
    <w:r w:rsidRPr="00E05D71">
      <w:rPr>
        <w:i/>
      </w:rPr>
      <w:t>et al</w:t>
    </w:r>
    <w:r w:rsidRPr="00E05D71">
      <w:t>. RD-Connect, NeurOmics and EURenOmics projects</w:t>
    </w: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1E0358"/>
    <w:multiLevelType w:val="multilevel"/>
    <w:tmpl w:val="114499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0B64EEC"/>
    <w:multiLevelType w:val="multilevel"/>
    <w:tmpl w:val="D700B9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J Human Geneti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vdw5fs9dfzr2iedp0cx2az4as0sxveerrv9&quot;&gt;My EndNote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20&lt;/item&gt;&lt;item&gt;21&lt;/item&gt;&lt;item&gt;22&lt;/item&gt;&lt;item&gt;23&lt;/item&gt;&lt;item&gt;25&lt;/item&gt;&lt;item&gt;26&lt;/item&gt;&lt;item&gt;27&lt;/item&gt;&lt;item&gt;28&lt;/item&gt;&lt;item&gt;29&lt;/item&gt;&lt;item&gt;30&lt;/item&gt;&lt;item&gt;31&lt;/item&gt;&lt;item&gt;32&lt;/item&gt;&lt;item&gt;33&lt;/item&gt;&lt;item&gt;34&lt;/item&gt;&lt;item&gt;35&lt;/item&gt;&lt;item&gt;36&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5&lt;/item&gt;&lt;item&gt;56&lt;/item&gt;&lt;item&gt;57&lt;/item&gt;&lt;item&gt;58&lt;/item&gt;&lt;item&gt;59&lt;/item&gt;&lt;item&gt;61&lt;/item&gt;&lt;item&gt;63&lt;/item&gt;&lt;item&gt;64&lt;/item&gt;&lt;item&gt;65&lt;/item&gt;&lt;item&gt;66&lt;/item&gt;&lt;item&gt;67&lt;/item&gt;&lt;item&gt;68&lt;/item&gt;&lt;item&gt;69&lt;/item&gt;&lt;item&gt;70&lt;/item&gt;&lt;/record-ids&gt;&lt;/item&gt;&lt;/Libraries&gt;"/>
  </w:docVars>
  <w:rsids>
    <w:rsidRoot w:val="003B3D11"/>
    <w:rsid w:val="000A6CD5"/>
    <w:rsid w:val="000B7B30"/>
    <w:rsid w:val="000D6A18"/>
    <w:rsid w:val="0015365A"/>
    <w:rsid w:val="00160DAC"/>
    <w:rsid w:val="001956C5"/>
    <w:rsid w:val="00205F14"/>
    <w:rsid w:val="00213D02"/>
    <w:rsid w:val="00243A5A"/>
    <w:rsid w:val="00243E9A"/>
    <w:rsid w:val="00261618"/>
    <w:rsid w:val="002B3F02"/>
    <w:rsid w:val="00305D31"/>
    <w:rsid w:val="00331A60"/>
    <w:rsid w:val="00350F17"/>
    <w:rsid w:val="00371CD8"/>
    <w:rsid w:val="003A1C45"/>
    <w:rsid w:val="003A4C14"/>
    <w:rsid w:val="003B3D11"/>
    <w:rsid w:val="004121B7"/>
    <w:rsid w:val="00452B02"/>
    <w:rsid w:val="004A1C02"/>
    <w:rsid w:val="004D479E"/>
    <w:rsid w:val="00512119"/>
    <w:rsid w:val="006455AB"/>
    <w:rsid w:val="00660CAE"/>
    <w:rsid w:val="00664C78"/>
    <w:rsid w:val="006711D2"/>
    <w:rsid w:val="006D7153"/>
    <w:rsid w:val="006D7789"/>
    <w:rsid w:val="006F254B"/>
    <w:rsid w:val="00724B21"/>
    <w:rsid w:val="007D43F6"/>
    <w:rsid w:val="007F2FC9"/>
    <w:rsid w:val="008067F8"/>
    <w:rsid w:val="0087027F"/>
    <w:rsid w:val="008871C5"/>
    <w:rsid w:val="008B78F9"/>
    <w:rsid w:val="008C2B1E"/>
    <w:rsid w:val="009B299D"/>
    <w:rsid w:val="009D0780"/>
    <w:rsid w:val="009E3713"/>
    <w:rsid w:val="00A14946"/>
    <w:rsid w:val="00A40FFE"/>
    <w:rsid w:val="00A6735A"/>
    <w:rsid w:val="00AD0E0F"/>
    <w:rsid w:val="00B133D6"/>
    <w:rsid w:val="00B4349C"/>
    <w:rsid w:val="00B451F6"/>
    <w:rsid w:val="00BF6277"/>
    <w:rsid w:val="00C15EA1"/>
    <w:rsid w:val="00C56270"/>
    <w:rsid w:val="00CD1260"/>
    <w:rsid w:val="00D521E2"/>
    <w:rsid w:val="00D6609E"/>
    <w:rsid w:val="00DE3E41"/>
    <w:rsid w:val="00DE45AF"/>
    <w:rsid w:val="00E05D71"/>
    <w:rsid w:val="00E31BCE"/>
    <w:rsid w:val="00E91664"/>
    <w:rsid w:val="00EB4A92"/>
    <w:rsid w:val="00F005FC"/>
    <w:rsid w:val="00F403FC"/>
    <w:rsid w:val="00F90461"/>
    <w:rsid w:val="00F95987"/>
    <w:rsid w:val="00F97678"/>
    <w:rsid w:val="00FD4DDD"/>
    <w:rsid w:val="00FE4A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CE258"/>
  <w15:docId w15:val="{A44B7382-052F-4814-8EB8-93B1BC567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GB" w:eastAsia="en-GB"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after="0"/>
      <w:outlineLvl w:val="0"/>
    </w:pPr>
    <w:rPr>
      <w:b/>
      <w:color w:val="2E75B5"/>
      <w:sz w:val="32"/>
      <w:szCs w:val="32"/>
    </w:rPr>
  </w:style>
  <w:style w:type="paragraph" w:styleId="Heading2">
    <w:name w:val="heading 2"/>
    <w:basedOn w:val="Normal"/>
    <w:next w:val="Normal"/>
    <w:pPr>
      <w:keepNext/>
      <w:keepLines/>
      <w:spacing w:before="40" w:after="0"/>
      <w:outlineLvl w:val="1"/>
    </w:pPr>
    <w:rPr>
      <w:b/>
      <w:color w:val="2E75B5"/>
      <w:sz w:val="26"/>
      <w:szCs w:val="26"/>
    </w:rPr>
  </w:style>
  <w:style w:type="paragraph" w:styleId="Heading3">
    <w:name w:val="heading 3"/>
    <w:basedOn w:val="Normal"/>
    <w:next w:val="Normal"/>
    <w:pPr>
      <w:keepNext/>
      <w:keepLines/>
      <w:spacing w:before="40" w:after="0"/>
      <w:outlineLvl w:val="2"/>
    </w:pPr>
    <w:rPr>
      <w:b/>
      <w:color w:val="1E4D78"/>
      <w:sz w:val="24"/>
      <w:szCs w:val="24"/>
    </w:rPr>
  </w:style>
  <w:style w:type="paragraph" w:styleId="Heading4">
    <w:name w:val="heading 4"/>
    <w:basedOn w:val="Normal"/>
    <w:next w:val="Normal"/>
    <w:pPr>
      <w:keepNext/>
      <w:keepLines/>
      <w:spacing w:before="40" w:after="0"/>
      <w:outlineLvl w:val="3"/>
    </w:pPr>
    <w:rPr>
      <w:b/>
      <w:i/>
      <w:color w:val="2E75B5"/>
      <w:sz w:val="24"/>
      <w:szCs w:val="24"/>
    </w:rPr>
  </w:style>
  <w:style w:type="paragraph" w:styleId="Heading5">
    <w:name w:val="heading 5"/>
    <w:basedOn w:val="Normal"/>
    <w:next w:val="Normal"/>
    <w:pPr>
      <w:keepNext/>
      <w:keepLines/>
      <w:spacing w:before="40" w:after="0"/>
      <w:outlineLvl w:val="4"/>
    </w:pPr>
    <w:rPr>
      <w:b/>
      <w:color w:val="2E75B5"/>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0" w:line="240" w:lineRule="auto"/>
    </w:pPr>
    <w:rPr>
      <w:b/>
      <w:sz w:val="56"/>
      <w:szCs w:val="5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EndNoteBibliographyTitle">
    <w:name w:val="EndNote Bibliography Title"/>
    <w:basedOn w:val="Normal"/>
    <w:link w:val="EndNoteBibliographyTitleChar"/>
    <w:rsid w:val="00243E9A"/>
    <w:pPr>
      <w:spacing w:after="0"/>
      <w:jc w:val="center"/>
    </w:pPr>
    <w:rPr>
      <w:noProof/>
    </w:rPr>
  </w:style>
  <w:style w:type="character" w:customStyle="1" w:styleId="EndNoteBibliographyTitleChar">
    <w:name w:val="EndNote Bibliography Title Char"/>
    <w:basedOn w:val="DefaultParagraphFont"/>
    <w:link w:val="EndNoteBibliographyTitle"/>
    <w:rsid w:val="00243E9A"/>
    <w:rPr>
      <w:noProof/>
    </w:rPr>
  </w:style>
  <w:style w:type="paragraph" w:customStyle="1" w:styleId="EndNoteBibliography">
    <w:name w:val="EndNote Bibliography"/>
    <w:basedOn w:val="Normal"/>
    <w:link w:val="EndNoteBibliographyChar"/>
    <w:rsid w:val="00243E9A"/>
    <w:pPr>
      <w:spacing w:line="240" w:lineRule="auto"/>
      <w:jc w:val="center"/>
    </w:pPr>
    <w:rPr>
      <w:noProof/>
    </w:rPr>
  </w:style>
  <w:style w:type="character" w:customStyle="1" w:styleId="EndNoteBibliographyChar">
    <w:name w:val="EndNote Bibliography Char"/>
    <w:basedOn w:val="DefaultParagraphFont"/>
    <w:link w:val="EndNoteBibliography"/>
    <w:rsid w:val="00243E9A"/>
    <w:rPr>
      <w:noProof/>
    </w:rPr>
  </w:style>
  <w:style w:type="paragraph" w:styleId="BalloonText">
    <w:name w:val="Balloon Text"/>
    <w:basedOn w:val="Normal"/>
    <w:link w:val="BalloonTextChar"/>
    <w:uiPriority w:val="99"/>
    <w:semiHidden/>
    <w:unhideWhenUsed/>
    <w:rsid w:val="00371C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1CD8"/>
    <w:rPr>
      <w:rFonts w:ascii="Segoe UI" w:hAnsi="Segoe UI" w:cs="Segoe UI"/>
      <w:sz w:val="18"/>
      <w:szCs w:val="18"/>
    </w:rPr>
  </w:style>
  <w:style w:type="character" w:styleId="Hyperlink">
    <w:name w:val="Hyperlink"/>
    <w:basedOn w:val="DefaultParagraphFont"/>
    <w:uiPriority w:val="99"/>
    <w:unhideWhenUsed/>
    <w:rsid w:val="00AD0E0F"/>
    <w:rPr>
      <w:color w:val="0563C1" w:themeColor="hyperlink"/>
      <w:u w:val="single"/>
    </w:rPr>
  </w:style>
  <w:style w:type="character" w:customStyle="1" w:styleId="UnresolvedMention">
    <w:name w:val="Unresolved Mention"/>
    <w:basedOn w:val="DefaultParagraphFont"/>
    <w:uiPriority w:val="99"/>
    <w:semiHidden/>
    <w:unhideWhenUsed/>
    <w:rsid w:val="00AD0E0F"/>
    <w:rPr>
      <w:color w:val="808080"/>
      <w:shd w:val="clear" w:color="auto" w:fill="E6E6E6"/>
    </w:rPr>
  </w:style>
  <w:style w:type="paragraph" w:styleId="Bibliography">
    <w:name w:val="Bibliography"/>
    <w:basedOn w:val="Normal"/>
    <w:next w:val="Normal"/>
    <w:uiPriority w:val="37"/>
    <w:unhideWhenUsed/>
    <w:rsid w:val="003A1C45"/>
    <w:pPr>
      <w:tabs>
        <w:tab w:val="left" w:pos="384"/>
      </w:tabs>
      <w:spacing w:after="240" w:line="240" w:lineRule="auto"/>
      <w:ind w:left="384" w:hanging="384"/>
    </w:pPr>
  </w:style>
  <w:style w:type="character" w:styleId="LineNumber">
    <w:name w:val="line number"/>
    <w:basedOn w:val="DefaultParagraphFont"/>
    <w:uiPriority w:val="99"/>
    <w:semiHidden/>
    <w:unhideWhenUsed/>
    <w:rsid w:val="00C56270"/>
  </w:style>
  <w:style w:type="paragraph" w:styleId="Header">
    <w:name w:val="header"/>
    <w:basedOn w:val="Normal"/>
    <w:link w:val="HeaderChar"/>
    <w:uiPriority w:val="99"/>
    <w:unhideWhenUsed/>
    <w:rsid w:val="00C562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6270"/>
  </w:style>
  <w:style w:type="paragraph" w:styleId="Footer">
    <w:name w:val="footer"/>
    <w:basedOn w:val="Normal"/>
    <w:link w:val="FooterChar"/>
    <w:uiPriority w:val="99"/>
    <w:unhideWhenUsed/>
    <w:rsid w:val="00C562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6270"/>
  </w:style>
  <w:style w:type="table" w:styleId="GridTable5Dark-Accent5">
    <w:name w:val="Grid Table 5 Dark Accent 5"/>
    <w:basedOn w:val="TableNormal"/>
    <w:uiPriority w:val="50"/>
    <w:rsid w:val="00EB4A92"/>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heme="minorHAnsi" w:eastAsiaTheme="minorHAnsi" w:hAnsiTheme="minorHAnsi" w:cstheme="minorBidi"/>
      <w:color w:val="auto"/>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5Dark-Accent51">
    <w:name w:val="Grid Table 5 Dark - Accent 51"/>
    <w:basedOn w:val="TableNormal"/>
    <w:next w:val="GridTable5Dark-Accent5"/>
    <w:uiPriority w:val="50"/>
    <w:rsid w:val="009D0780"/>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heme="minorHAnsi" w:eastAsiaTheme="minorHAnsi" w:hAnsiTheme="minorHAnsi" w:cstheme="minorBidi"/>
      <w:color w:val="auto"/>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4413197">
      <w:bodyDiv w:val="1"/>
      <w:marLeft w:val="0"/>
      <w:marRight w:val="0"/>
      <w:marTop w:val="0"/>
      <w:marBottom w:val="0"/>
      <w:divBdr>
        <w:top w:val="none" w:sz="0" w:space="0" w:color="auto"/>
        <w:left w:val="none" w:sz="0" w:space="0" w:color="auto"/>
        <w:bottom w:val="none" w:sz="0" w:space="0" w:color="auto"/>
        <w:right w:val="none" w:sz="0" w:space="0" w:color="auto"/>
      </w:divBdr>
    </w:div>
    <w:div w:id="1085491035">
      <w:bodyDiv w:val="1"/>
      <w:marLeft w:val="0"/>
      <w:marRight w:val="0"/>
      <w:marTop w:val="0"/>
      <w:marBottom w:val="0"/>
      <w:divBdr>
        <w:top w:val="none" w:sz="0" w:space="0" w:color="auto"/>
        <w:left w:val="none" w:sz="0" w:space="0" w:color="auto"/>
        <w:bottom w:val="none" w:sz="0" w:space="0" w:color="auto"/>
        <w:right w:val="none" w:sz="0" w:space="0" w:color="auto"/>
      </w:divBdr>
    </w:div>
    <w:div w:id="1172913721">
      <w:bodyDiv w:val="1"/>
      <w:marLeft w:val="0"/>
      <w:marRight w:val="0"/>
      <w:marTop w:val="0"/>
      <w:marBottom w:val="0"/>
      <w:divBdr>
        <w:top w:val="none" w:sz="0" w:space="0" w:color="auto"/>
        <w:left w:val="none" w:sz="0" w:space="0" w:color="auto"/>
        <w:bottom w:val="none" w:sz="0" w:space="0" w:color="auto"/>
        <w:right w:val="none" w:sz="0" w:space="0" w:color="auto"/>
      </w:divBdr>
    </w:div>
    <w:div w:id="12476143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5C48F-36EA-4AAE-B53A-A5C173048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11645</Words>
  <Characters>66381</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77871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 Badowska</dc:creator>
  <cp:lastModifiedBy>Dorota Badowska</cp:lastModifiedBy>
  <cp:revision>3</cp:revision>
  <dcterms:created xsi:type="dcterms:W3CDTF">2017-12-21T15:28:00Z</dcterms:created>
  <dcterms:modified xsi:type="dcterms:W3CDTF">2017-12-21T15:58:00Z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zotero-version="5.0.12"&gt;&lt;session id="Ygt4fHZx"/&gt;&lt;style id="http://www.zotero.org/styles/european-journal-of-human-genetics" hasBibliography="1" bibliographyStyleHasBeenSet="1"/&gt;&lt;prefs&gt;&lt;pref name="fieldType" value="Field"/&gt;&lt;pref name</vt:lpwstr>
  </property>
  <property fmtid="{D5CDD505-2E9C-101B-9397-08002B2CF9AE}" pid="3" name="ZOTERO_PREF_2">
    <vt:lpwstr>="automaticJournalAbbreviations" value="true"/&gt;&lt;pref name="noteType" value="0"/&gt;&lt;/prefs&gt;&lt;/data&gt;</vt:lpwstr>
  </property>
</Properties>
</file>