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229" w:rsidRDefault="00292F5D" w:rsidP="00292F5D">
      <w:pPr>
        <w:jc w:val="both"/>
      </w:pPr>
      <w:r w:rsidRPr="00292F5D">
        <w:rPr>
          <w:b/>
        </w:rPr>
        <w:t xml:space="preserve">Supplementary Table </w:t>
      </w:r>
      <w:r w:rsidR="008A4130">
        <w:rPr>
          <w:b/>
        </w:rPr>
        <w:t>4</w:t>
      </w:r>
      <w:r w:rsidR="0058245D">
        <w:rPr>
          <w:b/>
        </w:rPr>
        <w:t>.</w:t>
      </w:r>
      <w:bookmarkStart w:id="0" w:name="_GoBack"/>
      <w:bookmarkEnd w:id="0"/>
      <w:r w:rsidRPr="00292F5D">
        <w:rPr>
          <w:b/>
        </w:rPr>
        <w:t xml:space="preserve"> Disease specific diagnostic gene panels developed and applied by NeurOmics.</w:t>
      </w:r>
      <w:r w:rsidRPr="00292F5D">
        <w:t xml:space="preserve"> The table presents the numbers of the genes covered in the latest versions of the panels (December 2017). Several diagnostic panels were developed in parallel by different groups within the consortium, and cover several overlapping genes, for example </w:t>
      </w:r>
      <w:proofErr w:type="gramStart"/>
      <w:r w:rsidRPr="00292F5D">
        <w:t>two Ataxia panels were created by the groups in Tübingen and Paris and two more general panels, designed by the groups in Marseille and Perth, covered ataxia genes among other genes</w:t>
      </w:r>
      <w:proofErr w:type="gramEnd"/>
      <w:r w:rsidRPr="00292F5D">
        <w:t>.</w:t>
      </w:r>
    </w:p>
    <w:tbl>
      <w:tblPr>
        <w:tblStyle w:val="NeurOmicscolour"/>
        <w:tblW w:w="9131"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097"/>
        <w:gridCol w:w="1849"/>
        <w:gridCol w:w="1276"/>
        <w:gridCol w:w="909"/>
      </w:tblGrid>
      <w:tr w:rsidR="00292F5D" w:rsidRPr="00292F5D" w:rsidTr="00292F5D">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5097" w:type="dxa"/>
            <w:tcBorders>
              <w:bottom w:val="single" w:sz="4" w:space="0" w:color="FFFFFF" w:themeColor="background1"/>
              <w:right w:val="single" w:sz="4" w:space="0" w:color="FFFFFF" w:themeColor="background1"/>
            </w:tcBorders>
            <w:vAlign w:val="center"/>
            <w:hideMark/>
          </w:tcPr>
          <w:p w:rsidR="00292F5D" w:rsidRPr="00292F5D" w:rsidRDefault="00292F5D" w:rsidP="00292F5D">
            <w:pPr>
              <w:rPr>
                <w:rFonts w:ascii="Calibri" w:eastAsia="Times New Roman" w:hAnsi="Calibri" w:cs="Times New Roman"/>
                <w:lang w:eastAsia="en-GB"/>
              </w:rPr>
            </w:pPr>
            <w:r w:rsidRPr="00292F5D">
              <w:rPr>
                <w:rFonts w:ascii="Calibri" w:eastAsia="Times New Roman" w:hAnsi="Calibri" w:cs="Times New Roman"/>
                <w:lang w:eastAsia="en-GB"/>
              </w:rPr>
              <w:t>Diagnostic panel</w:t>
            </w:r>
          </w:p>
        </w:tc>
        <w:tc>
          <w:tcPr>
            <w:tcW w:w="1849" w:type="dxa"/>
            <w:tcBorders>
              <w:left w:val="single" w:sz="4" w:space="0" w:color="FFFFFF" w:themeColor="background1"/>
              <w:bottom w:val="single" w:sz="4" w:space="0" w:color="FFFFFF" w:themeColor="background1"/>
              <w:right w:val="single" w:sz="4" w:space="0" w:color="FFFFFF" w:themeColor="background1"/>
            </w:tcBorders>
            <w:vAlign w:val="center"/>
            <w:hideMark/>
          </w:tcPr>
          <w:p w:rsidR="00292F5D" w:rsidRPr="00292F5D" w:rsidRDefault="00292F5D" w:rsidP="00292F5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292F5D">
              <w:rPr>
                <w:rFonts w:ascii="Calibri" w:eastAsia="Times New Roman" w:hAnsi="Calibri" w:cs="Times New Roman"/>
                <w:lang w:eastAsia="en-GB"/>
              </w:rPr>
              <w:t>Number of genes covered by panel</w:t>
            </w:r>
          </w:p>
        </w:tc>
        <w:tc>
          <w:tcPr>
            <w:tcW w:w="1276" w:type="dxa"/>
            <w:tcBorders>
              <w:left w:val="single" w:sz="4" w:space="0" w:color="FFFFFF" w:themeColor="background1"/>
              <w:bottom w:val="single" w:sz="4" w:space="0" w:color="FFFFFF" w:themeColor="background1"/>
              <w:right w:val="single" w:sz="4" w:space="0" w:color="FFFFFF" w:themeColor="background1"/>
            </w:tcBorders>
            <w:vAlign w:val="center"/>
            <w:hideMark/>
          </w:tcPr>
          <w:p w:rsidR="00292F5D" w:rsidRPr="00292F5D" w:rsidRDefault="00292F5D" w:rsidP="00292F5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292F5D">
              <w:rPr>
                <w:rFonts w:ascii="Calibri" w:eastAsia="Times New Roman" w:hAnsi="Calibri" w:cs="Times New Roman"/>
                <w:lang w:eastAsia="en-GB"/>
              </w:rPr>
              <w:t>Number of samples</w:t>
            </w:r>
          </w:p>
        </w:tc>
        <w:tc>
          <w:tcPr>
            <w:tcW w:w="909" w:type="dxa"/>
            <w:tcBorders>
              <w:left w:val="single" w:sz="4" w:space="0" w:color="FFFFFF" w:themeColor="background1"/>
              <w:bottom w:val="single" w:sz="4" w:space="0" w:color="FFFFFF" w:themeColor="background1"/>
            </w:tcBorders>
            <w:vAlign w:val="center"/>
            <w:hideMark/>
          </w:tcPr>
          <w:p w:rsidR="00292F5D" w:rsidRPr="00292F5D" w:rsidRDefault="00292F5D" w:rsidP="00292F5D">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292F5D">
              <w:rPr>
                <w:rFonts w:ascii="Calibri" w:eastAsia="Times New Roman" w:hAnsi="Calibri" w:cs="Times New Roman"/>
                <w:lang w:eastAsia="en-GB"/>
              </w:rPr>
              <w:t>Success rate</w:t>
            </w:r>
          </w:p>
        </w:tc>
      </w:tr>
      <w:tr w:rsidR="00292F5D" w:rsidRPr="00292F5D" w:rsidTr="00292F5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97" w:type="dxa"/>
            <w:tcBorders>
              <w:top w:val="single" w:sz="4" w:space="0" w:color="FFFFFF" w:themeColor="background1"/>
            </w:tcBorders>
            <w:hideMark/>
          </w:tcPr>
          <w:p w:rsidR="00292F5D" w:rsidRPr="00292F5D" w:rsidRDefault="00292F5D" w:rsidP="00292F5D">
            <w:pPr>
              <w:jc w:val="both"/>
              <w:rPr>
                <w:rFonts w:ascii="Calibri" w:eastAsia="Times New Roman" w:hAnsi="Calibri" w:cs="Times New Roman"/>
                <w:b w:val="0"/>
                <w:color w:val="000000"/>
                <w:lang w:eastAsia="en-GB"/>
              </w:rPr>
            </w:pPr>
            <w:r w:rsidRPr="00292F5D">
              <w:rPr>
                <w:rFonts w:ascii="Calibri" w:eastAsia="Times New Roman" w:hAnsi="Calibri" w:cs="Times New Roman"/>
                <w:b w:val="0"/>
                <w:color w:val="000000"/>
                <w:lang w:eastAsia="en-GB"/>
              </w:rPr>
              <w:t>Lower motor neuron disease (Cologne)</w:t>
            </w:r>
          </w:p>
        </w:tc>
        <w:tc>
          <w:tcPr>
            <w:tcW w:w="1849" w:type="dxa"/>
            <w:tcBorders>
              <w:top w:val="single" w:sz="4" w:space="0" w:color="FFFFFF" w:themeColor="background1"/>
            </w:tcBorders>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65</w:t>
            </w:r>
          </w:p>
        </w:tc>
        <w:tc>
          <w:tcPr>
            <w:tcW w:w="1276" w:type="dxa"/>
            <w:tcBorders>
              <w:top w:val="single" w:sz="4" w:space="0" w:color="FFFFFF" w:themeColor="background1"/>
            </w:tcBorders>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35</w:t>
            </w:r>
          </w:p>
        </w:tc>
        <w:tc>
          <w:tcPr>
            <w:tcW w:w="909" w:type="dxa"/>
            <w:tcBorders>
              <w:top w:val="single" w:sz="4" w:space="0" w:color="FFFFFF" w:themeColor="background1"/>
            </w:tcBorders>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17%</w:t>
            </w:r>
          </w:p>
        </w:tc>
      </w:tr>
      <w:tr w:rsidR="00292F5D" w:rsidRPr="00292F5D" w:rsidTr="00292F5D">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97" w:type="dxa"/>
            <w:hideMark/>
          </w:tcPr>
          <w:p w:rsidR="00292F5D" w:rsidRPr="00292F5D" w:rsidRDefault="00292F5D" w:rsidP="00292F5D">
            <w:pPr>
              <w:jc w:val="both"/>
              <w:rPr>
                <w:rFonts w:ascii="Calibri" w:eastAsia="Times New Roman" w:hAnsi="Calibri" w:cs="Times New Roman"/>
                <w:b w:val="0"/>
                <w:color w:val="000000"/>
                <w:lang w:eastAsia="en-GB"/>
              </w:rPr>
            </w:pPr>
            <w:r w:rsidRPr="00292F5D">
              <w:rPr>
                <w:rFonts w:ascii="Calibri" w:eastAsia="Times New Roman" w:hAnsi="Calibri" w:cs="Times New Roman"/>
                <w:b w:val="0"/>
                <w:color w:val="000000"/>
                <w:lang w:eastAsia="en-GB"/>
              </w:rPr>
              <w:t>Hereditary spastic paraplegia (Tübingen)</w:t>
            </w:r>
          </w:p>
        </w:tc>
        <w:tc>
          <w:tcPr>
            <w:tcW w:w="1849"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192</w:t>
            </w:r>
          </w:p>
        </w:tc>
        <w:tc>
          <w:tcPr>
            <w:tcW w:w="1276"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68</w:t>
            </w:r>
          </w:p>
        </w:tc>
        <w:tc>
          <w:tcPr>
            <w:tcW w:w="909"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37%</w:t>
            </w:r>
          </w:p>
        </w:tc>
      </w:tr>
      <w:tr w:rsidR="00292F5D" w:rsidRPr="00292F5D" w:rsidTr="00292F5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97" w:type="dxa"/>
            <w:hideMark/>
          </w:tcPr>
          <w:p w:rsidR="00292F5D" w:rsidRPr="00292F5D" w:rsidRDefault="00292F5D" w:rsidP="00292F5D">
            <w:pPr>
              <w:jc w:val="both"/>
              <w:rPr>
                <w:rFonts w:ascii="Calibri" w:eastAsia="Times New Roman" w:hAnsi="Calibri" w:cs="Times New Roman"/>
                <w:b w:val="0"/>
                <w:color w:val="000000"/>
                <w:lang w:eastAsia="en-GB"/>
              </w:rPr>
            </w:pPr>
            <w:r w:rsidRPr="00292F5D">
              <w:rPr>
                <w:rFonts w:ascii="Calibri" w:eastAsia="Times New Roman" w:hAnsi="Calibri" w:cs="Times New Roman"/>
                <w:b w:val="0"/>
                <w:color w:val="000000"/>
                <w:lang w:eastAsia="en-GB"/>
              </w:rPr>
              <w:t>Hereditary spastic paraplegia (Paris)</w:t>
            </w:r>
          </w:p>
        </w:tc>
        <w:tc>
          <w:tcPr>
            <w:tcW w:w="1849" w:type="dxa"/>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74</w:t>
            </w:r>
          </w:p>
        </w:tc>
        <w:tc>
          <w:tcPr>
            <w:tcW w:w="1276" w:type="dxa"/>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774</w:t>
            </w:r>
          </w:p>
        </w:tc>
        <w:tc>
          <w:tcPr>
            <w:tcW w:w="909" w:type="dxa"/>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30%</w:t>
            </w:r>
          </w:p>
        </w:tc>
      </w:tr>
      <w:tr w:rsidR="00292F5D" w:rsidRPr="00292F5D" w:rsidTr="00292F5D">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97" w:type="dxa"/>
            <w:hideMark/>
          </w:tcPr>
          <w:p w:rsidR="00292F5D" w:rsidRPr="00292F5D" w:rsidRDefault="00292F5D" w:rsidP="00292F5D">
            <w:pPr>
              <w:jc w:val="both"/>
              <w:rPr>
                <w:rFonts w:ascii="Calibri" w:eastAsia="Times New Roman" w:hAnsi="Calibri" w:cs="Times New Roman"/>
                <w:b w:val="0"/>
                <w:color w:val="000000"/>
                <w:lang w:eastAsia="en-GB"/>
              </w:rPr>
            </w:pPr>
            <w:r w:rsidRPr="00292F5D">
              <w:rPr>
                <w:rFonts w:ascii="Calibri" w:eastAsia="Times New Roman" w:hAnsi="Calibri" w:cs="Times New Roman"/>
                <w:b w:val="0"/>
                <w:color w:val="000000"/>
                <w:lang w:eastAsia="en-GB"/>
              </w:rPr>
              <w:t>Ataxia (Tübingen)</w:t>
            </w:r>
          </w:p>
        </w:tc>
        <w:tc>
          <w:tcPr>
            <w:tcW w:w="1849"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201</w:t>
            </w:r>
          </w:p>
        </w:tc>
        <w:tc>
          <w:tcPr>
            <w:tcW w:w="1276"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107</w:t>
            </w:r>
          </w:p>
        </w:tc>
        <w:tc>
          <w:tcPr>
            <w:tcW w:w="909"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19%</w:t>
            </w:r>
          </w:p>
        </w:tc>
      </w:tr>
      <w:tr w:rsidR="00292F5D" w:rsidRPr="00292F5D" w:rsidTr="00292F5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97" w:type="dxa"/>
            <w:hideMark/>
          </w:tcPr>
          <w:p w:rsidR="00292F5D" w:rsidRPr="00292F5D" w:rsidRDefault="00292F5D" w:rsidP="00292F5D">
            <w:pPr>
              <w:jc w:val="both"/>
              <w:rPr>
                <w:rFonts w:ascii="Calibri" w:eastAsia="Times New Roman" w:hAnsi="Calibri" w:cs="Times New Roman"/>
                <w:b w:val="0"/>
                <w:color w:val="000000"/>
                <w:lang w:eastAsia="en-GB"/>
              </w:rPr>
            </w:pPr>
            <w:r w:rsidRPr="00292F5D">
              <w:rPr>
                <w:rFonts w:ascii="Calibri" w:eastAsia="Times New Roman" w:hAnsi="Calibri" w:cs="Times New Roman"/>
                <w:b w:val="0"/>
                <w:color w:val="000000"/>
                <w:lang w:eastAsia="en-GB"/>
              </w:rPr>
              <w:t>Ataxia (Paris)</w:t>
            </w:r>
          </w:p>
        </w:tc>
        <w:tc>
          <w:tcPr>
            <w:tcW w:w="1849" w:type="dxa"/>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34</w:t>
            </w:r>
          </w:p>
        </w:tc>
        <w:tc>
          <w:tcPr>
            <w:tcW w:w="1276" w:type="dxa"/>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412</w:t>
            </w:r>
          </w:p>
        </w:tc>
        <w:tc>
          <w:tcPr>
            <w:tcW w:w="909" w:type="dxa"/>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14%</w:t>
            </w:r>
          </w:p>
        </w:tc>
      </w:tr>
      <w:tr w:rsidR="00292F5D" w:rsidRPr="00292F5D" w:rsidTr="00292F5D">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97" w:type="dxa"/>
            <w:hideMark/>
          </w:tcPr>
          <w:p w:rsidR="00292F5D" w:rsidRPr="00292F5D" w:rsidRDefault="00292F5D" w:rsidP="00292F5D">
            <w:pPr>
              <w:jc w:val="both"/>
              <w:rPr>
                <w:rFonts w:ascii="Calibri" w:eastAsia="Times New Roman" w:hAnsi="Calibri" w:cs="Times New Roman"/>
                <w:b w:val="0"/>
                <w:color w:val="000000"/>
                <w:lang w:eastAsia="en-GB"/>
              </w:rPr>
            </w:pPr>
            <w:r w:rsidRPr="00292F5D">
              <w:rPr>
                <w:rFonts w:ascii="Calibri" w:eastAsia="Times New Roman" w:hAnsi="Calibri" w:cs="Times New Roman"/>
                <w:b w:val="0"/>
                <w:color w:val="000000"/>
                <w:lang w:eastAsia="en-GB"/>
              </w:rPr>
              <w:t>Neuromuscular disease (Cologne)</w:t>
            </w:r>
          </w:p>
        </w:tc>
        <w:tc>
          <w:tcPr>
            <w:tcW w:w="1849"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475</w:t>
            </w:r>
          </w:p>
        </w:tc>
        <w:tc>
          <w:tcPr>
            <w:tcW w:w="1276"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62</w:t>
            </w:r>
          </w:p>
        </w:tc>
        <w:tc>
          <w:tcPr>
            <w:tcW w:w="909"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45%</w:t>
            </w:r>
          </w:p>
        </w:tc>
      </w:tr>
      <w:tr w:rsidR="00292F5D" w:rsidRPr="00292F5D" w:rsidTr="00292F5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097" w:type="dxa"/>
            <w:hideMark/>
          </w:tcPr>
          <w:p w:rsidR="00292F5D" w:rsidRPr="00292F5D" w:rsidRDefault="00292F5D" w:rsidP="00292F5D">
            <w:pPr>
              <w:jc w:val="both"/>
              <w:rPr>
                <w:rFonts w:ascii="Calibri" w:eastAsia="Times New Roman" w:hAnsi="Calibri" w:cs="Times New Roman"/>
                <w:b w:val="0"/>
                <w:color w:val="000000"/>
                <w:lang w:eastAsia="en-GB"/>
              </w:rPr>
            </w:pPr>
            <w:r w:rsidRPr="00292F5D">
              <w:rPr>
                <w:rFonts w:ascii="Calibri" w:eastAsia="Times New Roman" w:hAnsi="Calibri" w:cs="Times New Roman"/>
                <w:b w:val="0"/>
                <w:color w:val="000000"/>
                <w:lang w:eastAsia="en-GB"/>
              </w:rPr>
              <w:t>Neuromuscular disease (Marseille)</w:t>
            </w:r>
          </w:p>
        </w:tc>
        <w:tc>
          <w:tcPr>
            <w:tcW w:w="1849" w:type="dxa"/>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306</w:t>
            </w:r>
          </w:p>
        </w:tc>
        <w:tc>
          <w:tcPr>
            <w:tcW w:w="1276" w:type="dxa"/>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112</w:t>
            </w:r>
          </w:p>
        </w:tc>
        <w:tc>
          <w:tcPr>
            <w:tcW w:w="909" w:type="dxa"/>
            <w:hideMark/>
          </w:tcPr>
          <w:p w:rsidR="00292F5D" w:rsidRPr="00292F5D" w:rsidRDefault="00292F5D" w:rsidP="00292F5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33%</w:t>
            </w:r>
          </w:p>
        </w:tc>
      </w:tr>
      <w:tr w:rsidR="00292F5D" w:rsidRPr="00292F5D" w:rsidTr="00292F5D">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097" w:type="dxa"/>
            <w:hideMark/>
          </w:tcPr>
          <w:p w:rsidR="00292F5D" w:rsidRPr="00292F5D" w:rsidRDefault="00292F5D" w:rsidP="00292F5D">
            <w:pPr>
              <w:jc w:val="both"/>
              <w:rPr>
                <w:rFonts w:ascii="Calibri" w:eastAsia="Times New Roman" w:hAnsi="Calibri" w:cs="Times New Roman"/>
                <w:b w:val="0"/>
                <w:color w:val="000000"/>
                <w:lang w:eastAsia="en-GB"/>
              </w:rPr>
            </w:pPr>
            <w:proofErr w:type="spellStart"/>
            <w:r w:rsidRPr="00292F5D">
              <w:rPr>
                <w:rFonts w:ascii="Calibri" w:eastAsia="Times New Roman" w:hAnsi="Calibri" w:cs="Times New Roman"/>
                <w:b w:val="0"/>
                <w:color w:val="000000"/>
                <w:lang w:eastAsia="en-GB"/>
              </w:rPr>
              <w:t>PathWest</w:t>
            </w:r>
            <w:proofErr w:type="spellEnd"/>
            <w:r w:rsidRPr="00292F5D">
              <w:rPr>
                <w:rFonts w:ascii="Calibri" w:eastAsia="Times New Roman" w:hAnsi="Calibri" w:cs="Times New Roman"/>
                <w:b w:val="0"/>
                <w:color w:val="000000"/>
                <w:lang w:eastAsia="en-GB"/>
              </w:rPr>
              <w:t xml:space="preserve"> targeted panel for muscle and nerve (Perth)</w:t>
            </w:r>
          </w:p>
        </w:tc>
        <w:tc>
          <w:tcPr>
            <w:tcW w:w="1849"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316</w:t>
            </w:r>
          </w:p>
        </w:tc>
        <w:tc>
          <w:tcPr>
            <w:tcW w:w="1276"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2270</w:t>
            </w:r>
          </w:p>
        </w:tc>
        <w:tc>
          <w:tcPr>
            <w:tcW w:w="909" w:type="dxa"/>
            <w:hideMark/>
          </w:tcPr>
          <w:p w:rsidR="00292F5D" w:rsidRPr="00292F5D" w:rsidRDefault="00292F5D" w:rsidP="00292F5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0000"/>
                <w:lang w:eastAsia="en-GB"/>
              </w:rPr>
            </w:pPr>
            <w:r w:rsidRPr="00292F5D">
              <w:rPr>
                <w:rFonts w:ascii="Calibri" w:eastAsia="Times New Roman" w:hAnsi="Calibri" w:cs="Times New Roman"/>
                <w:color w:val="000000"/>
                <w:lang w:eastAsia="en-GB"/>
              </w:rPr>
              <w:t>32%</w:t>
            </w:r>
          </w:p>
        </w:tc>
      </w:tr>
    </w:tbl>
    <w:p w:rsidR="00292F5D" w:rsidRDefault="00292F5D"/>
    <w:p w:rsidR="00292F5D" w:rsidRDefault="00292F5D"/>
    <w:sectPr w:rsidR="00292F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F5D"/>
    <w:rsid w:val="00201229"/>
    <w:rsid w:val="00292F5D"/>
    <w:rsid w:val="0058245D"/>
    <w:rsid w:val="00783A9D"/>
    <w:rsid w:val="008A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E5B15B-D968-4FD8-9A17-42FAEDF2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eurOmicscolour">
    <w:name w:val="NeurOmics colour"/>
    <w:basedOn w:val="GridTable2-Accent2"/>
    <w:uiPriority w:val="99"/>
    <w:rsid w:val="00783A9D"/>
    <w:tblPr/>
    <w:tblStylePr w:type="firstRow">
      <w:pPr>
        <w:jc w:val="center"/>
      </w:pPr>
      <w:rPr>
        <w:rFonts w:asciiTheme="minorHAnsi" w:hAnsiTheme="minorHAnsi"/>
        <w:b/>
        <w:bCs/>
        <w:color w:val="FFFFFF" w:themeColor="background1"/>
        <w:sz w:val="22"/>
      </w:rPr>
      <w:tblPr/>
      <w:tcPr>
        <w:tcBorders>
          <w:top w:val="nil"/>
          <w:bottom w:val="single" w:sz="12" w:space="0" w:color="F4B083" w:themeColor="accent2" w:themeTint="99"/>
          <w:insideH w:val="nil"/>
          <w:insideV w:val="nil"/>
        </w:tcBorders>
        <w:shd w:val="clear" w:color="auto" w:fill="BF1605"/>
      </w:tcPr>
    </w:tblStylePr>
    <w:tblStylePr w:type="lastRow">
      <w:rPr>
        <w:b/>
        <w:bCs/>
      </w:rPr>
      <w:tblPr/>
      <w:tcPr>
        <w:tcBorders>
          <w:top w:val="single" w:sz="4" w:space="0" w:color="BF1605"/>
          <w:left w:val="single" w:sz="4" w:space="0" w:color="BF1605"/>
          <w:bottom w:val="single" w:sz="4" w:space="0" w:color="BF1605"/>
          <w:right w:val="single" w:sz="4" w:space="0" w:color="BF1605"/>
          <w:insideH w:val="single" w:sz="4" w:space="0" w:color="BF1605"/>
          <w:insideV w:val="single" w:sz="4" w:space="0" w:color="BF1605"/>
        </w:tcBorders>
        <w:shd w:val="clear" w:color="auto" w:fill="FFFFFF" w:themeFill="background1"/>
      </w:tcPr>
    </w:tblStylePr>
    <w:tblStylePr w:type="firstCol">
      <w:rPr>
        <w:b/>
        <w:bCs/>
      </w:rPr>
    </w:tblStylePr>
    <w:tblStylePr w:type="lastCol">
      <w:rPr>
        <w:b/>
        <w:bCs/>
      </w:rPr>
    </w:tblStylePr>
    <w:tblStylePr w:type="band1Vert">
      <w:tblPr/>
      <w:tcPr>
        <w:shd w:val="clear" w:color="auto" w:fill="FDC5BF"/>
      </w:tcPr>
    </w:tblStylePr>
    <w:tblStylePr w:type="band1Horz">
      <w:tblPr/>
      <w:tcPr>
        <w:shd w:val="clear" w:color="auto" w:fill="FFFFFF" w:themeFill="background1"/>
      </w:tcPr>
    </w:tblStylePr>
    <w:tblStylePr w:type="band2Horz">
      <w:tblPr/>
      <w:tcPr>
        <w:shd w:val="clear" w:color="auto" w:fill="FDC5BF"/>
      </w:tcPr>
    </w:tblStylePr>
  </w:style>
  <w:style w:type="table" w:styleId="GridTable2-Accent2">
    <w:name w:val="Grid Table 2 Accent 2"/>
    <w:basedOn w:val="TableNormal"/>
    <w:uiPriority w:val="47"/>
    <w:rsid w:val="00783A9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51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838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Badowska</dc:creator>
  <cp:keywords/>
  <dc:description/>
  <cp:lastModifiedBy>Dorota Badowska</cp:lastModifiedBy>
  <cp:revision>3</cp:revision>
  <dcterms:created xsi:type="dcterms:W3CDTF">2017-12-21T11:44:00Z</dcterms:created>
  <dcterms:modified xsi:type="dcterms:W3CDTF">2017-12-21T14:46:00Z</dcterms:modified>
</cp:coreProperties>
</file>