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6998A" w14:textId="77777777" w:rsidR="00DD1F19" w:rsidRPr="002C7B5C" w:rsidRDefault="00D47A2C" w:rsidP="00DD1F19">
      <w:pPr>
        <w:spacing w:line="480" w:lineRule="auto"/>
        <w:rPr>
          <w:b/>
          <w:sz w:val="28"/>
          <w:szCs w:val="28"/>
        </w:rPr>
      </w:pPr>
      <w:bookmarkStart w:id="0" w:name="_GoBack"/>
      <w:bookmarkEnd w:id="0"/>
      <w:r w:rsidRPr="002C7B5C">
        <w:rPr>
          <w:b/>
          <w:sz w:val="28"/>
          <w:szCs w:val="28"/>
        </w:rPr>
        <w:t>Supplementary Materials and Methods</w:t>
      </w:r>
    </w:p>
    <w:p w14:paraId="40CDB682" w14:textId="77777777" w:rsidR="00B65D92" w:rsidRPr="002C7B5C" w:rsidRDefault="00B65D92" w:rsidP="00DD1F19">
      <w:pPr>
        <w:spacing w:line="480" w:lineRule="auto"/>
      </w:pPr>
    </w:p>
    <w:p w14:paraId="10DF0E1F" w14:textId="16ADA348" w:rsidR="00DD3EA4" w:rsidRPr="002C7B5C" w:rsidRDefault="00576086" w:rsidP="00DD1F19">
      <w:pPr>
        <w:spacing w:line="480" w:lineRule="auto"/>
        <w:rPr>
          <w:b/>
        </w:rPr>
      </w:pPr>
      <w:r w:rsidRPr="002C7B5C">
        <w:rPr>
          <w:b/>
          <w:i/>
        </w:rPr>
        <w:t>In Silico</w:t>
      </w:r>
      <w:r w:rsidRPr="002C7B5C">
        <w:rPr>
          <w:b/>
        </w:rPr>
        <w:t xml:space="preserve"> Patient Profile Generation</w:t>
      </w:r>
    </w:p>
    <w:p w14:paraId="582D6C0A" w14:textId="77777777" w:rsidR="00DD3EA4" w:rsidRPr="002C7B5C" w:rsidRDefault="00DD3EA4" w:rsidP="00DD1F19">
      <w:pPr>
        <w:spacing w:line="480" w:lineRule="auto"/>
      </w:pPr>
    </w:p>
    <w:p w14:paraId="5EB3E48F" w14:textId="051D332D" w:rsidR="009C1492" w:rsidRPr="002C7B5C" w:rsidRDefault="00A14B43" w:rsidP="009C1492">
      <w:pPr>
        <w:spacing w:line="480" w:lineRule="auto"/>
        <w:jc w:val="both"/>
      </w:pPr>
      <w:r w:rsidRPr="002C7B5C">
        <w:t>Each of the 33</w:t>
      </w:r>
      <w:r w:rsidR="009C1492" w:rsidRPr="002C7B5C">
        <w:t xml:space="preserve"> diseases is well characterized with sufficient phenotypic features and penetrance information described using HPO terms. We produced synthetic patient profiles by selecting disease HPO terms for the </w:t>
      </w:r>
      <w:r w:rsidR="00763E06" w:rsidRPr="002C7B5C">
        <w:t>disease</w:t>
      </w:r>
      <w:r w:rsidR="009C1492" w:rsidRPr="002C7B5C">
        <w:t xml:space="preserve"> determined by the penetrance data. For instance, to generate a synthetic patient with a disease of phenotypes A that is observed in 70% of the patients with this disease, a random value between 0 and 1 was generated by a random number generator of uniform distribution. If the number was equal to or less than 0.7, then phenotype A was assigned to the profile. Phenotype A was not added to the synthetic profile otherwise. Same procedure was carried out on other phenotypes associated with this disease. This process was repeated to generated 1,000 synthetic profiles of each disease</w:t>
      </w:r>
      <w:r w:rsidR="00D87818" w:rsidRPr="00354B5D">
        <w:fldChar w:fldCharType="begin">
          <w:fldData xml:space="preserve">PEVuZE5vdGU+PENpdGU+PEF1dGhvcj5HcmVlbmU8L0F1dGhvcj48WWVhcj4yMDE2PC9ZZWFyPjxS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</w:fldData>
        </w:fldChar>
      </w:r>
      <w:r w:rsidR="00261C8C" w:rsidRPr="002C7B5C">
        <w:instrText xml:space="preserve"> ADDIN EN.CITE </w:instrText>
      </w:r>
      <w:r w:rsidR="00261C8C" w:rsidRPr="00354B5D">
        <w:fldChar w:fldCharType="begin">
          <w:fldData xml:space="preserve">PEVuZE5vdGU+PENpdGU+PEF1dGhvcj5HcmVlbmU8L0F1dGhvcj48WWVhcj4yMDE2PC9ZZWFyPjxS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</w:fldData>
        </w:fldChar>
      </w:r>
      <w:r w:rsidR="00261C8C" w:rsidRPr="002C7B5C">
        <w:instrText xml:space="preserve"> ADDIN EN.CITE.DATA </w:instrText>
      </w:r>
      <w:r w:rsidR="00261C8C" w:rsidRPr="00354B5D">
        <w:fldChar w:fldCharType="end"/>
      </w:r>
      <w:r w:rsidR="00D87818" w:rsidRPr="00354B5D">
        <w:fldChar w:fldCharType="separate"/>
      </w:r>
      <w:r w:rsidR="00261C8C" w:rsidRPr="002C7B5C">
        <w:rPr>
          <w:noProof/>
          <w:vertAlign w:val="superscript"/>
        </w:rPr>
        <w:t>1-3</w:t>
      </w:r>
      <w:r w:rsidR="00D87818" w:rsidRPr="00354B5D">
        <w:fldChar w:fldCharType="end"/>
      </w:r>
      <w:r w:rsidR="009C1492" w:rsidRPr="002C7B5C">
        <w:t xml:space="preserve">. This scenario was denoted as the "optimal" clinical scenario where the patient phenotype is well recognized. </w:t>
      </w:r>
    </w:p>
    <w:p w14:paraId="36542C33" w14:textId="77777777" w:rsidR="009C1492" w:rsidRPr="002C7B5C" w:rsidRDefault="009C1492" w:rsidP="009C1492">
      <w:pPr>
        <w:spacing w:line="480" w:lineRule="auto"/>
        <w:jc w:val="both"/>
      </w:pPr>
    </w:p>
    <w:p w14:paraId="563069BB" w14:textId="02D65588" w:rsidR="009C1492" w:rsidRPr="002C7B5C" w:rsidRDefault="009C1492" w:rsidP="009C1492">
      <w:pPr>
        <w:spacing w:line="480" w:lineRule="auto"/>
        <w:jc w:val="both"/>
      </w:pPr>
      <w:r w:rsidRPr="002C7B5C">
        <w:t xml:space="preserve">However, it is common that patients may exhibit symptoms that are not directly related to their indication for testing. In addition, clinician or medical specialists may fail to choose the most accurate terms to describe the phenotype manifestation or the clinical anomaly is not properly defined in HPO vocabulary, so a more generic phenotype is used. These two typical scenarios contribute to a large number of cases in clinical practice and are denoted as "noisy" and "imprecise" respectively. In order to imitate the "noisy" scenario, randomly selected HPO terms were added to the </w:t>
      </w:r>
      <w:r w:rsidRPr="002C7B5C">
        <w:lastRenderedPageBreak/>
        <w:t>"optimal" profile as noise. The number of noise terms was determined to be half of the number of "optimal" terms in the synthetic patient. To investigate the impact of the "imprecise" terms, each of the "optimal" terms of a patient was replaced by a parent term of the original HPO term</w:t>
      </w:r>
      <w:r w:rsidR="00A448FD" w:rsidRPr="00354B5D">
        <w:fldChar w:fldCharType="begin"/>
      </w:r>
      <w:r w:rsidR="00261C8C" w:rsidRPr="002C7B5C">
        <w:instrText xml:space="preserve"> ADDIN EN.CITE &lt;EndNote&gt;&lt;Cite&gt;&lt;Author&gt;Masino&lt;/Author&gt;&lt;Year&gt;2014&lt;/Year&gt;&lt;RecNum&gt;72&lt;/RecNum&gt;&lt;DisplayText&gt;&lt;style face="superscript"&gt;4&lt;/style&gt;&lt;/DisplayText&gt;&lt;record&gt;&lt;rec-number&gt;72&lt;/rec-number&gt;&lt;foreign-keys&gt;&lt;key app="EN" db-id="d2d0pa2zu5f92se5adzx595yxz2wxfst92p5" timestamp="1511886503"&gt;72&lt;/key&gt;&lt;/foreign-keys&gt;&lt;ref-type name="Journal Article"&gt;17&lt;/ref-type&gt;&lt;contributors&gt;&lt;authors&gt;&lt;author&gt;Masino, Aaron J&lt;/author&gt;&lt;author&gt;Dechene, Elizabeth T&lt;/author&gt;&lt;author&gt;Dulik, Matthew C&lt;/author&gt;&lt;author&gt;Wilkens, Alisha&lt;/author&gt;&lt;author&gt;Spinner, Nancy B&lt;/author&gt;&lt;author&gt;Krantz, Ian D&lt;/author&gt;&lt;author&gt;Pennington, Jeffrey W&lt;/author&gt;&lt;author&gt;Robinson, Peter N&lt;/author&gt;&lt;author&gt;White, Peter S&lt;/author&gt;&lt;/authors&gt;&lt;/contributors&gt;&lt;titles&gt;&lt;title&gt;Clinical phenotype-based gene prioritization: an initial study using semantic similarity and the human phenotype ontology&lt;/title&gt;&lt;secondary-title&gt;BMC bioinformatics&lt;/secondary-title&gt;&lt;/titles&gt;&lt;periodical&gt;&lt;full-title&gt;BMC bioinformatics&lt;/full-title&gt;&lt;/periodical&gt;&lt;pages&gt;248&lt;/pages&gt;&lt;volume&gt;15&lt;/volume&gt;&lt;number&gt;1&lt;/number&gt;&lt;dates&gt;&lt;year&gt;2014&lt;/year&gt;&lt;/dates&gt;&lt;isbn&gt;1471-2105&lt;/isbn&gt;&lt;urls&gt;&lt;/urls&gt;&lt;/record&gt;&lt;/Cite&gt;&lt;/EndNote&gt;</w:instrText>
      </w:r>
      <w:r w:rsidR="00A448FD" w:rsidRPr="00354B5D">
        <w:fldChar w:fldCharType="separate"/>
      </w:r>
      <w:r w:rsidR="00261C8C" w:rsidRPr="002C7B5C">
        <w:rPr>
          <w:noProof/>
          <w:vertAlign w:val="superscript"/>
        </w:rPr>
        <w:t>4</w:t>
      </w:r>
      <w:r w:rsidR="00A448FD" w:rsidRPr="00354B5D">
        <w:fldChar w:fldCharType="end"/>
      </w:r>
      <w:r w:rsidRPr="002C7B5C">
        <w:t xml:space="preserve">. These procedures were repeated 1,000 times so that 1,000 </w:t>
      </w:r>
      <w:r w:rsidRPr="002C7B5C">
        <w:rPr>
          <w:i/>
        </w:rPr>
        <w:t>in silico</w:t>
      </w:r>
      <w:r w:rsidRPr="002C7B5C">
        <w:t xml:space="preserve"> patient profiles for "noisy" and "imprecise" scenarios were generated respectively, resulting a total of 99,000 simulated profiles for the study.</w:t>
      </w:r>
    </w:p>
    <w:p w14:paraId="0E152370" w14:textId="77777777" w:rsidR="00576086" w:rsidRPr="002C7B5C" w:rsidRDefault="00576086" w:rsidP="00DD1F19">
      <w:pPr>
        <w:spacing w:line="480" w:lineRule="auto"/>
      </w:pPr>
    </w:p>
    <w:p w14:paraId="30B442B1" w14:textId="77777777" w:rsidR="00DD1F19" w:rsidRPr="002C7B5C" w:rsidRDefault="00DD1F19" w:rsidP="00DD1F19">
      <w:pPr>
        <w:spacing w:line="480" w:lineRule="auto"/>
        <w:rPr>
          <w:b/>
        </w:rPr>
      </w:pPr>
      <w:r w:rsidRPr="002C7B5C">
        <w:rPr>
          <w:b/>
        </w:rPr>
        <w:t xml:space="preserve">Phenotypic </w:t>
      </w:r>
      <w:r w:rsidR="006F1D4E" w:rsidRPr="002C7B5C">
        <w:rPr>
          <w:b/>
        </w:rPr>
        <w:t>Characteristics of Clinical Cohort</w:t>
      </w:r>
    </w:p>
    <w:p w14:paraId="0E6F5CC4" w14:textId="77777777" w:rsidR="006F1D4E" w:rsidRPr="002C7B5C" w:rsidRDefault="006F1D4E" w:rsidP="00DD1F19">
      <w:pPr>
        <w:spacing w:line="480" w:lineRule="auto"/>
        <w:rPr>
          <w:b/>
        </w:rPr>
      </w:pPr>
    </w:p>
    <w:p w14:paraId="61468439" w14:textId="21397E2C" w:rsidR="006F1D4E" w:rsidRPr="002C7B5C" w:rsidRDefault="006F1D4E" w:rsidP="00DD1F19">
      <w:pPr>
        <w:spacing w:line="480" w:lineRule="auto"/>
        <w:jc w:val="both"/>
      </w:pPr>
      <w:r w:rsidRPr="002C7B5C">
        <w:t xml:space="preserve">A total of 422 unique HPO terms were used to describe the phenotypes of all </w:t>
      </w:r>
      <w:r w:rsidR="00E87FE5" w:rsidRPr="002C7B5C">
        <w:t xml:space="preserve">105 </w:t>
      </w:r>
      <w:r w:rsidRPr="002C7B5C">
        <w:t>individuals in the cohort. The numbers of HPO terms per case range from 1 to 23, with an average of 6 terms. Out of the 422 phenotypes, 306 terms (73%) were unique to just one individual respectively while another 62 terms (15%) were shared by only two individuals.</w:t>
      </w:r>
      <w:r w:rsidRPr="002C7B5C" w:rsidDel="00C84E83">
        <w:t xml:space="preserve"> </w:t>
      </w:r>
      <w:r w:rsidRPr="002C7B5C">
        <w:t xml:space="preserve">This collection of phenotypes represents a wide range of developmental abnormalities. The most frequently used 15 terms are shown in Figure </w:t>
      </w:r>
      <w:r w:rsidR="00232F1F" w:rsidRPr="002C7B5C">
        <w:t>S</w:t>
      </w:r>
      <w:r w:rsidR="00D96730" w:rsidRPr="002C7B5C">
        <w:t>3</w:t>
      </w:r>
      <w:r w:rsidRPr="002C7B5C">
        <w:t xml:space="preserve">. It should be noted that the phenotypes with the highest term frequencies are more generic than those with lower term frequencies. For instance, </w:t>
      </w:r>
      <w:r w:rsidRPr="002C7B5C">
        <w:rPr>
          <w:i/>
        </w:rPr>
        <w:t>Global developmental delay</w:t>
      </w:r>
      <w:r w:rsidRPr="002C7B5C">
        <w:t xml:space="preserve"> was used to describe 43 patients in the cohort and the term was annotated with 1063 genes, </w:t>
      </w:r>
      <w:r w:rsidRPr="002C7B5C">
        <w:rPr>
          <w:i/>
        </w:rPr>
        <w:t>Short stature</w:t>
      </w:r>
      <w:r w:rsidRPr="002C7B5C">
        <w:t xml:space="preserve"> was observed in 19 patients and the term was annotated with 832 genes. </w:t>
      </w:r>
      <w:r w:rsidR="00933ABC" w:rsidRPr="002C7B5C">
        <w:t>This was also observed for</w:t>
      </w:r>
      <w:r w:rsidRPr="002C7B5C">
        <w:t xml:space="preserve"> terms such as </w:t>
      </w:r>
      <w:r w:rsidRPr="002C7B5C">
        <w:rPr>
          <w:i/>
        </w:rPr>
        <w:t>Failure to thrive</w:t>
      </w:r>
      <w:r w:rsidRPr="002C7B5C">
        <w:t xml:space="preserve"> (16 patients, 577 genes), </w:t>
      </w:r>
      <w:r w:rsidRPr="002C7B5C">
        <w:rPr>
          <w:i/>
        </w:rPr>
        <w:t>Microcephaly</w:t>
      </w:r>
      <w:r w:rsidRPr="002C7B5C">
        <w:t xml:space="preserve"> (14 patients, 678 genes) and etc. In contrast, terms that were unique to one or two patients were likely to be more </w:t>
      </w:r>
      <w:r w:rsidRPr="002C7B5C">
        <w:lastRenderedPageBreak/>
        <w:t xml:space="preserve">specific, such as </w:t>
      </w:r>
      <w:r w:rsidRPr="002C7B5C">
        <w:rPr>
          <w:i/>
        </w:rPr>
        <w:t>Prominent fingertip pads</w:t>
      </w:r>
      <w:r w:rsidRPr="002C7B5C">
        <w:t xml:space="preserve"> (1 patient, 8 genes), </w:t>
      </w:r>
      <w:r w:rsidRPr="002C7B5C">
        <w:rPr>
          <w:i/>
        </w:rPr>
        <w:t>Vocal cord paralysis</w:t>
      </w:r>
      <w:r w:rsidRPr="002C7B5C">
        <w:t xml:space="preserve"> (1 patient, 11 genes) and </w:t>
      </w:r>
      <w:r w:rsidRPr="002C7B5C">
        <w:rPr>
          <w:i/>
        </w:rPr>
        <w:t>Metatarsus adductus</w:t>
      </w:r>
      <w:r w:rsidRPr="002C7B5C">
        <w:t xml:space="preserve"> (2 patients, 30 genes). </w:t>
      </w:r>
    </w:p>
    <w:p w14:paraId="694B614F" w14:textId="77777777" w:rsidR="00DD1F19" w:rsidRPr="002C7B5C" w:rsidRDefault="00DD1F19" w:rsidP="00DD1F19">
      <w:pPr>
        <w:spacing w:line="480" w:lineRule="auto"/>
        <w:jc w:val="both"/>
      </w:pPr>
    </w:p>
    <w:p w14:paraId="0BE11567" w14:textId="77777777" w:rsidR="00DD1F19" w:rsidRPr="002C7B5C" w:rsidRDefault="00DD1F19" w:rsidP="00DD1F19">
      <w:pPr>
        <w:spacing w:line="480" w:lineRule="auto"/>
        <w:outlineLvl w:val="0"/>
        <w:rPr>
          <w:b/>
        </w:rPr>
      </w:pPr>
      <w:r w:rsidRPr="002C7B5C">
        <w:rPr>
          <w:b/>
        </w:rPr>
        <w:t>Sequencing and bioinformatics pipeline</w:t>
      </w:r>
    </w:p>
    <w:p w14:paraId="54FED401" w14:textId="77777777" w:rsidR="00DD1F19" w:rsidRPr="002C7B5C" w:rsidRDefault="00DD1F19" w:rsidP="00DD1F19">
      <w:pPr>
        <w:spacing w:line="480" w:lineRule="auto"/>
      </w:pPr>
    </w:p>
    <w:p w14:paraId="4F17FE0F" w14:textId="751B398A" w:rsidR="00DD1F19" w:rsidRPr="002C7B5C" w:rsidRDefault="00DD1F19" w:rsidP="00DD1F19">
      <w:pPr>
        <w:spacing w:line="480" w:lineRule="auto"/>
        <w:jc w:val="both"/>
      </w:pPr>
      <w:r w:rsidRPr="002C7B5C">
        <w:t>For each of the clinical CES samples from the DGD, Agilent SureSelect Clinical Research Exome (CRE) V1</w:t>
      </w:r>
      <w:r w:rsidRPr="002C7B5C" w:rsidDel="00C57B3D">
        <w:t xml:space="preserve"> </w:t>
      </w:r>
      <w:r w:rsidRPr="002C7B5C">
        <w:t>capture was used as the exome capture platform. FASTQ data generated by MiSeq/HiSeq was aligned to the hg19/</w:t>
      </w:r>
      <w:r w:rsidR="000C6485" w:rsidRPr="002C7B5C">
        <w:t xml:space="preserve">GRCh37 </w:t>
      </w:r>
      <w:r w:rsidRPr="002C7B5C">
        <w:t>reference genome using Novoalign</w:t>
      </w:r>
      <w:r w:rsidR="00311E1E" w:rsidRPr="002C7B5C">
        <w:t xml:space="preserve"> </w:t>
      </w:r>
      <w:r w:rsidRPr="002C7B5C">
        <w:t>from Novocraft (Selangor, Malaysia</w:t>
      </w:r>
      <w:r w:rsidR="00440383" w:rsidRPr="002C7B5C">
        <w:t>, v</w:t>
      </w:r>
      <w:r w:rsidR="00440383" w:rsidRPr="00354B5D">
        <w:t>3</w:t>
      </w:r>
      <w:r w:rsidRPr="002C7B5C">
        <w:t>)</w:t>
      </w:r>
      <w:r w:rsidR="00346B30" w:rsidRPr="002C7B5C">
        <w:t xml:space="preserve"> with average coverage of 100X</w:t>
      </w:r>
      <w:r w:rsidRPr="002C7B5C">
        <w:t>. Read alignment and variant calling were performed with an in-house bioinformatics pipeline that incorporated Novoalign for read alignment, Picard (Broad Institute, Cambridge, MA</w:t>
      </w:r>
      <w:r w:rsidR="00440383" w:rsidRPr="002C7B5C">
        <w:t>, v1.14 and 2.14</w:t>
      </w:r>
      <w:r w:rsidRPr="002C7B5C">
        <w:t>) for marking duplicates, the Genome Analysis Toolkit (Broad Institute, Cambridge, MA</w:t>
      </w:r>
      <w:r w:rsidR="00440383" w:rsidRPr="002C7B5C">
        <w:t>, v3.3 and 3.6</w:t>
      </w:r>
      <w:r w:rsidRPr="002C7B5C">
        <w:t>) for variant calling (reference sequence: hg19/</w:t>
      </w:r>
      <w:r w:rsidR="00515F1D" w:rsidRPr="002C7B5C">
        <w:t xml:space="preserve">GRCh37 </w:t>
      </w:r>
      <w:r w:rsidRPr="002C7B5C">
        <w:t xml:space="preserve">build) and variant read depth filtering (≥5X). Variant call sets were generated in the format VCF 4.1/4.2. </w:t>
      </w:r>
      <w:r w:rsidR="005F15DE" w:rsidRPr="002C7B5C">
        <w:t xml:space="preserve">Multiple versions </w:t>
      </w:r>
      <w:r w:rsidR="00763E06" w:rsidRPr="002C7B5C">
        <w:t xml:space="preserve">are </w:t>
      </w:r>
      <w:r w:rsidR="005F15DE" w:rsidRPr="002C7B5C">
        <w:t>listed for different tools due to incremental upgrades to the clinical bioinformatics pipeline.</w:t>
      </w:r>
      <w:r w:rsidR="005F15DE" w:rsidRPr="002C7B5C">
        <w:rPr>
          <w:rtl/>
        </w:rPr>
        <w:t xml:space="preserve"> </w:t>
      </w:r>
      <w:r w:rsidRPr="002C7B5C">
        <w:t xml:space="preserve">Variant annotation and initial variant filtration were then performed. This filtration restricted the data to variants in the Human Genome Mutation Database (HGMD) and/or rare variants with a coding effect such missense, stop loss, stop gain, start loss, in-frame insertion, in-frame deletion, frameshift insertion/deletion, and variants within the consensus splice site (+/- 6 bases in intron) among all genes. To eliminate lab-specific sequencing artifacts we used an internal cohort compiled from 665 unaffected and unrelated clinical exome sequencing samples in the laboratory of </w:t>
      </w:r>
      <w:r w:rsidRPr="002C7B5C">
        <w:lastRenderedPageBreak/>
        <w:t>DGD.  Patient variants present at a high frequency (1.0% or &gt; 6 individuals) in this cohort were removed. All 85 DGD clinical exome samples were filtered against this internal cohort. The VCF files of final products of these exome samples were generated as the input to Phenoxome.</w:t>
      </w:r>
    </w:p>
    <w:p w14:paraId="667A5B2A" w14:textId="77777777" w:rsidR="00DD1F19" w:rsidRPr="002C7B5C" w:rsidRDefault="00DD1F19" w:rsidP="00DD1F19">
      <w:pPr>
        <w:spacing w:line="480" w:lineRule="auto"/>
      </w:pPr>
    </w:p>
    <w:p w14:paraId="7D583FFC" w14:textId="6C63119F" w:rsidR="00DD1F19" w:rsidRPr="002C7B5C" w:rsidRDefault="00DD1F19" w:rsidP="00DD1F19">
      <w:pPr>
        <w:spacing w:line="480" w:lineRule="auto"/>
        <w:jc w:val="both"/>
      </w:pPr>
      <w:r w:rsidRPr="002C7B5C">
        <w:t>For PediSeq samples, exome capture was performed using SureSelect V4 kit (51MB target size). Exome sequencing was done at 100X depth of coverage on HiSeq 200 sequencers. The same bioinformatics processing was performed on these samples and the variant call sets were</w:t>
      </w:r>
      <w:r w:rsidR="00772AAE" w:rsidRPr="002C7B5C">
        <w:t xml:space="preserve"> preliminarily</w:t>
      </w:r>
      <w:r w:rsidRPr="002C7B5C">
        <w:t xml:space="preserve"> filtered to remove common variants using the Exome Aggregation Consortium (ExAC)</w:t>
      </w:r>
      <w:r w:rsidRPr="00354B5D">
        <w:fldChar w:fldCharType="begin"/>
      </w:r>
      <w:r w:rsidR="00261C8C" w:rsidRPr="002C7B5C">
        <w:instrText xml:space="preserve"> ADDIN EN.CITE &lt;EndNote&gt;&lt;Cite&gt;&lt;Author&gt;Lek&lt;/Author&gt;&lt;Year&gt;2016&lt;/Year&gt;&lt;RecNum&gt;61&lt;/RecNum&gt;&lt;DisplayText&gt;&lt;style face="superscript"&gt;5&lt;/style&gt;&lt;/DisplayText&gt;&lt;record&gt;&lt;rec-number&gt;61&lt;/rec-number&gt;&lt;foreign-keys&gt;&lt;key app="EN" db-id="d2d0pa2zu5f92se5adzx595yxz2wxfst92p5" timestamp="1511376187"&gt;61&lt;/key&gt;&lt;/foreign-keys&gt;&lt;ref-type name="Journal Article"&gt;17&lt;/ref-type&gt;&lt;contributors&gt;&lt;authors&gt;&lt;author&gt;Lek, Monkol&lt;/author&gt;&lt;author&gt;Karczewski, Konrad J&lt;/author&gt;&lt;author&gt;Minikel, Eric V&lt;/author&gt;&lt;author&gt;Samocha, Kaitlin E&lt;/author&gt;&lt;author&gt;Banks, Eric&lt;/author&gt;&lt;author&gt;Fennell, Timothy&lt;/author&gt;&lt;author&gt;O’Donnell-Luria, Anne H&lt;/author&gt;&lt;author&gt;Ware, James S&lt;/author&gt;&lt;author&gt;Hill, Andrew J&lt;/author&gt;&lt;author&gt;Cummings, Beryl B&lt;/author&gt;&lt;/authors&gt;&lt;/contributors&gt;&lt;titles&gt;&lt;title&gt;Analysis of protein-coding genetic variation in 60,706 humans&lt;/title&gt;&lt;secondary-title&gt;Nature&lt;/secondary-title&gt;&lt;/titles&gt;&lt;periodical&gt;&lt;full-title&gt;Nature&lt;/full-title&gt;&lt;/periodical&gt;&lt;pages&gt;285-291&lt;/pages&gt;&lt;volume&gt;536&lt;/volume&gt;&lt;number&gt;7616&lt;/number&gt;&lt;dates&gt;&lt;year&gt;2016&lt;/year&gt;&lt;/dates&gt;&lt;isbn&gt;0028-0836&lt;/isbn&gt;&lt;urls&gt;&lt;/urls&gt;&lt;/record&gt;&lt;/Cite&gt;&lt;/EndNote&gt;</w:instrText>
      </w:r>
      <w:r w:rsidRPr="00354B5D">
        <w:fldChar w:fldCharType="separate"/>
      </w:r>
      <w:r w:rsidR="00261C8C" w:rsidRPr="002C7B5C">
        <w:rPr>
          <w:noProof/>
          <w:vertAlign w:val="superscript"/>
        </w:rPr>
        <w:t>5</w:t>
      </w:r>
      <w:r w:rsidRPr="00354B5D">
        <w:fldChar w:fldCharType="end"/>
      </w:r>
      <w:r w:rsidRPr="002C7B5C">
        <w:t xml:space="preserve"> database (&gt;0.5% MAF) and the "internal cohort (&gt;5% MAF)" to remove high frequency technical artifacts. The internal cohort consisted of data from 269 samples from various PediSeq cohorts.</w:t>
      </w:r>
    </w:p>
    <w:p w14:paraId="7A4ECB2A" w14:textId="77777777" w:rsidR="0094230E" w:rsidRPr="002C7B5C" w:rsidRDefault="0094230E" w:rsidP="00DD1F19">
      <w:pPr>
        <w:spacing w:line="480" w:lineRule="auto"/>
        <w:jc w:val="both"/>
      </w:pPr>
    </w:p>
    <w:p w14:paraId="3BD4F315" w14:textId="5339ABB3" w:rsidR="0094230E" w:rsidRPr="002C7B5C" w:rsidRDefault="0094230E" w:rsidP="00DD1F19">
      <w:pPr>
        <w:spacing w:line="480" w:lineRule="auto"/>
        <w:jc w:val="both"/>
        <w:rPr>
          <w:b/>
        </w:rPr>
      </w:pPr>
      <w:r w:rsidRPr="002C7B5C">
        <w:rPr>
          <w:b/>
        </w:rPr>
        <w:t>Clinical Cohort Analysis Using PhenIX</w:t>
      </w:r>
    </w:p>
    <w:p w14:paraId="45A12C9F" w14:textId="77777777" w:rsidR="0094230E" w:rsidRPr="002C7B5C" w:rsidRDefault="0094230E" w:rsidP="00DD1F19">
      <w:pPr>
        <w:spacing w:line="480" w:lineRule="auto"/>
        <w:jc w:val="both"/>
      </w:pPr>
    </w:p>
    <w:p w14:paraId="55CEEB0A" w14:textId="78600D72" w:rsidR="0094230E" w:rsidRPr="002C7B5C" w:rsidRDefault="0094230E" w:rsidP="0094230E">
      <w:pPr>
        <w:spacing w:line="480" w:lineRule="auto"/>
        <w:jc w:val="both"/>
      </w:pPr>
      <w:r w:rsidRPr="002C7B5C">
        <w:t xml:space="preserve">The samples were processed through a local implementation of PhenIX as we could not use the web version to analyze the samples directly due to the clinical nature of the data. </w:t>
      </w:r>
      <w:r w:rsidR="00F6769F" w:rsidRPr="002C7B5C">
        <w:t xml:space="preserve">Exomiser </w:t>
      </w:r>
      <w:r w:rsidRPr="002C7B5C">
        <w:t>(V8.0.0)</w:t>
      </w:r>
      <w:r w:rsidR="00315871" w:rsidRPr="00354B5D">
        <w:fldChar w:fldCharType="begin">
          <w:fldData xml:space="preserve">PEVuZE5vdGU+PENpdGU+PEF1dGhvcj5Sb2JpbnNvbjwvQXV0aG9yPjxZZWFyPjIwMTQ8L1llYXI+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</w:fldData>
        </w:fldChar>
      </w:r>
      <w:r w:rsidR="00261C8C" w:rsidRPr="002C7B5C">
        <w:instrText xml:space="preserve"> ADDIN EN.CITE </w:instrText>
      </w:r>
      <w:r w:rsidR="00261C8C" w:rsidRPr="00354B5D">
        <w:fldChar w:fldCharType="begin">
          <w:fldData xml:space="preserve">PEVuZE5vdGU+PENpdGU+PEF1dGhvcj5Sb2JpbnNvbjwvQXV0aG9yPjxZZWFyPjIwMTQ8L1llYXI+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</w:fldData>
        </w:fldChar>
      </w:r>
      <w:r w:rsidR="00261C8C" w:rsidRPr="002C7B5C">
        <w:instrText xml:space="preserve"> ADDIN EN.CITE.DATA </w:instrText>
      </w:r>
      <w:r w:rsidR="00261C8C" w:rsidRPr="00354B5D">
        <w:fldChar w:fldCharType="end"/>
      </w:r>
      <w:r w:rsidR="00315871" w:rsidRPr="00354B5D">
        <w:fldChar w:fldCharType="separate"/>
      </w:r>
      <w:r w:rsidR="00261C8C" w:rsidRPr="002C7B5C">
        <w:rPr>
          <w:noProof/>
          <w:vertAlign w:val="superscript"/>
        </w:rPr>
        <w:t>6</w:t>
      </w:r>
      <w:r w:rsidR="00315871" w:rsidRPr="00354B5D">
        <w:fldChar w:fldCharType="end"/>
      </w:r>
      <w:r w:rsidRPr="002C7B5C">
        <w:t xml:space="preserve"> was obtained from its ftp site and then locally installed. To be consistent with the analysis on Phenoxome, same sets of paired VCF files and HPO terms were analyzed in the template of the local installation, where the variant prioritization method was set to PhenIX. </w:t>
      </w:r>
      <w:r w:rsidR="007D1A2A" w:rsidRPr="002C7B5C">
        <w:t xml:space="preserve">Input template for PhenIX was configured to mirror Phenoxome annotation and filtration strategy as much as allowed by the template. This configuration includes setting MAF filter to greater than </w:t>
      </w:r>
      <w:r w:rsidRPr="002C7B5C">
        <w:t>0.5%</w:t>
      </w:r>
      <w:r w:rsidR="007D1A2A" w:rsidRPr="002C7B5C">
        <w:t xml:space="preserve"> for </w:t>
      </w:r>
      <w:r w:rsidR="007D1A2A" w:rsidRPr="002C7B5C">
        <w:lastRenderedPageBreak/>
        <w:t>variants</w:t>
      </w:r>
      <w:r w:rsidRPr="002C7B5C">
        <w:t xml:space="preserve"> </w:t>
      </w:r>
      <w:r w:rsidR="007D1A2A" w:rsidRPr="002C7B5C">
        <w:t xml:space="preserve">with functional </w:t>
      </w:r>
      <w:r w:rsidRPr="002C7B5C">
        <w:t xml:space="preserve">impact of intergenic, intronic, upstream/downstream gene or synonymous </w:t>
      </w:r>
      <w:r w:rsidR="0054443C" w:rsidRPr="00354B5D">
        <w:rPr>
          <w:color w:val="000000" w:themeColor="text1"/>
        </w:rPr>
        <w:t>variants</w:t>
      </w:r>
      <w:r w:rsidRPr="002C7B5C">
        <w:t>. PhenIX used the template as its input parameter to generate the ranking of the variants from the input VCF file specified.</w:t>
      </w:r>
      <w:r w:rsidR="00315871" w:rsidRPr="002C7B5C">
        <w:rPr>
          <w:rStyle w:val="CommentReference"/>
          <w:sz w:val="24"/>
          <w:szCs w:val="24"/>
        </w:rPr>
        <w:t xml:space="preserve"> And the ranking of the </w:t>
      </w:r>
      <w:r w:rsidR="000C63E3" w:rsidRPr="002C7B5C">
        <w:rPr>
          <w:rStyle w:val="CommentReference"/>
          <w:sz w:val="24"/>
          <w:szCs w:val="24"/>
        </w:rPr>
        <w:t>reported variants of the samples were used in the comparison against Phenoxome.</w:t>
      </w:r>
      <w:r w:rsidR="00315871" w:rsidRPr="002C7B5C">
        <w:t xml:space="preserve"> </w:t>
      </w:r>
    </w:p>
    <w:p w14:paraId="3D9BAD0B" w14:textId="77777777" w:rsidR="00DD1F19" w:rsidRPr="002C7B5C" w:rsidRDefault="00DD1F19" w:rsidP="00DD1F19">
      <w:pPr>
        <w:spacing w:line="480" w:lineRule="auto"/>
        <w:jc w:val="both"/>
      </w:pPr>
    </w:p>
    <w:p w14:paraId="184A5AA3" w14:textId="77777777" w:rsidR="00284CCD" w:rsidRPr="002C7B5C" w:rsidRDefault="00284CCD" w:rsidP="00284CCD">
      <w:pPr>
        <w:spacing w:line="480" w:lineRule="auto"/>
        <w:jc w:val="both"/>
        <w:outlineLvl w:val="0"/>
        <w:rPr>
          <w:b/>
        </w:rPr>
      </w:pPr>
      <w:r w:rsidRPr="002C7B5C">
        <w:rPr>
          <w:b/>
        </w:rPr>
        <w:t>Composite Score Weight Factor Revisit</w:t>
      </w:r>
    </w:p>
    <w:p w14:paraId="7783D84F" w14:textId="77777777" w:rsidR="00284CCD" w:rsidRPr="002C7B5C" w:rsidRDefault="00284CCD" w:rsidP="00284CCD">
      <w:pPr>
        <w:spacing w:line="480" w:lineRule="auto"/>
        <w:jc w:val="both"/>
      </w:pPr>
    </w:p>
    <w:p w14:paraId="180E3847" w14:textId="77777777" w:rsidR="00284CCD" w:rsidRPr="002C7B5C" w:rsidRDefault="00284CCD" w:rsidP="00284CCD">
      <w:pPr>
        <w:spacing w:line="480" w:lineRule="auto"/>
        <w:jc w:val="both"/>
      </w:pPr>
      <w:r w:rsidRPr="002C7B5C">
        <w:t xml:space="preserve">The weight factor </w:t>
      </w:r>
      <m:oMath>
        <m:r>
          <w:rPr>
            <w:rFonts w:ascii="Cambria Math" w:hAnsi="Cambria Math"/>
          </w:rPr>
          <m:t>α</m:t>
        </m:r>
      </m:oMath>
      <w:r w:rsidRPr="002C7B5C">
        <w:t xml:space="preserve"> in Equation 2 was used to combine phenotypic relevance score and the variant deleteriousness score to generate an overall score for each variant, and was set to 0.8 empirically to calculate the scores and hence prioritize the variants. After benchmarking Phenoxome's performance on 105 positive clinical exomes, we re-estimated </w:t>
      </w:r>
      <m:oMath>
        <m:r>
          <w:rPr>
            <w:rFonts w:ascii="Cambria Math" w:hAnsi="Cambria Math"/>
          </w:rPr>
          <m:t>α</m:t>
        </m:r>
      </m:oMath>
      <w:r w:rsidRPr="002C7B5C">
        <w:t xml:space="preserve"> to achieve an optimal result. In practice, the higher score of the pathogenic variant generated by Equation 2, the better the rank in each case. Thus, optimizing the global ranking is correlated to maximizing the final scores of all of the pathogenic variants:</w:t>
      </w:r>
    </w:p>
    <w:p w14:paraId="7491ACB8" w14:textId="77777777" w:rsidR="00284CCD" w:rsidRPr="002C7B5C" w:rsidRDefault="00284CCD" w:rsidP="00284CCD">
      <w:pPr>
        <w:spacing w:line="480" w:lineRule="auto"/>
        <w:jc w:val="both"/>
      </w:pPr>
    </w:p>
    <w:p w14:paraId="139C0023" w14:textId="325DB180" w:rsidR="00284CCD" w:rsidRPr="002C7B5C" w:rsidRDefault="00284CCD" w:rsidP="00504AEA">
      <w:pPr>
        <w:spacing w:line="480" w:lineRule="auto"/>
        <w:ind w:left="270"/>
        <w:jc w:val="right"/>
      </w:pPr>
      <m:oMath>
        <m:r>
          <w:rPr>
            <w:rFonts w:ascii="Cambria Math" w:hAnsi="Cambria Math"/>
          </w:rPr>
          <m:t xml:space="preserve">argmax h(α,v)= </m:t>
        </m:r>
        <m:nary>
          <m:naryPr>
            <m:chr m:val="∑"/>
            <m:limLoc m:val="undOvr"/>
            <m:supHide m:val="1"/>
            <m:ctrlPr>
              <w:rPr>
                <w:rFonts w:ascii="Cambria Math" w:hAnsi="Cambria Math"/>
                <w:i/>
              </w:rPr>
            </m:ctrlPr>
          </m:naryPr>
          <m:sub>
            <m:r>
              <w:rPr>
                <w:rFonts w:ascii="Cambria Math" w:hAnsi="Cambria Math"/>
              </w:rPr>
              <m:t>i</m:t>
            </m:r>
          </m:sub>
          <m:sup/>
          <m:e>
            <m:r>
              <w:rPr>
                <w:rFonts w:ascii="Cambria Math" w:hAnsi="Cambria Math"/>
              </w:rPr>
              <m:t>s(α,</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i</m:t>
                </m:r>
              </m:sub>
              <m:sup/>
              <m:e>
                <m:r>
                  <w:rPr>
                    <w:rFonts w:ascii="Cambria Math" w:hAnsi="Cambria Math"/>
                  </w:rPr>
                  <m:t>(α</m:t>
                </m:r>
                <m:sSubSup>
                  <m:sSubSupPr>
                    <m:ctrlPr>
                      <w:rPr>
                        <w:rFonts w:ascii="Cambria Math" w:hAnsi="Cambria Math"/>
                        <w:i/>
                      </w:rPr>
                    </m:ctrlPr>
                  </m:sSubSupPr>
                  <m:e>
                    <m:r>
                      <w:rPr>
                        <w:rFonts w:ascii="Cambria Math" w:hAnsi="Cambria Math"/>
                      </w:rPr>
                      <m:t>v</m:t>
                    </m:r>
                  </m:e>
                  <m:sub>
                    <m:r>
                      <w:rPr>
                        <w:rFonts w:ascii="Cambria Math" w:hAnsi="Cambria Math"/>
                      </w:rPr>
                      <m:t>i</m:t>
                    </m:r>
                  </m:sub>
                  <m:sup>
                    <m:r>
                      <w:rPr>
                        <w:rFonts w:ascii="Cambria Math" w:hAnsi="Cambria Math"/>
                      </w:rPr>
                      <m:t>pheno</m:t>
                    </m:r>
                  </m:sup>
                </m:sSubSup>
                <m:r>
                  <w:rPr>
                    <w:rFonts w:ascii="Cambria Math" w:hAnsi="Cambria Math"/>
                  </w:rPr>
                  <m:t>+(1-α)</m:t>
                </m:r>
                <m:sSubSup>
                  <m:sSubSupPr>
                    <m:ctrlPr>
                      <w:rPr>
                        <w:rFonts w:ascii="Cambria Math" w:hAnsi="Cambria Math"/>
                        <w:i/>
                      </w:rPr>
                    </m:ctrlPr>
                  </m:sSubSupPr>
                  <m:e>
                    <m:r>
                      <w:rPr>
                        <w:rFonts w:ascii="Cambria Math" w:hAnsi="Cambria Math"/>
                      </w:rPr>
                      <m:t>v</m:t>
                    </m:r>
                  </m:e>
                  <m:sub>
                    <m:r>
                      <w:rPr>
                        <w:rFonts w:ascii="Cambria Math" w:hAnsi="Cambria Math"/>
                      </w:rPr>
                      <m:t>i</m:t>
                    </m:r>
                  </m:sub>
                  <m:sup>
                    <m:r>
                      <w:rPr>
                        <w:rFonts w:ascii="Cambria Math" w:hAnsi="Cambria Math"/>
                      </w:rPr>
                      <m:t>del</m:t>
                    </m:r>
                  </m:sup>
                </m:sSubSup>
              </m:e>
            </m:nary>
          </m:e>
        </m:nary>
        <m:r>
          <w:rPr>
            <w:rFonts w:ascii="Cambria Math" w:hAnsi="Cambria Math"/>
          </w:rPr>
          <m:t xml:space="preserve"> )</m:t>
        </m:r>
      </m:oMath>
      <w:r w:rsidRPr="002C7B5C">
        <w:t xml:space="preserve"> </w:t>
      </w:r>
      <w:r w:rsidRPr="002C7B5C">
        <w:tab/>
      </w:r>
      <w:r w:rsidR="00504AEA" w:rsidRPr="002C7B5C">
        <w:t xml:space="preserve">     </w:t>
      </w:r>
      <w:r w:rsidRPr="002C7B5C">
        <w:t>(Equation S1)</w:t>
      </w:r>
    </w:p>
    <w:p w14:paraId="62BE0AC4" w14:textId="77777777" w:rsidR="00284CCD" w:rsidRPr="002C7B5C" w:rsidRDefault="00284CCD" w:rsidP="00284CCD">
      <w:pPr>
        <w:spacing w:line="480" w:lineRule="auto"/>
        <w:jc w:val="both"/>
      </w:pPr>
    </w:p>
    <w:p w14:paraId="2FAFE90E" w14:textId="77777777" w:rsidR="00284CCD" w:rsidRPr="002C7B5C" w:rsidRDefault="00284CCD" w:rsidP="00284CCD">
      <w:pPr>
        <w:spacing w:line="480" w:lineRule="auto"/>
        <w:jc w:val="both"/>
      </w:pPr>
      <w:r w:rsidRPr="002C7B5C">
        <w:t xml:space="preserve">where </w:t>
      </w:r>
      <m:oMath>
        <m:r>
          <w:rPr>
            <w:rFonts w:ascii="Cambria Math" w:hAnsi="Cambria Math"/>
          </w:rPr>
          <m:t>s(α,</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oMath>
      <w:r w:rsidRPr="002C7B5C">
        <w:t xml:space="preserve"> is Equation 2 for each case </w:t>
      </w:r>
      <m:oMath>
        <m:r>
          <w:rPr>
            <w:rFonts w:ascii="Cambria Math" w:hAnsi="Cambria Math"/>
          </w:rPr>
          <m:t>i</m:t>
        </m:r>
      </m:oMath>
      <w:r w:rsidRPr="002C7B5C">
        <w:t xml:space="preserve"> in the cohort, </w:t>
      </w:r>
      <m:oMath>
        <m:sSup>
          <m:sSupPr>
            <m:ctrlPr>
              <w:rPr>
                <w:rFonts w:ascii="Cambria Math" w:hAnsi="Cambria Math"/>
                <w:i/>
              </w:rPr>
            </m:ctrlPr>
          </m:sSupPr>
          <m:e>
            <m:r>
              <w:rPr>
                <w:rFonts w:ascii="Cambria Math" w:hAnsi="Cambria Math"/>
              </w:rPr>
              <m:t>v</m:t>
            </m:r>
          </m:e>
          <m:sup>
            <m:r>
              <w:rPr>
                <w:rFonts w:ascii="Cambria Math" w:hAnsi="Cambria Math"/>
              </w:rPr>
              <m:t>pheno</m:t>
            </m:r>
          </m:sup>
        </m:sSup>
      </m:oMath>
      <w:r w:rsidRPr="002C7B5C">
        <w:t xml:space="preserve"> is the phenotypic relevance score of the pathogenic variant, </w:t>
      </w:r>
      <m:oMath>
        <m:sSup>
          <m:sSupPr>
            <m:ctrlPr>
              <w:rPr>
                <w:rFonts w:ascii="Cambria Math" w:hAnsi="Cambria Math"/>
                <w:i/>
              </w:rPr>
            </m:ctrlPr>
          </m:sSupPr>
          <m:e>
            <m:r>
              <w:rPr>
                <w:rFonts w:ascii="Cambria Math" w:hAnsi="Cambria Math"/>
              </w:rPr>
              <m:t>v</m:t>
            </m:r>
          </m:e>
          <m:sup>
            <m:r>
              <w:rPr>
                <w:rFonts w:ascii="Cambria Math" w:hAnsi="Cambria Math"/>
              </w:rPr>
              <m:t>del</m:t>
            </m:r>
          </m:sup>
        </m:sSup>
      </m:oMath>
      <w:r w:rsidRPr="002C7B5C">
        <w:t xml:space="preserve"> is the variant deleteriousness score and </w:t>
      </w:r>
      <m:oMath>
        <m:r>
          <w:rPr>
            <w:rFonts w:ascii="Cambria Math" w:hAnsi="Cambria Math"/>
          </w:rPr>
          <m:t>α</m:t>
        </m:r>
        <m:r>
          <w:rPr>
            <w:rFonts w:ascii="Cambria Math" w:hAnsi="Cambria Math" w:hint="eastAsia"/>
          </w:rPr>
          <m:t>∈</m:t>
        </m:r>
        <m:r>
          <w:rPr>
            <w:rFonts w:ascii="Cambria Math" w:hAnsi="Cambria Math"/>
          </w:rPr>
          <m:t>(0,1)</m:t>
        </m:r>
      </m:oMath>
      <w:r w:rsidRPr="002C7B5C">
        <w:t xml:space="preserve">. Then, </w:t>
      </w:r>
    </w:p>
    <w:p w14:paraId="0A8C8E7D" w14:textId="77777777" w:rsidR="00284CCD" w:rsidRPr="002C7B5C" w:rsidRDefault="00284CCD" w:rsidP="00284CCD">
      <w:pPr>
        <w:spacing w:line="480" w:lineRule="auto"/>
        <w:jc w:val="both"/>
      </w:pPr>
    </w:p>
    <w:p w14:paraId="4D430110" w14:textId="77777777" w:rsidR="00284CCD" w:rsidRPr="002C7B5C" w:rsidRDefault="00354B5D" w:rsidP="00284CCD">
      <w:pPr>
        <w:spacing w:line="480" w:lineRule="auto"/>
        <w:jc w:val="right"/>
      </w:pPr>
      <m:oMath>
        <m:f>
          <m:fPr>
            <m:ctrlPr>
              <w:rPr>
                <w:rFonts w:ascii="Cambria Math" w:hAnsi="Cambria Math"/>
                <w:i/>
              </w:rPr>
            </m:ctrlPr>
          </m:fPr>
          <m:num>
            <m:r>
              <m:rPr>
                <m:sty m:val="p"/>
              </m:rPr>
              <w:rPr>
                <w:rFonts w:ascii="Cambria Math" w:hAnsi="Cambria Math" w:hint="eastAsia"/>
              </w:rPr>
              <m:t>∇</m:t>
            </m:r>
            <m:r>
              <w:rPr>
                <w:rFonts w:ascii="Cambria Math" w:hAnsi="Cambria Math"/>
              </w:rPr>
              <m:t>h(α,v)</m:t>
            </m:r>
          </m:num>
          <m:den>
            <m:r>
              <m:rPr>
                <m:sty m:val="p"/>
              </m:rPr>
              <w:rPr>
                <w:rFonts w:ascii="Cambria Math" w:hAnsi="Cambria Math" w:hint="eastAsia"/>
              </w:rPr>
              <m:t>∇</m:t>
            </m:r>
            <m:r>
              <w:rPr>
                <w:rFonts w:ascii="Cambria Math" w:hAnsi="Cambria Math"/>
              </w:rPr>
              <m:t>α</m:t>
            </m:r>
          </m:den>
        </m:f>
        <m:r>
          <w:rPr>
            <w:rFonts w:ascii="Cambria Math" w:hAnsi="Cambria Math"/>
          </w:rPr>
          <m:t>=</m:t>
        </m:r>
        <m:nary>
          <m:naryPr>
            <m:chr m:val="∑"/>
            <m:limLoc m:val="undOvr"/>
            <m:supHide m:val="1"/>
            <m:ctrlPr>
              <w:rPr>
                <w:rFonts w:ascii="Cambria Math" w:hAnsi="Cambria Math"/>
                <w:i/>
              </w:rPr>
            </m:ctrlPr>
          </m:naryPr>
          <m:sub>
            <m:r>
              <w:rPr>
                <w:rFonts w:ascii="Cambria Math" w:hAnsi="Cambria Math"/>
              </w:rPr>
              <m:t>i</m:t>
            </m:r>
          </m:sub>
          <m:sup/>
          <m:e>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i</m:t>
                </m:r>
              </m:sub>
              <m:sup>
                <m:r>
                  <w:rPr>
                    <w:rFonts w:ascii="Cambria Math" w:hAnsi="Cambria Math"/>
                  </w:rPr>
                  <m:t>pheno</m:t>
                </m:r>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i</m:t>
                </m:r>
              </m:sub>
              <m:sup>
                <m:r>
                  <w:rPr>
                    <w:rFonts w:ascii="Cambria Math" w:hAnsi="Cambria Math"/>
                  </w:rPr>
                  <m:t>del</m:t>
                </m:r>
              </m:sup>
            </m:sSubSup>
            <m:r>
              <w:rPr>
                <w:rFonts w:ascii="Cambria Math" w:hAnsi="Cambria Math"/>
              </w:rPr>
              <m:t>)</m:t>
            </m:r>
          </m:e>
        </m:nary>
      </m:oMath>
      <w:r w:rsidR="00284CCD" w:rsidRPr="002C7B5C">
        <w:t xml:space="preserve"> </w:t>
      </w:r>
      <w:r w:rsidR="00284CCD" w:rsidRPr="002C7B5C">
        <w:tab/>
      </w:r>
      <w:r w:rsidR="00284CCD" w:rsidRPr="002C7B5C">
        <w:tab/>
      </w:r>
      <w:r w:rsidR="00284CCD" w:rsidRPr="002C7B5C">
        <w:tab/>
      </w:r>
      <w:r w:rsidR="00284CCD" w:rsidRPr="002C7B5C">
        <w:tab/>
        <w:t>(Equation S2)</w:t>
      </w:r>
    </w:p>
    <w:p w14:paraId="1E8CB0BC" w14:textId="77777777" w:rsidR="00284CCD" w:rsidRPr="002C7B5C" w:rsidRDefault="00284CCD" w:rsidP="00284CCD">
      <w:pPr>
        <w:spacing w:line="480" w:lineRule="auto"/>
        <w:jc w:val="right"/>
      </w:pPr>
    </w:p>
    <w:p w14:paraId="1664E1AF" w14:textId="41C64321" w:rsidR="00284CCD" w:rsidRPr="002C7B5C" w:rsidRDefault="00284CCD" w:rsidP="00284CCD">
      <w:pPr>
        <w:spacing w:line="480" w:lineRule="auto"/>
        <w:jc w:val="both"/>
      </w:pPr>
      <w:r w:rsidRPr="002C7B5C">
        <w:t xml:space="preserve">The gradient suggests that </w:t>
      </w:r>
      <m:oMath>
        <m:r>
          <w:rPr>
            <w:rFonts w:ascii="Cambria Math" w:hAnsi="Cambria Math"/>
          </w:rPr>
          <m:t>h(α,v)</m:t>
        </m:r>
      </m:oMath>
      <w:r w:rsidRPr="002C7B5C">
        <w:t xml:space="preserve"> is maximized when </w:t>
      </w:r>
      <m:oMath>
        <m:r>
          <w:rPr>
            <w:rFonts w:ascii="Cambria Math" w:hAnsi="Cambria Math"/>
          </w:rPr>
          <m:t>α</m:t>
        </m:r>
      </m:oMath>
      <w:r w:rsidRPr="002C7B5C">
        <w:t xml:space="preserve"> is close to 1. In practice, little gain was observed in the 95 clinical samples where the pathogenic genes were in the PGP when </w:t>
      </w:r>
      <m:oMath>
        <m:r>
          <w:rPr>
            <w:rFonts w:ascii="Cambria Math" w:hAnsi="Cambria Math"/>
          </w:rPr>
          <m:t>α</m:t>
        </m:r>
      </m:oMath>
      <w:r w:rsidRPr="002C7B5C">
        <w:t xml:space="preserve"> was set to 1. However, completely eliminating the variant deleterious score from Equation 2 will substantially deteriorate the ranking performance of Phenoxome on those ten pathogenic variants whose genes were not in PGP. </w:t>
      </w:r>
    </w:p>
    <w:p w14:paraId="609659B8" w14:textId="2A3E7C04" w:rsidR="00E56FA8" w:rsidRPr="002C7B5C" w:rsidRDefault="009071C8" w:rsidP="0088745D">
      <w:pPr>
        <w:spacing w:line="480" w:lineRule="auto"/>
        <w:jc w:val="both"/>
      </w:pPr>
      <w:r w:rsidRPr="002C7B5C">
        <w:t>Furthermore</w:t>
      </w:r>
      <w:r w:rsidR="00E56FA8" w:rsidRPr="002C7B5C">
        <w:t xml:space="preserve">, we </w:t>
      </w:r>
      <w:r w:rsidRPr="002C7B5C">
        <w:t xml:space="preserve">benchmarked the performance of Phenoxome using </w:t>
      </w:r>
      <w:r w:rsidR="00E56FA8" w:rsidRPr="002C7B5C">
        <w:t>a</w:t>
      </w:r>
      <w:r w:rsidRPr="002C7B5C">
        <w:t>ll of the clinical samples in</w:t>
      </w:r>
      <w:r w:rsidR="00E56FA8" w:rsidRPr="002C7B5C">
        <w:t xml:space="preserve"> two additional configurations</w:t>
      </w:r>
      <w:r w:rsidR="00165DEA" w:rsidRPr="002C7B5C">
        <w:t xml:space="preserve"> (</w:t>
      </w:r>
      <m:oMath>
        <m:r>
          <w:rPr>
            <w:rFonts w:ascii="Cambria Math" w:hAnsi="Cambria Math"/>
          </w:rPr>
          <m:t>α=0.7</m:t>
        </m:r>
      </m:oMath>
      <w:r w:rsidR="00165DEA" w:rsidRPr="002C7B5C">
        <w:t xml:space="preserve"> and </w:t>
      </w:r>
      <m:oMath>
        <m:r>
          <w:rPr>
            <w:rFonts w:ascii="Cambria Math" w:hAnsi="Cambria Math"/>
          </w:rPr>
          <m:t>α=0.9</m:t>
        </m:r>
      </m:oMath>
      <w:r w:rsidR="00165DEA" w:rsidRPr="002C7B5C">
        <w:t>)</w:t>
      </w:r>
      <w:r w:rsidR="00E56FA8" w:rsidRPr="002C7B5C">
        <w:t xml:space="preserve"> to </w:t>
      </w:r>
      <w:r w:rsidR="00165DEA" w:rsidRPr="002C7B5C">
        <w:t xml:space="preserve">better estimate the optimal value of </w:t>
      </w:r>
      <m:oMath>
        <m:r>
          <w:rPr>
            <w:rFonts w:ascii="Cambria Math" w:hAnsi="Cambria Math"/>
          </w:rPr>
          <m:t>α</m:t>
        </m:r>
      </m:oMath>
      <w:r w:rsidR="00E56FA8" w:rsidRPr="002C7B5C">
        <w:t>.</w:t>
      </w:r>
      <w:r w:rsidR="00B22E03" w:rsidRPr="002C7B5C">
        <w:t xml:space="preserve"> </w:t>
      </w:r>
      <w:r w:rsidR="0024332A" w:rsidRPr="002C7B5C">
        <w:t>Since</w:t>
      </w:r>
      <w:r w:rsidR="00B22E03" w:rsidRPr="002C7B5C">
        <w:t xml:space="preserve"> Phenoxome is a phenotype-driven method, </w:t>
      </w:r>
      <m:oMath>
        <m:r>
          <w:rPr>
            <w:rFonts w:ascii="Cambria Math" w:hAnsi="Cambria Math"/>
          </w:rPr>
          <m:t>α&lt;0.5</m:t>
        </m:r>
      </m:oMath>
      <w:r w:rsidR="00E56FA8" w:rsidRPr="002C7B5C">
        <w:t xml:space="preserve"> </w:t>
      </w:r>
      <w:r w:rsidR="00B22E03" w:rsidRPr="002C7B5C">
        <w:t xml:space="preserve">was not considered. </w:t>
      </w:r>
      <w:r w:rsidR="00E56FA8" w:rsidRPr="002C7B5C">
        <w:t>ROC curves were plotted based upon the ranking</w:t>
      </w:r>
      <w:r w:rsidR="000575E2" w:rsidRPr="002C7B5C">
        <w:t>s</w:t>
      </w:r>
      <w:r w:rsidR="00E56FA8" w:rsidRPr="002C7B5C">
        <w:t xml:space="preserve"> of the pathogenic vari</w:t>
      </w:r>
      <w:r w:rsidR="000575E2" w:rsidRPr="002C7B5C">
        <w:t>ants of each individual samples</w:t>
      </w:r>
      <w:r w:rsidR="002C09FB" w:rsidRPr="002C7B5C">
        <w:t xml:space="preserve"> (Figure S4)</w:t>
      </w:r>
      <w:r w:rsidR="000575E2" w:rsidRPr="002C7B5C">
        <w:t>.</w:t>
      </w:r>
      <w:r w:rsidR="00E56FA8" w:rsidRPr="002C7B5C">
        <w:t xml:space="preserve"> </w:t>
      </w:r>
      <w:r w:rsidR="000575E2" w:rsidRPr="002C7B5C">
        <w:t>The</w:t>
      </w:r>
      <w:r w:rsidRPr="002C7B5C">
        <w:t xml:space="preserve"> area under curve (AUC) score</w:t>
      </w:r>
      <w:r w:rsidR="00E56FA8" w:rsidRPr="002C7B5C">
        <w:t xml:space="preserve">s were then calculated </w:t>
      </w:r>
      <w:r w:rsidR="00201417" w:rsidRPr="002C7B5C">
        <w:t>accordingly</w:t>
      </w:r>
      <w:r w:rsidR="00E56FA8" w:rsidRPr="002C7B5C">
        <w:t xml:space="preserve">. </w:t>
      </w:r>
      <w:r w:rsidR="00201417" w:rsidRPr="002C7B5C">
        <w:t xml:space="preserve">While the AUC </w:t>
      </w:r>
      <w:r w:rsidRPr="002C7B5C">
        <w:t xml:space="preserve">score </w:t>
      </w:r>
      <w:r w:rsidR="00201417" w:rsidRPr="002C7B5C">
        <w:t>of the original configuration (</w:t>
      </w:r>
      <m:oMath>
        <m:r>
          <w:rPr>
            <w:rFonts w:ascii="Cambria Math" w:hAnsi="Cambria Math"/>
          </w:rPr>
          <m:t>α=0.8</m:t>
        </m:r>
      </m:oMath>
      <w:r w:rsidR="00201417" w:rsidRPr="002C7B5C">
        <w:t>) wa</w:t>
      </w:r>
      <w:r w:rsidR="005C63F1" w:rsidRPr="002C7B5C">
        <w:t>s 0.984</w:t>
      </w:r>
      <w:r w:rsidR="00201417" w:rsidRPr="002C7B5C">
        <w:t xml:space="preserve">, </w:t>
      </w:r>
      <w:r w:rsidRPr="002C7B5C">
        <w:t>the respective AUC scores</w:t>
      </w:r>
      <w:r w:rsidR="00201417" w:rsidRPr="002C7B5C">
        <w:t xml:space="preserve"> </w:t>
      </w:r>
      <w:r w:rsidR="003C1482" w:rsidRPr="002C7B5C">
        <w:t xml:space="preserve">for the other two configurations </w:t>
      </w:r>
      <w:r w:rsidR="00201417" w:rsidRPr="002C7B5C">
        <w:t>were 0.981 (</w:t>
      </w:r>
      <m:oMath>
        <m:r>
          <w:rPr>
            <w:rFonts w:ascii="Cambria Math" w:hAnsi="Cambria Math"/>
          </w:rPr>
          <m:t>α=0.7</m:t>
        </m:r>
      </m:oMath>
      <w:r w:rsidR="00201417" w:rsidRPr="002C7B5C">
        <w:t>)</w:t>
      </w:r>
      <w:r w:rsidR="002C09FB" w:rsidRPr="002C7B5C">
        <w:t xml:space="preserve"> and</w:t>
      </w:r>
      <w:r w:rsidR="00201417" w:rsidRPr="002C7B5C">
        <w:t xml:space="preserve"> 0.982 (</w:t>
      </w:r>
      <m:oMath>
        <m:r>
          <w:rPr>
            <w:rFonts w:ascii="Cambria Math" w:hAnsi="Cambria Math"/>
          </w:rPr>
          <m:t>α=0.9</m:t>
        </m:r>
      </m:oMath>
      <w:r w:rsidR="00201417" w:rsidRPr="002C7B5C">
        <w:t xml:space="preserve">). </w:t>
      </w:r>
      <w:r w:rsidR="000575E2" w:rsidRPr="002C7B5C">
        <w:t xml:space="preserve">The </w:t>
      </w:r>
      <w:r w:rsidRPr="002C7B5C">
        <w:t>benchmarking</w:t>
      </w:r>
      <w:r w:rsidR="000575E2" w:rsidRPr="002C7B5C">
        <w:t xml:space="preserve"> </w:t>
      </w:r>
      <w:r w:rsidR="00E56FA8" w:rsidRPr="002C7B5C">
        <w:t xml:space="preserve">of the three </w:t>
      </w:r>
      <w:r w:rsidR="000575E2" w:rsidRPr="002C7B5C">
        <w:t xml:space="preserve">configurations </w:t>
      </w:r>
      <w:r w:rsidR="00EC6F69" w:rsidRPr="002C7B5C">
        <w:t>indicated</w:t>
      </w:r>
      <w:r w:rsidR="000575E2" w:rsidRPr="002C7B5C">
        <w:t xml:space="preserve"> </w:t>
      </w:r>
      <w:r w:rsidR="002C09FB" w:rsidRPr="002C7B5C">
        <w:t xml:space="preserve">comparable performances while the original setting </w:t>
      </w:r>
      <w:r w:rsidR="00A12708" w:rsidRPr="002C7B5C">
        <w:t>demonstrated a marginal</w:t>
      </w:r>
      <w:r w:rsidR="002C09FB" w:rsidRPr="002C7B5C">
        <w:t xml:space="preserve"> advantage</w:t>
      </w:r>
      <w:r w:rsidRPr="002C7B5C">
        <w:t xml:space="preserve">. Therefore, we decide to continue to use </w:t>
      </w:r>
      <m:oMath>
        <m:r>
          <w:rPr>
            <w:rFonts w:ascii="Cambria Math" w:hAnsi="Cambria Math"/>
          </w:rPr>
          <m:t>α=0.8</m:t>
        </m:r>
      </m:oMath>
      <w:r w:rsidRPr="002C7B5C">
        <w:t xml:space="preserve"> in Equation 2</w:t>
      </w:r>
      <w:r w:rsidR="003808A7" w:rsidRPr="002C7B5C">
        <w:t xml:space="preserve">. </w:t>
      </w:r>
      <w:r w:rsidR="0088745D" w:rsidRPr="002C7B5C">
        <w:t xml:space="preserve">Further optimization of </w:t>
      </w:r>
      <m:oMath>
        <m:r>
          <w:rPr>
            <w:rFonts w:ascii="Cambria Math" w:hAnsi="Cambria Math"/>
          </w:rPr>
          <m:t>α</m:t>
        </m:r>
      </m:oMath>
      <w:r w:rsidR="0088745D" w:rsidRPr="002C7B5C">
        <w:t xml:space="preserve"> would require additional data from multiple laboratories to prevent overfitting the model.</w:t>
      </w:r>
      <w:r w:rsidR="0088745D" w:rsidRPr="002C7B5C" w:rsidDel="003808A7">
        <w:t xml:space="preserve"> </w:t>
      </w:r>
    </w:p>
    <w:p w14:paraId="21A806D9" w14:textId="77777777" w:rsidR="000C63E3" w:rsidRPr="002C7B5C" w:rsidRDefault="000C63E3" w:rsidP="00284CCD">
      <w:pPr>
        <w:spacing w:line="480" w:lineRule="auto"/>
        <w:jc w:val="both"/>
      </w:pPr>
    </w:p>
    <w:p w14:paraId="461B65C9" w14:textId="1C9AB021" w:rsidR="000C63E3" w:rsidRPr="002C7B5C" w:rsidRDefault="000C63E3" w:rsidP="00284CCD">
      <w:pPr>
        <w:spacing w:line="480" w:lineRule="auto"/>
        <w:jc w:val="both"/>
        <w:rPr>
          <w:b/>
        </w:rPr>
      </w:pPr>
      <w:r w:rsidRPr="002C7B5C">
        <w:rPr>
          <w:b/>
        </w:rPr>
        <w:t>Phenoxome Application</w:t>
      </w:r>
      <w:r w:rsidR="00E00930" w:rsidRPr="002C7B5C">
        <w:rPr>
          <w:b/>
        </w:rPr>
        <w:t>s</w:t>
      </w:r>
    </w:p>
    <w:p w14:paraId="6D8C9EDB" w14:textId="77777777" w:rsidR="000C63E3" w:rsidRPr="002C7B5C" w:rsidRDefault="000C63E3" w:rsidP="00284CCD">
      <w:pPr>
        <w:spacing w:line="480" w:lineRule="auto"/>
        <w:jc w:val="both"/>
      </w:pPr>
    </w:p>
    <w:p w14:paraId="29C27CCF" w14:textId="67EA8711" w:rsidR="00D87818" w:rsidRPr="002C7B5C" w:rsidRDefault="000C63E3" w:rsidP="00354B5D">
      <w:pPr>
        <w:spacing w:line="480" w:lineRule="auto"/>
        <w:jc w:val="both"/>
      </w:pPr>
      <w:r w:rsidRPr="002C7B5C">
        <w:t>The methods described in this paper have been implemented as a web application</w:t>
      </w:r>
      <w:r w:rsidRPr="002C7B5C">
        <w:rPr>
          <w:rFonts w:eastAsia="Times New Roman" w:cs="Times New Roman"/>
          <w:color w:val="000000"/>
          <w:shd w:val="clear" w:color="auto" w:fill="FFFFFF"/>
        </w:rPr>
        <w:t xml:space="preserve">. The HPO annotations are updated on a monthly basis, and the web application is </w:t>
      </w:r>
      <w:r w:rsidRPr="002C7B5C">
        <w:rPr>
          <w:rFonts w:eastAsia="Times New Roman" w:cs="Times New Roman"/>
          <w:color w:val="000000"/>
          <w:shd w:val="clear" w:color="auto" w:fill="FFFFFF"/>
        </w:rPr>
        <w:lastRenderedPageBreak/>
        <w:t>publicly available at https://phenoxome.chop.edu. The web application utilizes the public version HGMD obtained through Ensembl annotation system (v91)</w:t>
      </w:r>
      <w:r w:rsidRPr="00354B5D">
        <w:rPr>
          <w:rFonts w:eastAsia="Times New Roman" w:cs="Times New Roman"/>
          <w:color w:val="000000"/>
          <w:shd w:val="clear" w:color="auto" w:fill="FFFFFF"/>
        </w:rPr>
        <w:fldChar w:fldCharType="begin"/>
      </w:r>
      <w:r w:rsidR="00261C8C" w:rsidRPr="002C7B5C">
        <w:rPr>
          <w:rFonts w:eastAsia="Times New Roman" w:cs="Times New Roman"/>
          <w:color w:val="000000"/>
          <w:shd w:val="clear" w:color="auto" w:fill="FFFFFF"/>
        </w:rPr>
        <w:instrText xml:space="preserve"> ADDIN EN.CITE &lt;EndNote&gt;&lt;Cite&gt;&lt;Author&gt;Aken&lt;/Author&gt;&lt;Year&gt;2016&lt;/Year&gt;&lt;RecNum&gt;60&lt;/RecNum&gt;&lt;DisplayText&gt;&lt;style face="superscript"&gt;7&lt;/style&gt;&lt;/DisplayText&gt;&lt;record&gt;&lt;rec-number&gt;60&lt;/rec-number&gt;&lt;foreign-keys&gt;&lt;key app="EN" db-id="d2d0pa2zu5f92se5adzx595yxz2wxfst92p5" timestamp="1511368362"&gt;60&lt;/key&gt;&lt;/foreign-keys&gt;&lt;ref-type name="Journal Article"&gt;17&lt;/ref-type&gt;&lt;contributors&gt;&lt;authors&gt;&lt;author&gt;Aken, Bronwen L&lt;/author&gt;&lt;author&gt;Ayling, Sarah&lt;/author&gt;&lt;author&gt;Barrell, Daniel&lt;/author&gt;&lt;author&gt;Clarke, Laura&lt;/author&gt;&lt;author&gt;Curwen, Valery&lt;/author&gt;&lt;author&gt;Fairley, Susan&lt;/author&gt;&lt;author&gt;Fernandez Banet, Julio&lt;/author&gt;&lt;author&gt;Billis, Konstantinos&lt;/author&gt;&lt;author&gt;García Girón, Carlos&lt;/author&gt;&lt;author&gt;Hourlier, Thibaut&lt;/author&gt;&lt;/authors&gt;&lt;/contributors&gt;&lt;titles&gt;&lt;title&gt;The Ensembl gene annotation system&lt;/title&gt;&lt;secondary-title&gt;Database&lt;/secondary-title&gt;&lt;/titles&gt;&lt;periodical&gt;&lt;full-title&gt;Database&lt;/full-title&gt;&lt;/periodical&gt;&lt;volume&gt;2016&lt;/volume&gt;&lt;dates&gt;&lt;year&gt;2016&lt;/year&gt;&lt;/dates&gt;&lt;urls&gt;&lt;/urls&gt;&lt;/record&gt;&lt;/Cite&gt;&lt;/EndNote&gt;</w:instrText>
      </w:r>
      <w:r w:rsidRPr="00354B5D">
        <w:rPr>
          <w:rFonts w:eastAsia="Times New Roman" w:cs="Times New Roman"/>
          <w:color w:val="000000"/>
          <w:shd w:val="clear" w:color="auto" w:fill="FFFFFF"/>
        </w:rPr>
        <w:fldChar w:fldCharType="separate"/>
      </w:r>
      <w:r w:rsidR="00261C8C" w:rsidRPr="002C7B5C">
        <w:rPr>
          <w:rFonts w:eastAsia="Times New Roman" w:cs="Times New Roman"/>
          <w:noProof/>
          <w:color w:val="000000"/>
          <w:shd w:val="clear" w:color="auto" w:fill="FFFFFF"/>
          <w:vertAlign w:val="superscript"/>
        </w:rPr>
        <w:t>7</w:t>
      </w:r>
      <w:r w:rsidRPr="00354B5D">
        <w:rPr>
          <w:rFonts w:eastAsia="Times New Roman" w:cs="Times New Roman"/>
          <w:color w:val="000000"/>
          <w:shd w:val="clear" w:color="auto" w:fill="FFFFFF"/>
        </w:rPr>
        <w:fldChar w:fldCharType="end"/>
      </w:r>
      <w:r w:rsidRPr="002C7B5C">
        <w:rPr>
          <w:rFonts w:eastAsia="Times New Roman" w:cs="Times New Roman"/>
          <w:color w:val="000000"/>
          <w:shd w:val="clear" w:color="auto" w:fill="FFFFFF"/>
        </w:rPr>
        <w:t>. To allow Phenoxome to run in a reasonable time frame (~4 to 10 min) and with a limited memory, we limit the size of input VCF file to 10 MB.</w:t>
      </w:r>
      <w:r w:rsidR="00E00930" w:rsidRPr="002C7B5C">
        <w:rPr>
          <w:rFonts w:eastAsia="Times New Roman" w:cs="Times New Roman"/>
          <w:color w:val="000000"/>
          <w:shd w:val="clear" w:color="auto" w:fill="FFFFFF"/>
        </w:rPr>
        <w:t xml:space="preserve"> A standalone version of the Phenoxome executable is packaged in a docker container and is available </w:t>
      </w:r>
      <w:r w:rsidR="00BB52AB" w:rsidRPr="002C7B5C">
        <w:rPr>
          <w:rFonts w:eastAsia="Times New Roman" w:cs="Times New Roman"/>
          <w:color w:val="000000"/>
          <w:shd w:val="clear" w:color="auto" w:fill="FFFFFF"/>
        </w:rPr>
        <w:t xml:space="preserve">for download </w:t>
      </w:r>
      <w:r w:rsidR="00E00930" w:rsidRPr="002C7B5C">
        <w:rPr>
          <w:rFonts w:eastAsia="Times New Roman" w:cs="Times New Roman"/>
          <w:color w:val="000000"/>
          <w:shd w:val="clear" w:color="auto" w:fill="FFFFFF"/>
        </w:rPr>
        <w:t>at: https://hub.docker.com/r/samesense/phenoxome/.</w:t>
      </w:r>
    </w:p>
    <w:p w14:paraId="600733ED" w14:textId="77777777" w:rsidR="00D87818" w:rsidRPr="002C7B5C" w:rsidRDefault="00D87818" w:rsidP="00DD1F19">
      <w:pPr>
        <w:spacing w:line="480" w:lineRule="auto"/>
      </w:pPr>
    </w:p>
    <w:p w14:paraId="6D67F0EF" w14:textId="77777777" w:rsidR="00261C8C" w:rsidRPr="002C7B5C" w:rsidRDefault="00D87818" w:rsidP="00354B5D">
      <w:pPr>
        <w:pStyle w:val="EndNoteBibliography"/>
        <w:spacing w:line="480" w:lineRule="auto"/>
        <w:ind w:left="720" w:hanging="720"/>
        <w:rPr>
          <w:noProof/>
        </w:rPr>
      </w:pPr>
      <w:r w:rsidRPr="00354B5D">
        <w:fldChar w:fldCharType="begin"/>
      </w:r>
      <w:r w:rsidRPr="002C7B5C">
        <w:instrText xml:space="preserve"> ADDIN EN.REFLIST </w:instrText>
      </w:r>
      <w:r w:rsidRPr="00354B5D">
        <w:fldChar w:fldCharType="separate"/>
      </w:r>
      <w:r w:rsidR="00261C8C" w:rsidRPr="002C7B5C">
        <w:rPr>
          <w:noProof/>
        </w:rPr>
        <w:t>1.</w:t>
      </w:r>
      <w:r w:rsidR="00261C8C" w:rsidRPr="002C7B5C">
        <w:rPr>
          <w:noProof/>
        </w:rPr>
        <w:tab/>
        <w:t xml:space="preserve">Greene, D., BioResource, N., Richardson, S. &amp; Turro, E. Phenotype similarity regression for identifying the genetic determinants of rare diseases. </w:t>
      </w:r>
      <w:r w:rsidR="00261C8C" w:rsidRPr="002C7B5C">
        <w:rPr>
          <w:i/>
          <w:noProof/>
        </w:rPr>
        <w:t>The American Journal of Human Genetics</w:t>
      </w:r>
      <w:r w:rsidR="00261C8C" w:rsidRPr="002C7B5C">
        <w:rPr>
          <w:noProof/>
        </w:rPr>
        <w:t xml:space="preserve"> </w:t>
      </w:r>
      <w:r w:rsidR="00261C8C" w:rsidRPr="002C7B5C">
        <w:rPr>
          <w:b/>
          <w:noProof/>
        </w:rPr>
        <w:t>98</w:t>
      </w:r>
      <w:r w:rsidR="00261C8C" w:rsidRPr="002C7B5C">
        <w:rPr>
          <w:noProof/>
        </w:rPr>
        <w:t>, 490-499 (2016).</w:t>
      </w:r>
    </w:p>
    <w:p w14:paraId="14BEAC0F" w14:textId="77777777" w:rsidR="00261C8C" w:rsidRPr="002C7B5C" w:rsidRDefault="00261C8C" w:rsidP="00354B5D">
      <w:pPr>
        <w:pStyle w:val="EndNoteBibliography"/>
        <w:spacing w:line="480" w:lineRule="auto"/>
        <w:ind w:left="720" w:hanging="720"/>
        <w:rPr>
          <w:noProof/>
        </w:rPr>
      </w:pPr>
      <w:r w:rsidRPr="002C7B5C">
        <w:rPr>
          <w:noProof/>
        </w:rPr>
        <w:t>2.</w:t>
      </w:r>
      <w:r w:rsidRPr="002C7B5C">
        <w:rPr>
          <w:noProof/>
        </w:rPr>
        <w:tab/>
        <w:t xml:space="preserve">Yang, H., Robinson, P.N. &amp; Wang, K. Phenolyzer: phenotype-based prioritization of candidate genes for human diseases. </w:t>
      </w:r>
      <w:r w:rsidRPr="002C7B5C">
        <w:rPr>
          <w:i/>
          <w:noProof/>
        </w:rPr>
        <w:t>Nature methods</w:t>
      </w:r>
      <w:r w:rsidRPr="002C7B5C">
        <w:rPr>
          <w:noProof/>
        </w:rPr>
        <w:t xml:space="preserve"> </w:t>
      </w:r>
      <w:r w:rsidRPr="002C7B5C">
        <w:rPr>
          <w:b/>
          <w:noProof/>
        </w:rPr>
        <w:t>12</w:t>
      </w:r>
      <w:r w:rsidRPr="002C7B5C">
        <w:rPr>
          <w:noProof/>
        </w:rPr>
        <w:t>, 841-843 (2015).</w:t>
      </w:r>
    </w:p>
    <w:p w14:paraId="0904D9BE" w14:textId="77777777" w:rsidR="00261C8C" w:rsidRPr="002C7B5C" w:rsidRDefault="00261C8C" w:rsidP="00354B5D">
      <w:pPr>
        <w:pStyle w:val="EndNoteBibliography"/>
        <w:spacing w:line="480" w:lineRule="auto"/>
        <w:ind w:left="720" w:hanging="720"/>
        <w:rPr>
          <w:noProof/>
        </w:rPr>
      </w:pPr>
      <w:r w:rsidRPr="002C7B5C">
        <w:rPr>
          <w:noProof/>
        </w:rPr>
        <w:t>3.</w:t>
      </w:r>
      <w:r w:rsidRPr="002C7B5C">
        <w:rPr>
          <w:noProof/>
        </w:rPr>
        <w:tab/>
        <w:t>Kohler, S.</w:t>
      </w:r>
      <w:r w:rsidRPr="002C7B5C">
        <w:rPr>
          <w:i/>
          <w:noProof/>
        </w:rPr>
        <w:t xml:space="preserve"> et al.</w:t>
      </w:r>
      <w:r w:rsidRPr="002C7B5C">
        <w:rPr>
          <w:noProof/>
        </w:rPr>
        <w:t xml:space="preserve"> Clinical diagnostics in human genetics with semantic similarity searches in ontologies. </w:t>
      </w:r>
      <w:r w:rsidRPr="002C7B5C">
        <w:rPr>
          <w:i/>
          <w:noProof/>
        </w:rPr>
        <w:t>Am J Hum Genet</w:t>
      </w:r>
      <w:r w:rsidRPr="002C7B5C">
        <w:rPr>
          <w:noProof/>
        </w:rPr>
        <w:t xml:space="preserve"> </w:t>
      </w:r>
      <w:r w:rsidRPr="002C7B5C">
        <w:rPr>
          <w:b/>
          <w:noProof/>
        </w:rPr>
        <w:t>85</w:t>
      </w:r>
      <w:r w:rsidRPr="002C7B5C">
        <w:rPr>
          <w:noProof/>
        </w:rPr>
        <w:t>, 457-64 (2009).</w:t>
      </w:r>
    </w:p>
    <w:p w14:paraId="7AED311D" w14:textId="77777777" w:rsidR="00261C8C" w:rsidRPr="002C7B5C" w:rsidRDefault="00261C8C" w:rsidP="00354B5D">
      <w:pPr>
        <w:pStyle w:val="EndNoteBibliography"/>
        <w:spacing w:line="480" w:lineRule="auto"/>
        <w:ind w:left="720" w:hanging="720"/>
        <w:rPr>
          <w:noProof/>
        </w:rPr>
      </w:pPr>
      <w:r w:rsidRPr="002C7B5C">
        <w:rPr>
          <w:noProof/>
        </w:rPr>
        <w:t>4.</w:t>
      </w:r>
      <w:r w:rsidRPr="002C7B5C">
        <w:rPr>
          <w:noProof/>
        </w:rPr>
        <w:tab/>
        <w:t>Masino, A.J.</w:t>
      </w:r>
      <w:r w:rsidRPr="002C7B5C">
        <w:rPr>
          <w:i/>
          <w:noProof/>
        </w:rPr>
        <w:t xml:space="preserve"> et al.</w:t>
      </w:r>
      <w:r w:rsidRPr="002C7B5C">
        <w:rPr>
          <w:noProof/>
        </w:rPr>
        <w:t xml:space="preserve"> Clinical phenotype-based gene prioritization: an initial study using semantic similarity and the human phenotype ontology. </w:t>
      </w:r>
      <w:r w:rsidRPr="002C7B5C">
        <w:rPr>
          <w:i/>
          <w:noProof/>
        </w:rPr>
        <w:t>BMC bioinformatics</w:t>
      </w:r>
      <w:r w:rsidRPr="002C7B5C">
        <w:rPr>
          <w:noProof/>
        </w:rPr>
        <w:t xml:space="preserve"> </w:t>
      </w:r>
      <w:r w:rsidRPr="002C7B5C">
        <w:rPr>
          <w:b/>
          <w:noProof/>
        </w:rPr>
        <w:t>15</w:t>
      </w:r>
      <w:r w:rsidRPr="002C7B5C">
        <w:rPr>
          <w:noProof/>
        </w:rPr>
        <w:t>, 248 (2014).</w:t>
      </w:r>
    </w:p>
    <w:p w14:paraId="39DAFC0A" w14:textId="77777777" w:rsidR="00261C8C" w:rsidRPr="002C7B5C" w:rsidRDefault="00261C8C" w:rsidP="00354B5D">
      <w:pPr>
        <w:pStyle w:val="EndNoteBibliography"/>
        <w:spacing w:line="480" w:lineRule="auto"/>
        <w:ind w:left="720" w:hanging="720"/>
        <w:rPr>
          <w:noProof/>
        </w:rPr>
      </w:pPr>
      <w:r w:rsidRPr="002C7B5C">
        <w:rPr>
          <w:noProof/>
        </w:rPr>
        <w:t>5.</w:t>
      </w:r>
      <w:r w:rsidRPr="002C7B5C">
        <w:rPr>
          <w:noProof/>
        </w:rPr>
        <w:tab/>
        <w:t>Lek, M.</w:t>
      </w:r>
      <w:r w:rsidRPr="002C7B5C">
        <w:rPr>
          <w:i/>
          <w:noProof/>
        </w:rPr>
        <w:t xml:space="preserve"> et al.</w:t>
      </w:r>
      <w:r w:rsidRPr="002C7B5C">
        <w:rPr>
          <w:noProof/>
        </w:rPr>
        <w:t xml:space="preserve"> Analysis of protein-coding genetic variation in 60,706 humans. </w:t>
      </w:r>
      <w:r w:rsidRPr="002C7B5C">
        <w:rPr>
          <w:i/>
          <w:noProof/>
        </w:rPr>
        <w:t>Nature</w:t>
      </w:r>
      <w:r w:rsidRPr="002C7B5C">
        <w:rPr>
          <w:noProof/>
        </w:rPr>
        <w:t xml:space="preserve"> </w:t>
      </w:r>
      <w:r w:rsidRPr="002C7B5C">
        <w:rPr>
          <w:b/>
          <w:noProof/>
        </w:rPr>
        <w:t>536</w:t>
      </w:r>
      <w:r w:rsidRPr="002C7B5C">
        <w:rPr>
          <w:noProof/>
        </w:rPr>
        <w:t>, 285-291 (2016).</w:t>
      </w:r>
    </w:p>
    <w:p w14:paraId="2EBAB6CB" w14:textId="77777777" w:rsidR="00261C8C" w:rsidRPr="002C7B5C" w:rsidRDefault="00261C8C" w:rsidP="00354B5D">
      <w:pPr>
        <w:pStyle w:val="EndNoteBibliography"/>
        <w:spacing w:line="480" w:lineRule="auto"/>
        <w:ind w:left="720" w:hanging="720"/>
        <w:rPr>
          <w:noProof/>
        </w:rPr>
      </w:pPr>
      <w:r w:rsidRPr="002C7B5C">
        <w:rPr>
          <w:noProof/>
        </w:rPr>
        <w:t>6.</w:t>
      </w:r>
      <w:r w:rsidRPr="002C7B5C">
        <w:rPr>
          <w:noProof/>
        </w:rPr>
        <w:tab/>
        <w:t>Robinson, P.N.</w:t>
      </w:r>
      <w:r w:rsidRPr="002C7B5C">
        <w:rPr>
          <w:i/>
          <w:noProof/>
        </w:rPr>
        <w:t xml:space="preserve"> et al.</w:t>
      </w:r>
      <w:r w:rsidRPr="002C7B5C">
        <w:rPr>
          <w:noProof/>
        </w:rPr>
        <w:t xml:space="preserve"> Improved exome prioritization of disease genes through cross-species phenotype comparison. </w:t>
      </w:r>
      <w:r w:rsidRPr="002C7B5C">
        <w:rPr>
          <w:i/>
          <w:noProof/>
        </w:rPr>
        <w:t>Genome Res</w:t>
      </w:r>
      <w:r w:rsidRPr="002C7B5C">
        <w:rPr>
          <w:noProof/>
        </w:rPr>
        <w:t xml:space="preserve"> </w:t>
      </w:r>
      <w:r w:rsidRPr="002C7B5C">
        <w:rPr>
          <w:b/>
          <w:noProof/>
        </w:rPr>
        <w:t>24</w:t>
      </w:r>
      <w:r w:rsidRPr="002C7B5C">
        <w:rPr>
          <w:noProof/>
        </w:rPr>
        <w:t>, 340-8 (2014).</w:t>
      </w:r>
    </w:p>
    <w:p w14:paraId="2EB059F8" w14:textId="77777777" w:rsidR="00261C8C" w:rsidRPr="002C7B5C" w:rsidRDefault="00261C8C" w:rsidP="00354B5D">
      <w:pPr>
        <w:pStyle w:val="EndNoteBibliography"/>
        <w:spacing w:line="480" w:lineRule="auto"/>
        <w:ind w:left="720" w:hanging="720"/>
        <w:rPr>
          <w:noProof/>
        </w:rPr>
      </w:pPr>
      <w:r w:rsidRPr="002C7B5C">
        <w:rPr>
          <w:noProof/>
        </w:rPr>
        <w:t>7.</w:t>
      </w:r>
      <w:r w:rsidRPr="002C7B5C">
        <w:rPr>
          <w:noProof/>
        </w:rPr>
        <w:tab/>
        <w:t>Aken, B.L.</w:t>
      </w:r>
      <w:r w:rsidRPr="002C7B5C">
        <w:rPr>
          <w:i/>
          <w:noProof/>
        </w:rPr>
        <w:t xml:space="preserve"> et al.</w:t>
      </w:r>
      <w:r w:rsidRPr="002C7B5C">
        <w:rPr>
          <w:noProof/>
        </w:rPr>
        <w:t xml:space="preserve"> The Ensembl gene annotation system. </w:t>
      </w:r>
      <w:r w:rsidRPr="002C7B5C">
        <w:rPr>
          <w:i/>
          <w:noProof/>
        </w:rPr>
        <w:t>Database</w:t>
      </w:r>
      <w:r w:rsidRPr="002C7B5C">
        <w:rPr>
          <w:noProof/>
        </w:rPr>
        <w:t xml:space="preserve"> </w:t>
      </w:r>
      <w:r w:rsidRPr="002C7B5C">
        <w:rPr>
          <w:b/>
          <w:noProof/>
        </w:rPr>
        <w:t>2016</w:t>
      </w:r>
      <w:r w:rsidRPr="002C7B5C">
        <w:rPr>
          <w:noProof/>
        </w:rPr>
        <w:t>(2016).</w:t>
      </w:r>
    </w:p>
    <w:p w14:paraId="24E8DAEE" w14:textId="3627C4A9" w:rsidR="00D47A2C" w:rsidRDefault="00D87818" w:rsidP="00DD1F19">
      <w:pPr>
        <w:spacing w:line="480" w:lineRule="auto"/>
      </w:pPr>
      <w:r w:rsidRPr="00354B5D">
        <w:lastRenderedPageBreak/>
        <w:fldChar w:fldCharType="end"/>
      </w:r>
    </w:p>
    <w:sectPr w:rsidR="00D47A2C" w:rsidSect="00354B5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Genetics&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2d0pa2zu5f92se5adzx595yxz2wxfst92p5&quot;&gt;My EndNote Library&lt;record-ids&gt;&lt;item&gt;9&lt;/item&gt;&lt;item&gt;12&lt;/item&gt;&lt;item&gt;45&lt;/item&gt;&lt;item&gt;46&lt;/item&gt;&lt;item&gt;60&lt;/item&gt;&lt;item&gt;61&lt;/item&gt;&lt;item&gt;72&lt;/item&gt;&lt;/record-ids&gt;&lt;/item&gt;&lt;/Libraries&gt;"/>
  </w:docVars>
  <w:rsids>
    <w:rsidRoot w:val="00D47A2C"/>
    <w:rsid w:val="000575E2"/>
    <w:rsid w:val="000715A9"/>
    <w:rsid w:val="000C4133"/>
    <w:rsid w:val="000C63E3"/>
    <w:rsid w:val="000C6485"/>
    <w:rsid w:val="000D474D"/>
    <w:rsid w:val="00115B5D"/>
    <w:rsid w:val="00120051"/>
    <w:rsid w:val="00165DEA"/>
    <w:rsid w:val="00190531"/>
    <w:rsid w:val="00201417"/>
    <w:rsid w:val="00224203"/>
    <w:rsid w:val="00232F1F"/>
    <w:rsid w:val="0024332A"/>
    <w:rsid w:val="00261C8C"/>
    <w:rsid w:val="00270E49"/>
    <w:rsid w:val="00284CCD"/>
    <w:rsid w:val="002C09FB"/>
    <w:rsid w:val="002C7B5C"/>
    <w:rsid w:val="0030094C"/>
    <w:rsid w:val="00307591"/>
    <w:rsid w:val="00311E1E"/>
    <w:rsid w:val="00315871"/>
    <w:rsid w:val="00346B30"/>
    <w:rsid w:val="00354B5D"/>
    <w:rsid w:val="003706D2"/>
    <w:rsid w:val="003808A7"/>
    <w:rsid w:val="003C1482"/>
    <w:rsid w:val="00440383"/>
    <w:rsid w:val="00464592"/>
    <w:rsid w:val="00504AEA"/>
    <w:rsid w:val="00515F1D"/>
    <w:rsid w:val="00535B62"/>
    <w:rsid w:val="0054443C"/>
    <w:rsid w:val="00576086"/>
    <w:rsid w:val="005B680A"/>
    <w:rsid w:val="005C63F1"/>
    <w:rsid w:val="005F15DE"/>
    <w:rsid w:val="006514F3"/>
    <w:rsid w:val="006718AA"/>
    <w:rsid w:val="006C1E6D"/>
    <w:rsid w:val="006D52DF"/>
    <w:rsid w:val="006F1D4E"/>
    <w:rsid w:val="00763E06"/>
    <w:rsid w:val="00772AAE"/>
    <w:rsid w:val="00785950"/>
    <w:rsid w:val="00792BA7"/>
    <w:rsid w:val="007D1A2A"/>
    <w:rsid w:val="00807683"/>
    <w:rsid w:val="0088745D"/>
    <w:rsid w:val="009071C8"/>
    <w:rsid w:val="009118F2"/>
    <w:rsid w:val="00933ABC"/>
    <w:rsid w:val="0094230E"/>
    <w:rsid w:val="009657C1"/>
    <w:rsid w:val="009C1492"/>
    <w:rsid w:val="009C7FEE"/>
    <w:rsid w:val="009F4BAA"/>
    <w:rsid w:val="00A12708"/>
    <w:rsid w:val="00A14B43"/>
    <w:rsid w:val="00A448FD"/>
    <w:rsid w:val="00A70C9B"/>
    <w:rsid w:val="00A9177C"/>
    <w:rsid w:val="00AA1987"/>
    <w:rsid w:val="00B22E03"/>
    <w:rsid w:val="00B65D92"/>
    <w:rsid w:val="00BB52AB"/>
    <w:rsid w:val="00C62325"/>
    <w:rsid w:val="00CA3D2F"/>
    <w:rsid w:val="00D2091E"/>
    <w:rsid w:val="00D47A2C"/>
    <w:rsid w:val="00D87818"/>
    <w:rsid w:val="00D96730"/>
    <w:rsid w:val="00DD0FBF"/>
    <w:rsid w:val="00DD1F19"/>
    <w:rsid w:val="00DD240D"/>
    <w:rsid w:val="00DD32A1"/>
    <w:rsid w:val="00DD3EA4"/>
    <w:rsid w:val="00DF0130"/>
    <w:rsid w:val="00E00930"/>
    <w:rsid w:val="00E56FA8"/>
    <w:rsid w:val="00E87FE5"/>
    <w:rsid w:val="00EC6F69"/>
    <w:rsid w:val="00F34104"/>
    <w:rsid w:val="00F6769F"/>
    <w:rsid w:val="00F831F6"/>
    <w:rsid w:val="00FA69F8"/>
    <w:rsid w:val="00FD78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7522DF3"/>
  <w14:defaultImageDpi w14:val="300"/>
  <w15:docId w15:val="{61701EA1-F994-7C42-90F2-6271B9828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4C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84CCD"/>
    <w:rPr>
      <w:rFonts w:ascii="Lucida Grande" w:hAnsi="Lucida Grande" w:cs="Lucida Grande"/>
      <w:sz w:val="18"/>
      <w:szCs w:val="18"/>
    </w:rPr>
  </w:style>
  <w:style w:type="paragraph" w:customStyle="1" w:styleId="EndNoteBibliographyTitle">
    <w:name w:val="EndNote Bibliography Title"/>
    <w:basedOn w:val="Normal"/>
    <w:rsid w:val="00D87818"/>
    <w:pPr>
      <w:jc w:val="center"/>
    </w:pPr>
    <w:rPr>
      <w:rFonts w:ascii="Cambria" w:hAnsi="Cambria"/>
    </w:rPr>
  </w:style>
  <w:style w:type="paragraph" w:customStyle="1" w:styleId="EndNoteBibliography">
    <w:name w:val="EndNote Bibliography"/>
    <w:basedOn w:val="Normal"/>
    <w:rsid w:val="00D87818"/>
    <w:rPr>
      <w:rFonts w:ascii="Cambria" w:hAnsi="Cambria"/>
    </w:rPr>
  </w:style>
  <w:style w:type="character" w:styleId="CommentReference">
    <w:name w:val="annotation reference"/>
    <w:basedOn w:val="DefaultParagraphFont"/>
    <w:uiPriority w:val="99"/>
    <w:semiHidden/>
    <w:unhideWhenUsed/>
    <w:rsid w:val="0094230E"/>
    <w:rPr>
      <w:sz w:val="18"/>
      <w:szCs w:val="18"/>
    </w:rPr>
  </w:style>
  <w:style w:type="paragraph" w:styleId="CommentText">
    <w:name w:val="annotation text"/>
    <w:basedOn w:val="Normal"/>
    <w:link w:val="CommentTextChar"/>
    <w:uiPriority w:val="99"/>
    <w:semiHidden/>
    <w:unhideWhenUsed/>
    <w:rsid w:val="0094230E"/>
    <w:rPr>
      <w:lang w:eastAsia="zh-CN"/>
    </w:rPr>
  </w:style>
  <w:style w:type="character" w:customStyle="1" w:styleId="CommentTextChar">
    <w:name w:val="Comment Text Char"/>
    <w:basedOn w:val="DefaultParagraphFont"/>
    <w:link w:val="CommentText"/>
    <w:uiPriority w:val="99"/>
    <w:semiHidden/>
    <w:rsid w:val="0094230E"/>
    <w:rPr>
      <w:lang w:eastAsia="zh-CN"/>
    </w:rPr>
  </w:style>
  <w:style w:type="paragraph" w:styleId="CommentSubject">
    <w:name w:val="annotation subject"/>
    <w:basedOn w:val="CommentText"/>
    <w:next w:val="CommentText"/>
    <w:link w:val="CommentSubjectChar"/>
    <w:uiPriority w:val="99"/>
    <w:semiHidden/>
    <w:unhideWhenUsed/>
    <w:rsid w:val="00933ABC"/>
    <w:rPr>
      <w:b/>
      <w:bCs/>
      <w:sz w:val="20"/>
      <w:szCs w:val="20"/>
      <w:lang w:eastAsia="en-US"/>
    </w:rPr>
  </w:style>
  <w:style w:type="character" w:customStyle="1" w:styleId="CommentSubjectChar">
    <w:name w:val="Comment Subject Char"/>
    <w:basedOn w:val="CommentTextChar"/>
    <w:link w:val="CommentSubject"/>
    <w:uiPriority w:val="99"/>
    <w:semiHidden/>
    <w:rsid w:val="00933ABC"/>
    <w:rPr>
      <w:b/>
      <w:bCs/>
      <w:sz w:val="20"/>
      <w:szCs w:val="20"/>
      <w:lang w:eastAsia="zh-CN"/>
    </w:rPr>
  </w:style>
  <w:style w:type="character" w:styleId="PlaceholderText">
    <w:name w:val="Placeholder Text"/>
    <w:basedOn w:val="DefaultParagraphFont"/>
    <w:uiPriority w:val="99"/>
    <w:semiHidden/>
    <w:rsid w:val="000575E2"/>
    <w:rPr>
      <w:color w:val="808080"/>
    </w:rPr>
  </w:style>
  <w:style w:type="character" w:styleId="LineNumber">
    <w:name w:val="line number"/>
    <w:basedOn w:val="DefaultParagraphFont"/>
    <w:uiPriority w:val="99"/>
    <w:semiHidden/>
    <w:unhideWhenUsed/>
    <w:rsid w:val="00671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2103</Words>
  <Characters>11993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CHOP</Company>
  <LinksUpToDate>false</LinksUpToDate>
  <CharactersWithSpaces>14068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Chao Wu</dc:creator>
  <cp:keywords/>
  <dc:description/>
  <cp:lastModifiedBy>Chao Wu</cp:lastModifiedBy>
  <cp:revision>4</cp:revision>
  <dcterms:created xsi:type="dcterms:W3CDTF">2018-10-09T20:24:00Z</dcterms:created>
  <dcterms:modified xsi:type="dcterms:W3CDTF">2018-12-20T20:55:00Z</dcterms:modified>
</cp:coreProperties>
</file>