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A4808" w14:textId="78FED131" w:rsidR="0095281B" w:rsidRDefault="0095281B" w:rsidP="0095281B">
      <w:pPr>
        <w:pStyle w:val="Default"/>
        <w:spacing w:before="0" w:line="480" w:lineRule="auto"/>
        <w:ind w:firstLine="180"/>
        <w:rPr>
          <w:rFonts w:ascii="Times Roman" w:hAnsi="Times Roman"/>
        </w:rPr>
      </w:pPr>
      <w:r>
        <w:rPr>
          <w:rFonts w:ascii="Times Roman" w:hAnsi="Times Roman"/>
        </w:rPr>
        <w:t xml:space="preserve">Data processing and bioinformatics of the samples. </w:t>
      </w:r>
    </w:p>
    <w:p w14:paraId="1A8B3700" w14:textId="77777777" w:rsidR="0095281B" w:rsidRDefault="0095281B" w:rsidP="0095281B">
      <w:pPr>
        <w:pStyle w:val="Default"/>
        <w:spacing w:before="0" w:line="480" w:lineRule="auto"/>
        <w:ind w:firstLine="180"/>
        <w:rPr>
          <w:rFonts w:ascii="Times Roman" w:hAnsi="Times Roman"/>
        </w:rPr>
      </w:pPr>
    </w:p>
    <w:p w14:paraId="16E42BE5" w14:textId="16AA33A0" w:rsidR="0095281B" w:rsidRDefault="0095281B" w:rsidP="000B098D">
      <w:pPr>
        <w:pStyle w:val="Default"/>
        <w:spacing w:before="0" w:line="480" w:lineRule="auto"/>
        <w:rPr>
          <w:rFonts w:ascii="Times Roman" w:eastAsia="Times Roman" w:hAnsi="Times Roman" w:cs="Times Roman"/>
        </w:rPr>
      </w:pPr>
      <w:r>
        <w:rPr>
          <w:rFonts w:ascii="Times Roman" w:hAnsi="Times Roman"/>
        </w:rPr>
        <w:t xml:space="preserve">DNA was extracted and delivered for whole exome sequencing at Blueprint Genetics (Helsinki, Finland). For sequencing library preparation, the extracted DNA was acoustically sheared (Covaris, City, Country) and sequencing adapters were added by ligation. Exome capture was performed with the </w:t>
      </w:r>
      <w:proofErr w:type="spellStart"/>
      <w:r>
        <w:rPr>
          <w:rFonts w:ascii="Times Roman" w:hAnsi="Times Roman"/>
        </w:rPr>
        <w:t>SureSelect</w:t>
      </w:r>
      <w:proofErr w:type="spellEnd"/>
      <w:r>
        <w:rPr>
          <w:rFonts w:ascii="Times Roman" w:hAnsi="Times Roman"/>
        </w:rPr>
        <w:t xml:space="preserve"> Human All Exome V6 kit (Agilent, City, Country) and the </w:t>
      </w:r>
      <w:proofErr w:type="spellStart"/>
      <w:r>
        <w:rPr>
          <w:rFonts w:ascii="Times Roman" w:hAnsi="Times Roman"/>
        </w:rPr>
        <w:t>HiSeq</w:t>
      </w:r>
      <w:proofErr w:type="spellEnd"/>
      <w:r>
        <w:rPr>
          <w:rFonts w:ascii="Times Roman" w:hAnsi="Times Roman"/>
        </w:rPr>
        <w:t xml:space="preserve"> 4000 and </w:t>
      </w:r>
      <w:proofErr w:type="spellStart"/>
      <w:r>
        <w:rPr>
          <w:rFonts w:ascii="Times Roman" w:hAnsi="Times Roman"/>
        </w:rPr>
        <w:t>NovaSeq</w:t>
      </w:r>
      <w:proofErr w:type="spellEnd"/>
      <w:r>
        <w:rPr>
          <w:rFonts w:ascii="Times Roman" w:hAnsi="Times Roman"/>
        </w:rPr>
        <w:t xml:space="preserve"> 6000 instruments (Illumina, City, Country) were used for next generation sequencing. Data generated by next generation sequencing produced a median coverage of 145x over the exome target regions for Cohort-1 aneurysm samples (range 137x-176x) and a median coverage of 680x for Cohort-2 samples (range 139x-822x).</w:t>
      </w:r>
    </w:p>
    <w:p w14:paraId="4A749E92" w14:textId="77777777" w:rsidR="0095281B" w:rsidRDefault="0095281B" w:rsidP="0095281B">
      <w:pPr>
        <w:pStyle w:val="Default"/>
        <w:spacing w:before="0" w:line="480" w:lineRule="auto"/>
        <w:ind w:firstLine="180"/>
        <w:rPr>
          <w:rFonts w:ascii="Times Roman" w:eastAsia="Times Roman" w:hAnsi="Times Roman" w:cs="Times Roman"/>
        </w:rPr>
      </w:pPr>
      <w:r>
        <w:rPr>
          <w:rFonts w:ascii="Times Roman" w:hAnsi="Times Roman"/>
        </w:rPr>
        <w:t>The somatic variant calling was carried out using a purpose-built bioinformatics pipeline</w:t>
      </w:r>
      <w:r>
        <w:rPr>
          <w:rFonts w:ascii="Times Roman" w:hAnsi="Times Roman"/>
          <w:vertAlign w:val="superscript"/>
        </w:rPr>
        <w:t>8,9</w:t>
      </w:r>
      <w:r>
        <w:rPr>
          <w:rFonts w:ascii="Times Roman" w:hAnsi="Times Roman"/>
        </w:rPr>
        <w:t xml:space="preserve"> where each of the whole exome sequenced aneurysm samples was called separately, while the control samples acted as a pooled technical reference.</w:t>
      </w:r>
    </w:p>
    <w:p w14:paraId="76F43196" w14:textId="77777777" w:rsidR="0095281B" w:rsidRDefault="0095281B" w:rsidP="0095281B">
      <w:pPr>
        <w:pStyle w:val="Default"/>
        <w:spacing w:before="0" w:line="480" w:lineRule="auto"/>
        <w:rPr>
          <w:rFonts w:ascii="Times Roman" w:eastAsia="Times Roman" w:hAnsi="Times Roman" w:cs="Times Roman"/>
        </w:rPr>
      </w:pPr>
      <w:r>
        <w:rPr>
          <w:rFonts w:ascii="Times Roman" w:hAnsi="Times Roman"/>
        </w:rPr>
        <w:t>In the bioinformatic pipeline, sequencing reads were mapped to the hg19 reference genome using BWA MEM</w:t>
      </w:r>
      <w:r>
        <w:rPr>
          <w:rFonts w:ascii="Times Roman" w:hAnsi="Times Roman"/>
          <w:vertAlign w:val="superscript"/>
        </w:rPr>
        <w:t>9</w:t>
      </w:r>
      <w:r>
        <w:rPr>
          <w:rFonts w:ascii="Times Roman" w:hAnsi="Times Roman"/>
        </w:rPr>
        <w:t xml:space="preserve"> followed by duplicate marking with Picard </w:t>
      </w:r>
      <w:proofErr w:type="spellStart"/>
      <w:r>
        <w:rPr>
          <w:rFonts w:ascii="Times Roman" w:hAnsi="Times Roman"/>
        </w:rPr>
        <w:t>MarkDuplicates</w:t>
      </w:r>
      <w:proofErr w:type="spellEnd"/>
      <w:r>
        <w:rPr>
          <w:rFonts w:ascii="Times Roman" w:hAnsi="Times Roman"/>
        </w:rPr>
        <w:t xml:space="preserve"> (http://broadinstitute.github.io/picard). Adapter sequences were removed before mapping. Somatic variants were called using TNScope</w:t>
      </w:r>
      <w:r>
        <w:rPr>
          <w:rFonts w:ascii="Times Roman" w:hAnsi="Times Roman"/>
          <w:vertAlign w:val="superscript"/>
        </w:rPr>
        <w:t>11</w:t>
      </w:r>
      <w:r>
        <w:rPr>
          <w:rFonts w:ascii="Times Roman" w:hAnsi="Times Roman"/>
        </w:rPr>
        <w:t xml:space="preserve"> and annotated with ANNOVAR</w:t>
      </w:r>
      <w:r>
        <w:rPr>
          <w:rFonts w:ascii="Times Roman" w:hAnsi="Times Roman"/>
          <w:vertAlign w:val="superscript"/>
        </w:rPr>
        <w:t>12</w:t>
      </w:r>
      <w:r>
        <w:rPr>
          <w:rFonts w:ascii="Times Roman" w:hAnsi="Times Roman"/>
        </w:rPr>
        <w:t xml:space="preserve">. For the variant calling process, a pooled control reference bam file was created by combining data from all ten unaffected samples. Each affected sample was then called separately with </w:t>
      </w:r>
      <w:proofErr w:type="spellStart"/>
      <w:r>
        <w:rPr>
          <w:rFonts w:ascii="Times Roman" w:hAnsi="Times Roman"/>
        </w:rPr>
        <w:t>TNScope</w:t>
      </w:r>
      <w:proofErr w:type="spellEnd"/>
      <w:r>
        <w:rPr>
          <w:rFonts w:ascii="Times Roman" w:hAnsi="Times Roman"/>
        </w:rPr>
        <w:t xml:space="preserve">, paired with the pooled control bam file. A pooled control was used to filter out artefacts caused by common site-specific sequencing and mapping errors. Variant calls from </w:t>
      </w:r>
      <w:proofErr w:type="spellStart"/>
      <w:r>
        <w:rPr>
          <w:rFonts w:ascii="Times Roman" w:hAnsi="Times Roman"/>
        </w:rPr>
        <w:t>TNScope</w:t>
      </w:r>
      <w:proofErr w:type="spellEnd"/>
      <w:r>
        <w:rPr>
          <w:rFonts w:ascii="Times Roman" w:hAnsi="Times Roman"/>
        </w:rPr>
        <w:t xml:space="preserve"> were then additionally filtered favoring specificity over sensitivity, by first excluding all variants not marked </w:t>
      </w:r>
      <w:r>
        <w:rPr>
          <w:rFonts w:ascii="Times Roman" w:hAnsi="Times Roman"/>
          <w:rtl/>
          <w:lang w:val="ar-SA"/>
        </w:rPr>
        <w:t>“</w:t>
      </w:r>
      <w:r>
        <w:rPr>
          <w:rFonts w:ascii="Times Roman" w:hAnsi="Times Roman"/>
        </w:rPr>
        <w:t xml:space="preserve">PASS” by </w:t>
      </w:r>
      <w:proofErr w:type="spellStart"/>
      <w:r>
        <w:rPr>
          <w:rFonts w:ascii="Times Roman" w:hAnsi="Times Roman"/>
        </w:rPr>
        <w:t>TNScope</w:t>
      </w:r>
      <w:proofErr w:type="spellEnd"/>
      <w:r>
        <w:rPr>
          <w:rFonts w:ascii="Times Roman" w:hAnsi="Times Roman"/>
        </w:rPr>
        <w:t xml:space="preserve"> and then applying a second set of stringent filters (Table S1), </w:t>
      </w:r>
      <w:proofErr w:type="gramStart"/>
      <w:r>
        <w:rPr>
          <w:rFonts w:ascii="Times Roman" w:hAnsi="Times Roman"/>
        </w:rPr>
        <w:t>in order to</w:t>
      </w:r>
      <w:proofErr w:type="gramEnd"/>
      <w:r>
        <w:rPr>
          <w:rFonts w:ascii="Times Roman" w:hAnsi="Times Roman"/>
        </w:rPr>
        <w:t xml:space="preserve"> remove false positive variant calls and germline variants. Enrichment of genes that contained filter-passing nonsynonymous somatic variants </w:t>
      </w:r>
      <w:r>
        <w:rPr>
          <w:rFonts w:ascii="Times Roman" w:hAnsi="Times Roman"/>
        </w:rPr>
        <w:lastRenderedPageBreak/>
        <w:t>to biological processes was evaluated with the software IPA</w:t>
      </w:r>
      <w:r>
        <w:rPr>
          <w:rFonts w:ascii="Times Roman" w:hAnsi="Times Roman"/>
          <w:vertAlign w:val="superscript"/>
        </w:rPr>
        <w:t>10</w:t>
      </w:r>
      <w:r>
        <w:rPr>
          <w:rFonts w:ascii="Times Roman" w:hAnsi="Times Roman"/>
        </w:rPr>
        <w:t xml:space="preserve"> (QIAGEN Inc.). Variant deleteriousness was assessed using the PolyPhen2</w:t>
      </w:r>
      <w:r>
        <w:rPr>
          <w:rFonts w:ascii="Times Roman" w:hAnsi="Times Roman"/>
          <w:vertAlign w:val="superscript"/>
        </w:rPr>
        <w:t xml:space="preserve">11 </w:t>
      </w:r>
      <w:r>
        <w:rPr>
          <w:rFonts w:ascii="Times Roman" w:hAnsi="Times Roman"/>
        </w:rPr>
        <w:t>and CADD</w:t>
      </w:r>
      <w:r>
        <w:rPr>
          <w:rFonts w:ascii="Times Roman" w:hAnsi="Times Roman"/>
          <w:vertAlign w:val="superscript"/>
        </w:rPr>
        <w:t>12</w:t>
      </w:r>
      <w:r>
        <w:rPr>
          <w:rFonts w:ascii="Times Roman" w:hAnsi="Times Roman"/>
        </w:rPr>
        <w:t xml:space="preserve"> algorithms. To confirm the somatic mutations for Cohort-1, we prepared PCR amplicons targeting each of the variants. The amplicon preparation followed the Illumina 16S protocol with PCR primers designed to target each somatic variant that was called in whole exome data (supplementary material). Amplicons were produced in pairs from the DNA of the sample whose exome data contained the somatic variant, and from a well characterized control NA12878 DNA sample (</w:t>
      </w:r>
      <w:proofErr w:type="spellStart"/>
      <w:r>
        <w:rPr>
          <w:rFonts w:ascii="Times Roman" w:hAnsi="Times Roman"/>
        </w:rPr>
        <w:t>Coriell</w:t>
      </w:r>
      <w:proofErr w:type="spellEnd"/>
      <w:r>
        <w:rPr>
          <w:rFonts w:ascii="Times Roman" w:hAnsi="Times Roman"/>
        </w:rPr>
        <w:t xml:space="preserve"> Biorepository). Sequencing was performed with the </w:t>
      </w:r>
      <w:proofErr w:type="spellStart"/>
      <w:r>
        <w:rPr>
          <w:rFonts w:ascii="Times Roman" w:hAnsi="Times Roman"/>
        </w:rPr>
        <w:t>MiSeq</w:t>
      </w:r>
      <w:proofErr w:type="spellEnd"/>
      <w:r>
        <w:rPr>
          <w:rFonts w:ascii="Times Roman" w:hAnsi="Times Roman"/>
        </w:rPr>
        <w:t xml:space="preserve"> instrument (Illumina Inc.). </w:t>
      </w:r>
      <w:proofErr w:type="spellStart"/>
      <w:r>
        <w:rPr>
          <w:rFonts w:ascii="Times Roman" w:hAnsi="Times Roman"/>
        </w:rPr>
        <w:t>MiSeq</w:t>
      </w:r>
      <w:proofErr w:type="spellEnd"/>
      <w:r>
        <w:rPr>
          <w:rFonts w:ascii="Times Roman" w:hAnsi="Times Roman"/>
        </w:rPr>
        <w:t xml:space="preserve"> sequenced PCR amplicon reads were mapped to the hg19 reference genome using BWA MEM. </w:t>
      </w:r>
      <w:proofErr w:type="spellStart"/>
      <w:r>
        <w:rPr>
          <w:rFonts w:ascii="Times Roman" w:hAnsi="Times Roman"/>
        </w:rPr>
        <w:t>Samtools</w:t>
      </w:r>
      <w:proofErr w:type="spellEnd"/>
      <w:r>
        <w:rPr>
          <w:rFonts w:ascii="Times Roman" w:hAnsi="Times Roman"/>
        </w:rPr>
        <w:t xml:space="preserve"> mpileup</w:t>
      </w:r>
      <w:r>
        <w:rPr>
          <w:rFonts w:ascii="Times Roman" w:hAnsi="Times Roman"/>
          <w:vertAlign w:val="superscript"/>
        </w:rPr>
        <w:t>12</w:t>
      </w:r>
      <w:r>
        <w:rPr>
          <w:rFonts w:ascii="Times Roman" w:hAnsi="Times Roman"/>
        </w:rPr>
        <w:t xml:space="preserve"> was used to count the number of read pairs that supported the whole exome somatic variant calls with high quality base calls (Q30+) at the corresponding loci in amplicon data.</w:t>
      </w:r>
    </w:p>
    <w:p w14:paraId="36D9F45B" w14:textId="77777777" w:rsidR="00D91596" w:rsidRDefault="00D91596"/>
    <w:sectPr w:rsidR="00D91596" w:rsidSect="00CF4FA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1B"/>
    <w:rsid w:val="000129C2"/>
    <w:rsid w:val="000B098D"/>
    <w:rsid w:val="00221E53"/>
    <w:rsid w:val="002E4B04"/>
    <w:rsid w:val="0033315D"/>
    <w:rsid w:val="00351D3D"/>
    <w:rsid w:val="003A1EB1"/>
    <w:rsid w:val="003F521D"/>
    <w:rsid w:val="00423BFD"/>
    <w:rsid w:val="005052DE"/>
    <w:rsid w:val="005B5EF7"/>
    <w:rsid w:val="0062682C"/>
    <w:rsid w:val="006469D5"/>
    <w:rsid w:val="006700E9"/>
    <w:rsid w:val="0071120D"/>
    <w:rsid w:val="007F52C8"/>
    <w:rsid w:val="0080334D"/>
    <w:rsid w:val="00805F53"/>
    <w:rsid w:val="00813D25"/>
    <w:rsid w:val="0083227C"/>
    <w:rsid w:val="00893998"/>
    <w:rsid w:val="008D178F"/>
    <w:rsid w:val="008D234B"/>
    <w:rsid w:val="0095281B"/>
    <w:rsid w:val="009E3D11"/>
    <w:rsid w:val="00A42D4C"/>
    <w:rsid w:val="00A42E9C"/>
    <w:rsid w:val="00AB54E2"/>
    <w:rsid w:val="00B579B2"/>
    <w:rsid w:val="00BA043B"/>
    <w:rsid w:val="00C00260"/>
    <w:rsid w:val="00CF4FA2"/>
    <w:rsid w:val="00D33E37"/>
    <w:rsid w:val="00D40731"/>
    <w:rsid w:val="00D91596"/>
    <w:rsid w:val="00DC6FAC"/>
    <w:rsid w:val="00E028BB"/>
    <w:rsid w:val="00E54F93"/>
    <w:rsid w:val="00E609EF"/>
    <w:rsid w:val="00F25843"/>
    <w:rsid w:val="00F31D61"/>
    <w:rsid w:val="00F6611F"/>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ecimalSymbol w:val=","/>
  <w:listSeparator w:val=","/>
  <w14:docId w14:val="15D4196F"/>
  <w15:chartTrackingRefBased/>
  <w15:docId w15:val="{AEFC2BC3-75C1-2A45-848D-F7340FF88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8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8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8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8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81B"/>
    <w:rPr>
      <w:rFonts w:eastAsiaTheme="majorEastAsia" w:cstheme="majorBidi"/>
      <w:color w:val="272727" w:themeColor="text1" w:themeTint="D8"/>
    </w:rPr>
  </w:style>
  <w:style w:type="paragraph" w:styleId="Title">
    <w:name w:val="Title"/>
    <w:basedOn w:val="Normal"/>
    <w:next w:val="Normal"/>
    <w:link w:val="TitleChar"/>
    <w:uiPriority w:val="10"/>
    <w:qFormat/>
    <w:rsid w:val="009528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81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8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281B"/>
    <w:rPr>
      <w:i/>
      <w:iCs/>
      <w:color w:val="404040" w:themeColor="text1" w:themeTint="BF"/>
    </w:rPr>
  </w:style>
  <w:style w:type="paragraph" w:styleId="ListParagraph">
    <w:name w:val="List Paragraph"/>
    <w:basedOn w:val="Normal"/>
    <w:uiPriority w:val="34"/>
    <w:qFormat/>
    <w:rsid w:val="0095281B"/>
    <w:pPr>
      <w:ind w:left="720"/>
      <w:contextualSpacing/>
    </w:pPr>
  </w:style>
  <w:style w:type="character" w:styleId="IntenseEmphasis">
    <w:name w:val="Intense Emphasis"/>
    <w:basedOn w:val="DefaultParagraphFont"/>
    <w:uiPriority w:val="21"/>
    <w:qFormat/>
    <w:rsid w:val="0095281B"/>
    <w:rPr>
      <w:i/>
      <w:iCs/>
      <w:color w:val="0F4761" w:themeColor="accent1" w:themeShade="BF"/>
    </w:rPr>
  </w:style>
  <w:style w:type="paragraph" w:styleId="IntenseQuote">
    <w:name w:val="Intense Quote"/>
    <w:basedOn w:val="Normal"/>
    <w:next w:val="Normal"/>
    <w:link w:val="IntenseQuoteChar"/>
    <w:uiPriority w:val="30"/>
    <w:qFormat/>
    <w:rsid w:val="00952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81B"/>
    <w:rPr>
      <w:i/>
      <w:iCs/>
      <w:color w:val="0F4761" w:themeColor="accent1" w:themeShade="BF"/>
    </w:rPr>
  </w:style>
  <w:style w:type="character" w:styleId="IntenseReference">
    <w:name w:val="Intense Reference"/>
    <w:basedOn w:val="DefaultParagraphFont"/>
    <w:uiPriority w:val="32"/>
    <w:qFormat/>
    <w:rsid w:val="0095281B"/>
    <w:rPr>
      <w:b/>
      <w:bCs/>
      <w:smallCaps/>
      <w:color w:val="0F4761" w:themeColor="accent1" w:themeShade="BF"/>
      <w:spacing w:val="5"/>
    </w:rPr>
  </w:style>
  <w:style w:type="paragraph" w:customStyle="1" w:styleId="Default">
    <w:name w:val="Default"/>
    <w:rsid w:val="0095281B"/>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Rezai Jahromi Behnam</dc:creator>
  <cp:keywords/>
  <dc:description/>
  <cp:lastModifiedBy>Rezai Jahromi Behnam</cp:lastModifiedBy>
  <cp:revision>2</cp:revision>
  <dcterms:created xsi:type="dcterms:W3CDTF">2024-07-26T05:47:00Z</dcterms:created>
  <dcterms:modified xsi:type="dcterms:W3CDTF">2024-08-09T08:06:00Z</dcterms:modified>
</cp:coreProperties>
</file>