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1DE8" w14:textId="77777777" w:rsidR="00AF7703" w:rsidRPr="00223C6E" w:rsidRDefault="00000000">
      <w:pPr>
        <w:spacing w:line="480" w:lineRule="auto"/>
        <w:jc w:val="both"/>
        <w:rPr>
          <w:rFonts w:ascii="Times New Roman" w:eastAsia="Times New Roman" w:hAnsi="Times New Roman" w:cs="Times New Roman"/>
          <w:b/>
          <w:sz w:val="38"/>
          <w:szCs w:val="38"/>
        </w:rPr>
      </w:pPr>
      <w:r w:rsidRPr="00223C6E">
        <w:rPr>
          <w:rFonts w:ascii="Times New Roman" w:eastAsia="Times New Roman" w:hAnsi="Times New Roman" w:cs="Times New Roman"/>
          <w:b/>
          <w:sz w:val="38"/>
          <w:szCs w:val="38"/>
        </w:rPr>
        <w:t>Supplemental Data and information</w:t>
      </w:r>
    </w:p>
    <w:p w14:paraId="1BB02D31" w14:textId="77777777" w:rsidR="00AF7703" w:rsidRPr="00223C6E" w:rsidRDefault="00000000">
      <w:pPr>
        <w:spacing w:line="480" w:lineRule="auto"/>
        <w:jc w:val="both"/>
        <w:rPr>
          <w:rFonts w:ascii="Times New Roman" w:eastAsia="Times New Roman" w:hAnsi="Times New Roman" w:cs="Times New Roman"/>
          <w:b/>
          <w:sz w:val="38"/>
          <w:szCs w:val="38"/>
        </w:rPr>
      </w:pPr>
      <w:r w:rsidRPr="00223C6E">
        <w:rPr>
          <w:rFonts w:ascii="Times New Roman" w:eastAsia="Times New Roman" w:hAnsi="Times New Roman" w:cs="Times New Roman"/>
          <w:b/>
          <w:sz w:val="38"/>
          <w:szCs w:val="38"/>
        </w:rPr>
        <w:t xml:space="preserve">A homozygous frameshift variant in the </w:t>
      </w:r>
      <w:r w:rsidRPr="00223C6E">
        <w:rPr>
          <w:rFonts w:ascii="Times New Roman" w:eastAsia="Times New Roman" w:hAnsi="Times New Roman" w:cs="Times New Roman"/>
          <w:b/>
          <w:i/>
          <w:sz w:val="38"/>
          <w:szCs w:val="38"/>
        </w:rPr>
        <w:t>CILK1</w:t>
      </w:r>
      <w:r w:rsidRPr="00223C6E">
        <w:rPr>
          <w:rFonts w:ascii="Times New Roman" w:eastAsia="Times New Roman" w:hAnsi="Times New Roman" w:cs="Times New Roman"/>
          <w:b/>
          <w:sz w:val="38"/>
          <w:szCs w:val="38"/>
        </w:rPr>
        <w:t xml:space="preserve"> gene causes cranioectodermal dysplasia</w:t>
      </w:r>
    </w:p>
    <w:p w14:paraId="50C27775" w14:textId="77777777" w:rsidR="00AF7703" w:rsidRPr="00223C6E" w:rsidRDefault="00000000">
      <w:p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sz w:val="24"/>
          <w:szCs w:val="24"/>
        </w:rPr>
        <w:t xml:space="preserve">Abdullah Sezer, Sukru S. Oner, Hanife Saat, Merve G. Turan, Tulin Gungor, Sebiha Cevik, Asli Karaman, Ferhan Yenisert, </w:t>
      </w:r>
      <w:r w:rsidRPr="00223C6E">
        <w:rPr>
          <w:rFonts w:ascii="Times New Roman" w:eastAsia="Times New Roman" w:hAnsi="Times New Roman" w:cs="Times New Roman"/>
          <w:sz w:val="24"/>
          <w:szCs w:val="24"/>
          <w:highlight w:val="white"/>
        </w:rPr>
        <w:t>Kerem Catalbas, Derya Hazal Ozbakir, Sinem Kocagil, Oğuz Cilingir,</w:t>
      </w:r>
      <w:r w:rsidRPr="00223C6E">
        <w:rPr>
          <w:rFonts w:ascii="Times New Roman" w:eastAsia="Times New Roman" w:hAnsi="Times New Roman" w:cs="Times New Roman"/>
          <w:sz w:val="24"/>
          <w:szCs w:val="24"/>
        </w:rPr>
        <w:t xml:space="preserve"> Mehmet Ali Ergun, Oktay I. Kaplan</w:t>
      </w:r>
    </w:p>
    <w:p w14:paraId="4F6DA85B" w14:textId="77777777" w:rsidR="00AF7703" w:rsidRPr="00223C6E" w:rsidRDefault="00AF7703">
      <w:pPr>
        <w:spacing w:line="480" w:lineRule="auto"/>
        <w:rPr>
          <w:rFonts w:ascii="Times New Roman" w:eastAsia="Times New Roman" w:hAnsi="Times New Roman" w:cs="Times New Roman"/>
          <w:b/>
          <w:sz w:val="28"/>
          <w:szCs w:val="28"/>
        </w:rPr>
      </w:pPr>
    </w:p>
    <w:p w14:paraId="3CE097A1" w14:textId="77777777" w:rsidR="00AF7703" w:rsidRPr="00223C6E" w:rsidRDefault="00000000">
      <w:pPr>
        <w:spacing w:line="480" w:lineRule="auto"/>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t>Supplementary Results</w:t>
      </w:r>
    </w:p>
    <w:p w14:paraId="0F25DCE6" w14:textId="77777777" w:rsidR="00AF7703" w:rsidRPr="00223C6E" w:rsidRDefault="00000000">
      <w:pPr>
        <w:pStyle w:val="Heading4"/>
        <w:keepNext w:val="0"/>
        <w:keepLines w:val="0"/>
        <w:spacing w:before="240" w:after="40" w:line="480" w:lineRule="auto"/>
        <w:rPr>
          <w:rFonts w:ascii="Times New Roman" w:eastAsia="Times New Roman" w:hAnsi="Times New Roman" w:cs="Times New Roman"/>
          <w:b/>
          <w:color w:val="auto"/>
          <w:sz w:val="22"/>
          <w:szCs w:val="22"/>
        </w:rPr>
      </w:pPr>
      <w:bookmarkStart w:id="0" w:name="_heading=h.guashdd7m0l9" w:colFirst="0" w:colLast="0"/>
      <w:bookmarkEnd w:id="0"/>
      <w:r w:rsidRPr="00223C6E">
        <w:rPr>
          <w:rFonts w:ascii="Times New Roman" w:eastAsia="Times New Roman" w:hAnsi="Times New Roman" w:cs="Times New Roman"/>
          <w:b/>
          <w:color w:val="auto"/>
          <w:sz w:val="22"/>
          <w:szCs w:val="22"/>
        </w:rPr>
        <w:t>Statistical Analysis</w:t>
      </w:r>
    </w:p>
    <w:p w14:paraId="3A981C20" w14:textId="77777777" w:rsidR="00AF7703" w:rsidRPr="00223C6E" w:rsidRDefault="00000000">
      <w:pPr>
        <w:spacing w:before="240" w:after="240"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sz w:val="24"/>
          <w:szCs w:val="24"/>
        </w:rPr>
        <w:t>All statistical analyses were conducted in R version 4.4.2. Cilia length measurements were compared across Control, Patient (CILK1_Patient), and Rescue groups using the Wilcoxon rank-sum test, implemented via the wilcox_</w:t>
      </w:r>
      <w:proofErr w:type="gramStart"/>
      <w:r w:rsidRPr="00223C6E">
        <w:rPr>
          <w:rFonts w:ascii="Times New Roman" w:eastAsia="Times New Roman" w:hAnsi="Times New Roman" w:cs="Times New Roman"/>
          <w:sz w:val="24"/>
          <w:szCs w:val="24"/>
        </w:rPr>
        <w:t>test(</w:t>
      </w:r>
      <w:proofErr w:type="gramEnd"/>
      <w:r w:rsidRPr="00223C6E">
        <w:rPr>
          <w:rFonts w:ascii="Times New Roman" w:eastAsia="Times New Roman" w:hAnsi="Times New Roman" w:cs="Times New Roman"/>
          <w:sz w:val="24"/>
          <w:szCs w:val="24"/>
        </w:rPr>
        <w:t xml:space="preserve">) function from the rstatix package (v0.7.2). P-values were adjusted for multiple testing using the False Discovery Rate (FDR) method. Effect sizes were calculated as Cohen’s d, with values interpreted according to conventional thresholds (0.2 = small, 0.5 = medium, 0.8 = large). Cilia length data were collected from: Control: </w:t>
      </w:r>
      <w:r w:rsidRPr="00223C6E">
        <w:rPr>
          <w:rFonts w:ascii="Times New Roman" w:eastAsia="Times New Roman" w:hAnsi="Times New Roman" w:cs="Times New Roman"/>
          <w:i/>
          <w:sz w:val="24"/>
          <w:szCs w:val="24"/>
        </w:rPr>
        <w:t>n</w:t>
      </w:r>
      <w:r w:rsidRPr="00223C6E">
        <w:rPr>
          <w:rFonts w:ascii="Times New Roman" w:eastAsia="Times New Roman" w:hAnsi="Times New Roman" w:cs="Times New Roman"/>
          <w:sz w:val="24"/>
          <w:szCs w:val="24"/>
        </w:rPr>
        <w:t xml:space="preserve"> = 23 samples, Patient: </w:t>
      </w:r>
      <w:r w:rsidRPr="00223C6E">
        <w:rPr>
          <w:rFonts w:ascii="Times New Roman" w:eastAsia="Times New Roman" w:hAnsi="Times New Roman" w:cs="Times New Roman"/>
          <w:i/>
          <w:sz w:val="24"/>
          <w:szCs w:val="24"/>
        </w:rPr>
        <w:t>n</w:t>
      </w:r>
      <w:r w:rsidRPr="00223C6E">
        <w:rPr>
          <w:rFonts w:ascii="Times New Roman" w:eastAsia="Times New Roman" w:hAnsi="Times New Roman" w:cs="Times New Roman"/>
          <w:sz w:val="24"/>
          <w:szCs w:val="24"/>
        </w:rPr>
        <w:t xml:space="preserve"> = 25 samples and Rescue: </w:t>
      </w:r>
      <w:r w:rsidRPr="00223C6E">
        <w:rPr>
          <w:rFonts w:ascii="Times New Roman" w:eastAsia="Times New Roman" w:hAnsi="Times New Roman" w:cs="Times New Roman"/>
          <w:i/>
          <w:sz w:val="24"/>
          <w:szCs w:val="24"/>
        </w:rPr>
        <w:t>n</w:t>
      </w:r>
      <w:r w:rsidRPr="00223C6E">
        <w:rPr>
          <w:rFonts w:ascii="Times New Roman" w:eastAsia="Times New Roman" w:hAnsi="Times New Roman" w:cs="Times New Roman"/>
          <w:sz w:val="24"/>
          <w:szCs w:val="24"/>
        </w:rPr>
        <w:t xml:space="preserve"> = 30 samples. Pairwise comparisons yielded:</w:t>
      </w:r>
    </w:p>
    <w:p w14:paraId="787BD6C8" w14:textId="77777777" w:rsidR="00AF7703" w:rsidRPr="00223C6E" w:rsidRDefault="00000000">
      <w:pPr>
        <w:numPr>
          <w:ilvl w:val="0"/>
          <w:numId w:val="2"/>
        </w:numPr>
        <w:spacing w:before="240"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Control vs. Patient:</w:t>
      </w:r>
      <w:r w:rsidRPr="00223C6E">
        <w:rPr>
          <w:rFonts w:ascii="Times New Roman" w:eastAsia="Times New Roman" w:hAnsi="Times New Roman" w:cs="Times New Roman"/>
          <w:sz w:val="24"/>
          <w:szCs w:val="24"/>
        </w:rPr>
        <w:t xml:space="preserve"> Adjusted p = 1.3×10⁻⁵ (****), Cohen’s d = –1.71 (large)</w:t>
      </w:r>
    </w:p>
    <w:p w14:paraId="41EBAAB8" w14:textId="77777777" w:rsidR="00AF7703" w:rsidRPr="00223C6E" w:rsidRDefault="00000000">
      <w:pPr>
        <w:numPr>
          <w:ilvl w:val="0"/>
          <w:numId w:val="2"/>
        </w:numPr>
        <w:spacing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Control vs. Rescue:</w:t>
      </w:r>
      <w:r w:rsidRPr="00223C6E">
        <w:rPr>
          <w:rFonts w:ascii="Times New Roman" w:eastAsia="Times New Roman" w:hAnsi="Times New Roman" w:cs="Times New Roman"/>
          <w:sz w:val="24"/>
          <w:szCs w:val="24"/>
        </w:rPr>
        <w:t xml:space="preserve"> Adjusted p = 0.34 (ns), Cohen’s d = –0.05 (negligible)</w:t>
      </w:r>
    </w:p>
    <w:p w14:paraId="09013CA0" w14:textId="77777777" w:rsidR="00AF7703" w:rsidRPr="00223C6E" w:rsidRDefault="00000000">
      <w:pPr>
        <w:numPr>
          <w:ilvl w:val="0"/>
          <w:numId w:val="2"/>
        </w:numPr>
        <w:spacing w:after="240"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Patient vs. Rescue:</w:t>
      </w:r>
      <w:r w:rsidRPr="00223C6E">
        <w:rPr>
          <w:rFonts w:ascii="Times New Roman" w:eastAsia="Times New Roman" w:hAnsi="Times New Roman" w:cs="Times New Roman"/>
          <w:sz w:val="24"/>
          <w:szCs w:val="24"/>
        </w:rPr>
        <w:t xml:space="preserve"> Adjusted p = </w:t>
      </w:r>
      <w:proofErr w:type="gramStart"/>
      <w:r w:rsidRPr="00223C6E">
        <w:rPr>
          <w:rFonts w:ascii="Times New Roman" w:eastAsia="Times New Roman" w:hAnsi="Times New Roman" w:cs="Times New Roman"/>
          <w:sz w:val="24"/>
          <w:szCs w:val="24"/>
        </w:rPr>
        <w:t>1.57×10⁻⁹</w:t>
      </w:r>
      <w:proofErr w:type="gramEnd"/>
      <w:r w:rsidRPr="00223C6E">
        <w:rPr>
          <w:rFonts w:ascii="Times New Roman" w:eastAsia="Times New Roman" w:hAnsi="Times New Roman" w:cs="Times New Roman"/>
          <w:sz w:val="24"/>
          <w:szCs w:val="24"/>
        </w:rPr>
        <w:t xml:space="preserve"> (****), Cohen’s d = 2.02 (large)</w:t>
      </w:r>
    </w:p>
    <w:p w14:paraId="0F7F6932" w14:textId="77777777" w:rsidR="00AF7703" w:rsidRPr="00223C6E" w:rsidRDefault="00AF7703">
      <w:pPr>
        <w:spacing w:before="240" w:after="240" w:line="480" w:lineRule="auto"/>
        <w:rPr>
          <w:rFonts w:ascii="Times New Roman" w:eastAsia="Times New Roman" w:hAnsi="Times New Roman" w:cs="Times New Roman"/>
          <w:sz w:val="24"/>
          <w:szCs w:val="24"/>
        </w:rPr>
      </w:pPr>
    </w:p>
    <w:p w14:paraId="25F356F1" w14:textId="77777777" w:rsidR="00AF7703" w:rsidRPr="00223C6E" w:rsidRDefault="00000000">
      <w:pPr>
        <w:spacing w:before="240" w:after="240"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sz w:val="24"/>
          <w:szCs w:val="24"/>
        </w:rPr>
        <w:lastRenderedPageBreak/>
        <w:t>Statistical analysis and visualization were performed using the dplyr (v1.1.4), ggplot2 (v3.5.1), ggpubr (v0.6.0), tidyr (v1.3.1), colorspace (v2.1.1), forcats (v1.0.0), and readxl (v1.4.5) packages.</w:t>
      </w:r>
    </w:p>
    <w:p w14:paraId="035B22BD" w14:textId="77777777" w:rsidR="00AF7703" w:rsidRPr="00223C6E" w:rsidRDefault="00000000">
      <w:pPr>
        <w:spacing w:before="240" w:after="240"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sz w:val="24"/>
          <w:szCs w:val="24"/>
        </w:rPr>
        <w:t xml:space="preserve">Ciliation frequency was assessed by calculating the proportion of ciliated vs. non-ciliated cells in each group. Comparisons between groups were performed using Fisher’s exact test from the base R stats package. For each group, cell counts </w:t>
      </w:r>
      <w:proofErr w:type="gramStart"/>
      <w:r w:rsidRPr="00223C6E">
        <w:rPr>
          <w:rFonts w:ascii="Times New Roman" w:eastAsia="Times New Roman" w:hAnsi="Times New Roman" w:cs="Times New Roman"/>
          <w:sz w:val="24"/>
          <w:szCs w:val="24"/>
        </w:rPr>
        <w:t>were:</w:t>
      </w:r>
      <w:proofErr w:type="gramEnd"/>
      <w:r w:rsidRPr="00223C6E">
        <w:rPr>
          <w:rFonts w:ascii="Times New Roman" w:eastAsia="Times New Roman" w:hAnsi="Times New Roman" w:cs="Times New Roman"/>
          <w:sz w:val="24"/>
          <w:szCs w:val="24"/>
        </w:rPr>
        <w:t xml:space="preserve"> Control: 862 ciliated / 161 non-ciliated, Patient: 445 ciliated / 464 non-ciliated and Rescue: 366 ciliated / 104 non-ciliated. The resulting p-values were:</w:t>
      </w:r>
    </w:p>
    <w:p w14:paraId="5A504F33" w14:textId="77777777" w:rsidR="00AF7703" w:rsidRPr="00223C6E" w:rsidRDefault="00000000">
      <w:pPr>
        <w:numPr>
          <w:ilvl w:val="0"/>
          <w:numId w:val="7"/>
        </w:numPr>
        <w:spacing w:before="240"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Control vs. Patient:</w:t>
      </w:r>
      <w:r w:rsidRPr="00223C6E">
        <w:rPr>
          <w:rFonts w:ascii="Times New Roman" w:eastAsia="Times New Roman" w:hAnsi="Times New Roman" w:cs="Times New Roman"/>
          <w:sz w:val="24"/>
          <w:szCs w:val="24"/>
        </w:rPr>
        <w:t xml:space="preserve"> p &lt; </w:t>
      </w:r>
      <w:proofErr w:type="gramStart"/>
      <w:r w:rsidRPr="00223C6E">
        <w:rPr>
          <w:rFonts w:ascii="Times New Roman" w:eastAsia="Times New Roman" w:hAnsi="Times New Roman" w:cs="Times New Roman"/>
          <w:sz w:val="24"/>
          <w:szCs w:val="24"/>
        </w:rPr>
        <w:t>2.2×10⁻¹⁶</w:t>
      </w:r>
      <w:proofErr w:type="gramEnd"/>
    </w:p>
    <w:p w14:paraId="55FB4D9D" w14:textId="77777777" w:rsidR="00AF7703" w:rsidRPr="00223C6E" w:rsidRDefault="00000000">
      <w:pPr>
        <w:numPr>
          <w:ilvl w:val="0"/>
          <w:numId w:val="7"/>
        </w:numPr>
        <w:spacing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Control vs. Rescue:</w:t>
      </w:r>
      <w:r w:rsidRPr="00223C6E">
        <w:rPr>
          <w:rFonts w:ascii="Times New Roman" w:eastAsia="Times New Roman" w:hAnsi="Times New Roman" w:cs="Times New Roman"/>
          <w:sz w:val="24"/>
          <w:szCs w:val="24"/>
        </w:rPr>
        <w:t xml:space="preserve"> p = 0.0035</w:t>
      </w:r>
    </w:p>
    <w:p w14:paraId="24DD6411" w14:textId="77777777" w:rsidR="00AF7703" w:rsidRPr="00223C6E" w:rsidRDefault="00000000">
      <w:pPr>
        <w:numPr>
          <w:ilvl w:val="0"/>
          <w:numId w:val="7"/>
        </w:numPr>
        <w:spacing w:after="240" w:line="480" w:lineRule="auto"/>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Patient vs. Rescue:</w:t>
      </w:r>
      <w:r w:rsidRPr="00223C6E">
        <w:rPr>
          <w:rFonts w:ascii="Times New Roman" w:eastAsia="Times New Roman" w:hAnsi="Times New Roman" w:cs="Times New Roman"/>
          <w:sz w:val="24"/>
          <w:szCs w:val="24"/>
        </w:rPr>
        <w:t xml:space="preserve"> p &lt; </w:t>
      </w:r>
      <w:proofErr w:type="gramStart"/>
      <w:r w:rsidRPr="00223C6E">
        <w:rPr>
          <w:rFonts w:ascii="Times New Roman" w:eastAsia="Times New Roman" w:hAnsi="Times New Roman" w:cs="Times New Roman"/>
          <w:sz w:val="24"/>
          <w:szCs w:val="24"/>
        </w:rPr>
        <w:t>2.2×10⁻¹⁶</w:t>
      </w:r>
      <w:proofErr w:type="gramEnd"/>
    </w:p>
    <w:p w14:paraId="5C54A675" w14:textId="77777777" w:rsidR="00AF7703" w:rsidRPr="00223C6E" w:rsidRDefault="00000000">
      <w:pPr>
        <w:spacing w:before="240" w:after="240" w:line="480" w:lineRule="auto"/>
        <w:rPr>
          <w:rFonts w:ascii="Times New Roman" w:hAnsi="Times New Roman" w:cs="Times New Roman"/>
          <w:b/>
        </w:rPr>
      </w:pPr>
      <w:r w:rsidRPr="00223C6E">
        <w:rPr>
          <w:rFonts w:ascii="Times New Roman" w:hAnsi="Times New Roman" w:cs="Times New Roman"/>
          <w:b/>
        </w:rPr>
        <w:t>Multiple Sequence Alignment and Visualization</w:t>
      </w:r>
    </w:p>
    <w:p w14:paraId="3682BEE1" w14:textId="77777777" w:rsidR="00AF7703" w:rsidRPr="00223C6E" w:rsidRDefault="00000000">
      <w:pPr>
        <w:spacing w:before="240" w:after="240" w:line="480" w:lineRule="auto"/>
        <w:jc w:val="both"/>
        <w:rPr>
          <w:rFonts w:ascii="Times New Roman" w:hAnsi="Times New Roman" w:cs="Times New Roman"/>
        </w:rPr>
      </w:pPr>
      <w:bookmarkStart w:id="1" w:name="_heading=h.m6jjls6gn3cs" w:colFirst="0" w:colLast="0"/>
      <w:bookmarkEnd w:id="1"/>
      <w:r w:rsidRPr="00223C6E">
        <w:rPr>
          <w:rFonts w:ascii="Times New Roman" w:hAnsi="Times New Roman" w:cs="Times New Roman"/>
        </w:rPr>
        <w:t xml:space="preserve">Protein sequences for </w:t>
      </w:r>
      <w:r w:rsidRPr="00223C6E">
        <w:rPr>
          <w:rFonts w:ascii="Times New Roman" w:hAnsi="Times New Roman" w:cs="Times New Roman"/>
          <w:i/>
        </w:rPr>
        <w:t>Homo sapiens</w:t>
      </w:r>
      <w:r w:rsidRPr="00223C6E">
        <w:rPr>
          <w:rFonts w:ascii="Times New Roman" w:hAnsi="Times New Roman" w:cs="Times New Roman"/>
        </w:rPr>
        <w:t xml:space="preserve"> CILK1 Isoform 2 (NP_001362326.1) and </w:t>
      </w:r>
      <w:r w:rsidRPr="00223C6E">
        <w:rPr>
          <w:rFonts w:ascii="Times New Roman" w:hAnsi="Times New Roman" w:cs="Times New Roman"/>
          <w:i/>
        </w:rPr>
        <w:t>Caenorhabditis elegans</w:t>
      </w:r>
      <w:r w:rsidRPr="00223C6E">
        <w:rPr>
          <w:rFonts w:ascii="Times New Roman" w:hAnsi="Times New Roman" w:cs="Times New Roman"/>
        </w:rPr>
        <w:t xml:space="preserve"> DYF-5 Isoform B (NP_001129786.2) were retrieved from the NCBI and WormBase databases, respectively. Pairwise multiple sequence alignment was performed using the T-Coffee tool available at</w:t>
      </w:r>
      <w:hyperlink r:id="rId6">
        <w:r w:rsidR="00AF7703" w:rsidRPr="00223C6E">
          <w:rPr>
            <w:rFonts w:ascii="Times New Roman" w:hAnsi="Times New Roman" w:cs="Times New Roman"/>
          </w:rPr>
          <w:t xml:space="preserve"> </w:t>
        </w:r>
      </w:hyperlink>
      <w:hyperlink r:id="rId7">
        <w:r w:rsidR="00AF7703" w:rsidRPr="00223C6E">
          <w:rPr>
            <w:rFonts w:ascii="Times New Roman" w:hAnsi="Times New Roman" w:cs="Times New Roman"/>
            <w:u w:val="single"/>
          </w:rPr>
          <w:t>https://www.ebi.ac.uk/jdispatcher/msa</w:t>
        </w:r>
      </w:hyperlink>
      <w:r w:rsidRPr="00223C6E">
        <w:rPr>
          <w:rFonts w:ascii="Times New Roman" w:hAnsi="Times New Roman" w:cs="Times New Roman"/>
        </w:rPr>
        <w:t xml:space="preserve">. The output alignment was configured to highlight identical residues in black on a red background and highly similar residues in red. The frameshift mutation </w:t>
      </w:r>
      <w:proofErr w:type="gramStart"/>
      <w:r w:rsidRPr="00223C6E">
        <w:rPr>
          <w:rFonts w:ascii="Times New Roman" w:hAnsi="Times New Roman" w:cs="Times New Roman"/>
        </w:rPr>
        <w:t>p.(</w:t>
      </w:r>
      <w:proofErr w:type="gramEnd"/>
      <w:r w:rsidRPr="00223C6E">
        <w:rPr>
          <w:rFonts w:ascii="Times New Roman" w:hAnsi="Times New Roman" w:cs="Times New Roman"/>
        </w:rPr>
        <w:t xml:space="preserve">Tyr555Cysfs*48) in the human CILK1 sequence was manually annotated. </w:t>
      </w:r>
    </w:p>
    <w:p w14:paraId="50E1988D" w14:textId="77777777" w:rsidR="00AF7703" w:rsidRPr="00223C6E" w:rsidRDefault="00000000">
      <w:pPr>
        <w:spacing w:before="240" w:after="240" w:line="480" w:lineRule="auto"/>
        <w:jc w:val="both"/>
        <w:rPr>
          <w:rFonts w:ascii="Times New Roman" w:hAnsi="Times New Roman" w:cs="Times New Roman"/>
          <w:b/>
        </w:rPr>
      </w:pPr>
      <w:r w:rsidRPr="00223C6E">
        <w:rPr>
          <w:rFonts w:ascii="Times New Roman" w:hAnsi="Times New Roman" w:cs="Times New Roman"/>
          <w:b/>
        </w:rPr>
        <w:t>Generation of DYF-</w:t>
      </w:r>
      <w:proofErr w:type="gramStart"/>
      <w:r w:rsidRPr="00223C6E">
        <w:rPr>
          <w:rFonts w:ascii="Times New Roman" w:hAnsi="Times New Roman" w:cs="Times New Roman"/>
          <w:b/>
        </w:rPr>
        <w:t>5::</w:t>
      </w:r>
      <w:proofErr w:type="gramEnd"/>
      <w:r w:rsidRPr="00223C6E">
        <w:rPr>
          <w:rFonts w:ascii="Times New Roman" w:hAnsi="Times New Roman" w:cs="Times New Roman"/>
          <w:b/>
        </w:rPr>
        <w:t>GFP Knock-in and Imaging Analysis</w:t>
      </w:r>
    </w:p>
    <w:p w14:paraId="79A638C1" w14:textId="77777777" w:rsidR="00AF7703" w:rsidRPr="00223C6E" w:rsidRDefault="00000000">
      <w:pPr>
        <w:spacing w:before="240" w:after="240" w:line="480" w:lineRule="auto"/>
        <w:jc w:val="both"/>
        <w:rPr>
          <w:rFonts w:ascii="Times New Roman" w:hAnsi="Times New Roman" w:cs="Times New Roman"/>
        </w:rPr>
      </w:pPr>
      <w:r w:rsidRPr="00223C6E">
        <w:rPr>
          <w:rFonts w:ascii="Times New Roman" w:hAnsi="Times New Roman" w:cs="Times New Roman"/>
        </w:rPr>
        <w:t xml:space="preserve">A GFP knock-in allele of </w:t>
      </w:r>
      <w:r w:rsidRPr="00223C6E">
        <w:rPr>
          <w:rFonts w:ascii="Times New Roman" w:hAnsi="Times New Roman" w:cs="Times New Roman"/>
          <w:i/>
        </w:rPr>
        <w:t>dyf-5</w:t>
      </w:r>
      <w:r w:rsidRPr="00223C6E">
        <w:rPr>
          <w:rFonts w:ascii="Times New Roman" w:hAnsi="Times New Roman" w:cs="Times New Roman"/>
        </w:rPr>
        <w:t xml:space="preserve"> was generated using CRISPR/Cas9 genome editing by SunyBiotech Co., Ltd. (strain designation: </w:t>
      </w:r>
      <w:r w:rsidRPr="00223C6E">
        <w:rPr>
          <w:rFonts w:ascii="Times New Roman" w:hAnsi="Times New Roman" w:cs="Times New Roman"/>
          <w:i/>
        </w:rPr>
        <w:t>dyf-5(syb5525)</w:t>
      </w:r>
      <w:r w:rsidRPr="00223C6E">
        <w:rPr>
          <w:rFonts w:ascii="Times New Roman" w:hAnsi="Times New Roman" w:cs="Times New Roman"/>
        </w:rPr>
        <w:t xml:space="preserve">). The GFP tag was inserted in-frame at the C-terminus of the endogenous </w:t>
      </w:r>
      <w:r w:rsidRPr="00223C6E">
        <w:rPr>
          <w:rFonts w:ascii="Times New Roman" w:hAnsi="Times New Roman" w:cs="Times New Roman"/>
          <w:i/>
        </w:rPr>
        <w:t>dyf-5</w:t>
      </w:r>
      <w:r w:rsidRPr="00223C6E">
        <w:rPr>
          <w:rFonts w:ascii="Times New Roman" w:hAnsi="Times New Roman" w:cs="Times New Roman"/>
        </w:rPr>
        <w:t xml:space="preserve"> locus to enable visualization of the DYF-5 protein in live animals. This knock-in strain served as the background for the subsequent introduction of the patient-derived frameshift mutation </w:t>
      </w:r>
      <w:proofErr w:type="gramStart"/>
      <w:r w:rsidRPr="00223C6E">
        <w:rPr>
          <w:rFonts w:ascii="Times New Roman" w:hAnsi="Times New Roman" w:cs="Times New Roman"/>
        </w:rPr>
        <w:t>p.(</w:t>
      </w:r>
      <w:proofErr w:type="gramEnd"/>
      <w:r w:rsidRPr="00223C6E">
        <w:rPr>
          <w:rFonts w:ascii="Times New Roman" w:hAnsi="Times New Roman" w:cs="Times New Roman"/>
        </w:rPr>
        <w:t xml:space="preserve">Tyr555Cysfs*48) into the </w:t>
      </w:r>
      <w:r w:rsidRPr="00223C6E">
        <w:rPr>
          <w:rFonts w:ascii="Times New Roman" w:hAnsi="Times New Roman" w:cs="Times New Roman"/>
          <w:i/>
        </w:rPr>
        <w:t>dyf-</w:t>
      </w:r>
      <w:proofErr w:type="gramStart"/>
      <w:r w:rsidRPr="00223C6E">
        <w:rPr>
          <w:rFonts w:ascii="Times New Roman" w:hAnsi="Times New Roman" w:cs="Times New Roman"/>
          <w:i/>
        </w:rPr>
        <w:t>5::</w:t>
      </w:r>
      <w:proofErr w:type="gramEnd"/>
      <w:r w:rsidRPr="00223C6E">
        <w:rPr>
          <w:rFonts w:ascii="Times New Roman" w:hAnsi="Times New Roman" w:cs="Times New Roman"/>
          <w:i/>
        </w:rPr>
        <w:t>gfp</w:t>
      </w:r>
      <w:r w:rsidRPr="00223C6E">
        <w:rPr>
          <w:rFonts w:ascii="Times New Roman" w:hAnsi="Times New Roman" w:cs="Times New Roman"/>
        </w:rPr>
        <w:t xml:space="preserve"> allele, resulting in the strain </w:t>
      </w:r>
      <w:r w:rsidRPr="00223C6E">
        <w:rPr>
          <w:rFonts w:ascii="Times New Roman" w:hAnsi="Times New Roman" w:cs="Times New Roman"/>
          <w:i/>
        </w:rPr>
        <w:t>dyf-5(syb5525/syb5721)</w:t>
      </w:r>
      <w:r w:rsidRPr="00223C6E">
        <w:rPr>
          <w:rFonts w:ascii="Times New Roman" w:hAnsi="Times New Roman" w:cs="Times New Roman"/>
        </w:rPr>
        <w:t>.</w:t>
      </w:r>
    </w:p>
    <w:p w14:paraId="78DC34A7" w14:textId="77777777" w:rsidR="00AF7703" w:rsidRPr="00223C6E" w:rsidRDefault="00000000">
      <w:pPr>
        <w:spacing w:before="240" w:after="240" w:line="480" w:lineRule="auto"/>
        <w:jc w:val="both"/>
        <w:rPr>
          <w:rFonts w:ascii="Times New Roman" w:hAnsi="Times New Roman" w:cs="Times New Roman"/>
        </w:rPr>
      </w:pPr>
      <w:bookmarkStart w:id="2" w:name="_heading=h.iiq5x0aioxq6" w:colFirst="0" w:colLast="0"/>
      <w:bookmarkEnd w:id="2"/>
      <w:r w:rsidRPr="00223C6E">
        <w:rPr>
          <w:rFonts w:ascii="Times New Roman" w:hAnsi="Times New Roman" w:cs="Times New Roman"/>
        </w:rPr>
        <w:lastRenderedPageBreak/>
        <w:t>To visualize ciliary localization and potential effects on motor protein distribution, a plasmid encoding OSM-3 fused to mCherry (</w:t>
      </w:r>
      <w:r w:rsidRPr="00223C6E">
        <w:rPr>
          <w:rFonts w:ascii="Times New Roman" w:hAnsi="Times New Roman" w:cs="Times New Roman"/>
          <w:i/>
        </w:rPr>
        <w:t>OSM-</w:t>
      </w:r>
      <w:proofErr w:type="gramStart"/>
      <w:r w:rsidRPr="00223C6E">
        <w:rPr>
          <w:rFonts w:ascii="Times New Roman" w:hAnsi="Times New Roman" w:cs="Times New Roman"/>
          <w:i/>
        </w:rPr>
        <w:t>3::</w:t>
      </w:r>
      <w:proofErr w:type="gramEnd"/>
      <w:r w:rsidRPr="00223C6E">
        <w:rPr>
          <w:rFonts w:ascii="Times New Roman" w:hAnsi="Times New Roman" w:cs="Times New Roman"/>
          <w:i/>
        </w:rPr>
        <w:t>mCherry</w:t>
      </w:r>
      <w:r w:rsidRPr="00223C6E">
        <w:rPr>
          <w:rFonts w:ascii="Times New Roman" w:hAnsi="Times New Roman" w:cs="Times New Roman"/>
        </w:rPr>
        <w:t xml:space="preserve">) was microinjected into the </w:t>
      </w:r>
      <w:r w:rsidRPr="00223C6E">
        <w:rPr>
          <w:rFonts w:ascii="Times New Roman" w:hAnsi="Times New Roman" w:cs="Times New Roman"/>
          <w:i/>
        </w:rPr>
        <w:t>dyf-5(syb5525/syb5721)</w:t>
      </w:r>
      <w:r w:rsidRPr="00223C6E">
        <w:rPr>
          <w:rFonts w:ascii="Times New Roman" w:hAnsi="Times New Roman" w:cs="Times New Roman"/>
        </w:rPr>
        <w:t xml:space="preserve"> strain to generate extrachromosomal transgenic lines. Successfully injected animals expressing both DYF-</w:t>
      </w:r>
      <w:proofErr w:type="gramStart"/>
      <w:r w:rsidRPr="00223C6E">
        <w:rPr>
          <w:rFonts w:ascii="Times New Roman" w:hAnsi="Times New Roman" w:cs="Times New Roman"/>
        </w:rPr>
        <w:t>5::</w:t>
      </w:r>
      <w:proofErr w:type="gramEnd"/>
      <w:r w:rsidRPr="00223C6E">
        <w:rPr>
          <w:rFonts w:ascii="Times New Roman" w:hAnsi="Times New Roman" w:cs="Times New Roman"/>
        </w:rPr>
        <w:t>GFP and OSM-</w:t>
      </w:r>
      <w:proofErr w:type="gramStart"/>
      <w:r w:rsidRPr="00223C6E">
        <w:rPr>
          <w:rFonts w:ascii="Times New Roman" w:hAnsi="Times New Roman" w:cs="Times New Roman"/>
        </w:rPr>
        <w:t>3::</w:t>
      </w:r>
      <w:proofErr w:type="gramEnd"/>
      <w:r w:rsidRPr="00223C6E">
        <w:rPr>
          <w:rFonts w:ascii="Times New Roman" w:hAnsi="Times New Roman" w:cs="Times New Roman"/>
        </w:rPr>
        <w:t>mCherry were selected for imaging. High-resolution fluorescence imaging was performed using a ZEISS LSM 900 confocal microscope equipped with Airyscan 2 technology. Images were acquired under consistent settings across all genotypes to allow direct comparison of protein localization patterns and fluorescence intensity.</w:t>
      </w:r>
    </w:p>
    <w:p w14:paraId="33A23672" w14:textId="77777777" w:rsidR="005B4A5B" w:rsidRPr="00223C6E" w:rsidRDefault="00000000">
      <w:pPr>
        <w:spacing w:before="240" w:after="240" w:line="480" w:lineRule="auto"/>
        <w:jc w:val="both"/>
        <w:rPr>
          <w:rFonts w:ascii="Times New Roman" w:hAnsi="Times New Roman" w:cs="Times New Roman"/>
          <w:b/>
        </w:rPr>
      </w:pPr>
      <w:r w:rsidRPr="00223C6E">
        <w:rPr>
          <w:rFonts w:ascii="Times New Roman" w:hAnsi="Times New Roman" w:cs="Times New Roman"/>
          <w:b/>
        </w:rPr>
        <w:t>Reverse Transcription Quantitative PCR (RT-qPCR)</w:t>
      </w:r>
    </w:p>
    <w:p w14:paraId="32DCE447" w14:textId="710F6FA7" w:rsidR="00AF7703" w:rsidRPr="00223C6E" w:rsidRDefault="00000000">
      <w:pPr>
        <w:spacing w:before="240" w:after="240" w:line="480" w:lineRule="auto"/>
        <w:jc w:val="both"/>
        <w:rPr>
          <w:rFonts w:ascii="Times New Roman" w:hAnsi="Times New Roman" w:cs="Times New Roman"/>
        </w:rPr>
      </w:pPr>
      <w:r w:rsidRPr="00223C6E">
        <w:rPr>
          <w:rFonts w:ascii="Times New Roman" w:hAnsi="Times New Roman" w:cs="Times New Roman"/>
        </w:rPr>
        <w:t xml:space="preserve">Total RNA was isolated from control and patient-derived fibroblast cells carrying the </w:t>
      </w:r>
      <w:r w:rsidRPr="00223C6E">
        <w:rPr>
          <w:rFonts w:ascii="Times New Roman" w:hAnsi="Times New Roman" w:cs="Times New Roman"/>
          <w:i/>
        </w:rPr>
        <w:t>CILK1</w:t>
      </w:r>
      <w:r w:rsidRPr="00223C6E">
        <w:rPr>
          <w:rFonts w:ascii="Times New Roman" w:hAnsi="Times New Roman" w:cs="Times New Roman"/>
        </w:rPr>
        <w:t xml:space="preserve"> frameshift mutation </w:t>
      </w:r>
      <w:proofErr w:type="gramStart"/>
      <w:r w:rsidRPr="00223C6E">
        <w:rPr>
          <w:rFonts w:ascii="Times New Roman" w:hAnsi="Times New Roman" w:cs="Times New Roman"/>
        </w:rPr>
        <w:t>p.(</w:t>
      </w:r>
      <w:proofErr w:type="gramEnd"/>
      <w:r w:rsidRPr="00223C6E">
        <w:rPr>
          <w:rFonts w:ascii="Times New Roman" w:hAnsi="Times New Roman" w:cs="Times New Roman"/>
        </w:rPr>
        <w:t xml:space="preserve">Tyr555Cysfs*48) using the Monark Total RNA Isolation Kit (New England Biolabs, NEB), following the manufacturer's instructions. RNA concentration and purity were assessed using a NanoDrop spectrophotometer (Thermo Fisher Scientific). For cDNA synthesis, 500 ng to 1 </w:t>
      </w:r>
      <w:proofErr w:type="gramStart"/>
      <w:r w:rsidRPr="00223C6E">
        <w:rPr>
          <w:rFonts w:ascii="Times New Roman" w:hAnsi="Times New Roman" w:cs="Times New Roman"/>
        </w:rPr>
        <w:t>µg</w:t>
      </w:r>
      <w:proofErr w:type="gramEnd"/>
      <w:r w:rsidRPr="00223C6E">
        <w:rPr>
          <w:rFonts w:ascii="Times New Roman" w:hAnsi="Times New Roman" w:cs="Times New Roman"/>
        </w:rPr>
        <w:t xml:space="preserve"> of total RNA was reverse transcribed using the LunaScript RT SuperMix (NEB). Quantitative PCR was performed using the GoTaq qPCR Master Mix (Promega) on a QuantStudio 5 Real-Time PCR System (Applied Biosystems). Reactions were carried out in a 20 µL final volume, containing 0.5 µL of cDNA, 0.6 µM of each primer, and 10 µL of 2× master mix. The thermal cycling conditions </w:t>
      </w:r>
      <w:proofErr w:type="gramStart"/>
      <w:r w:rsidRPr="00223C6E">
        <w:rPr>
          <w:rFonts w:ascii="Times New Roman" w:hAnsi="Times New Roman" w:cs="Times New Roman"/>
        </w:rPr>
        <w:t>were:</w:t>
      </w:r>
      <w:proofErr w:type="gramEnd"/>
      <w:r w:rsidRPr="00223C6E">
        <w:rPr>
          <w:rFonts w:ascii="Times New Roman" w:hAnsi="Times New Roman" w:cs="Times New Roman"/>
        </w:rPr>
        <w:t xml:space="preserve"> initial denaturation at 95°C for 2 minutes, followed by 40 cycles of 95°C for 15 seconds and 60°C for 30 seconds.</w:t>
      </w:r>
    </w:p>
    <w:p w14:paraId="5F2E4A23" w14:textId="77777777" w:rsidR="00AF7703" w:rsidRPr="00223C6E" w:rsidRDefault="00000000">
      <w:pPr>
        <w:spacing w:before="240" w:after="240" w:line="480" w:lineRule="auto"/>
        <w:jc w:val="both"/>
        <w:rPr>
          <w:rFonts w:ascii="Times New Roman" w:hAnsi="Times New Roman" w:cs="Times New Roman"/>
        </w:rPr>
      </w:pPr>
      <w:sdt>
        <w:sdtPr>
          <w:rPr>
            <w:rFonts w:ascii="Times New Roman" w:hAnsi="Times New Roman" w:cs="Times New Roman"/>
          </w:rPr>
          <w:tag w:val="goog_rdk_0"/>
          <w:id w:val="-2020230743"/>
        </w:sdtPr>
        <w:sdtContent>
          <w:r w:rsidRPr="00223C6E">
            <w:rPr>
              <w:rFonts w:ascii="Times New Roman" w:eastAsia="Arial Unicode MS" w:hAnsi="Times New Roman" w:cs="Times New Roman"/>
            </w:rPr>
            <w:t>Each sample was analyzed in technical triplicates. Relative gene expression was calculated using the 2^−ΔΔCt method and normalized to the expression of the reference gene GAPDH.</w:t>
          </w:r>
        </w:sdtContent>
      </w:sdt>
    </w:p>
    <w:p w14:paraId="182D0F2D" w14:textId="77777777" w:rsidR="005B4A5B" w:rsidRPr="00223C6E" w:rsidRDefault="00000000">
      <w:pPr>
        <w:spacing w:before="240" w:after="240" w:line="480" w:lineRule="auto"/>
        <w:jc w:val="both"/>
        <w:rPr>
          <w:rFonts w:ascii="Times New Roman" w:hAnsi="Times New Roman" w:cs="Times New Roman"/>
        </w:rPr>
      </w:pPr>
      <w:r w:rsidRPr="00223C6E">
        <w:rPr>
          <w:rFonts w:ascii="Times New Roman" w:hAnsi="Times New Roman" w:cs="Times New Roman"/>
        </w:rPr>
        <w:t>qPCR primers used:</w:t>
      </w:r>
    </w:p>
    <w:p w14:paraId="0DDF1276" w14:textId="13ABE5BA" w:rsidR="00AF7703" w:rsidRPr="00223C6E" w:rsidRDefault="00000000">
      <w:pPr>
        <w:spacing w:before="240" w:after="240" w:line="480" w:lineRule="auto"/>
        <w:jc w:val="both"/>
        <w:rPr>
          <w:rFonts w:ascii="Times New Roman" w:hAnsi="Times New Roman" w:cs="Times New Roman"/>
          <w:i/>
        </w:rPr>
      </w:pPr>
      <w:r w:rsidRPr="00223C6E">
        <w:rPr>
          <w:rFonts w:ascii="Times New Roman" w:hAnsi="Times New Roman" w:cs="Times New Roman"/>
        </w:rPr>
        <w:t xml:space="preserve"> </w:t>
      </w:r>
      <w:r w:rsidRPr="00223C6E">
        <w:rPr>
          <w:rFonts w:ascii="Times New Roman" w:hAnsi="Times New Roman" w:cs="Times New Roman"/>
          <w:i/>
        </w:rPr>
        <w:t>CILK1</w:t>
      </w:r>
    </w:p>
    <w:p w14:paraId="41D3E201" w14:textId="77777777" w:rsidR="00AF7703" w:rsidRPr="00223C6E" w:rsidRDefault="00000000">
      <w:pPr>
        <w:numPr>
          <w:ilvl w:val="0"/>
          <w:numId w:val="1"/>
        </w:numPr>
        <w:spacing w:before="240" w:line="480" w:lineRule="auto"/>
        <w:rPr>
          <w:rFonts w:ascii="Times New Roman" w:hAnsi="Times New Roman" w:cs="Times New Roman"/>
        </w:rPr>
      </w:pPr>
      <w:r w:rsidRPr="00223C6E">
        <w:rPr>
          <w:rFonts w:ascii="Times New Roman" w:hAnsi="Times New Roman" w:cs="Times New Roman"/>
        </w:rPr>
        <w:t xml:space="preserve">Forward: CILK1_715_FW — </w:t>
      </w:r>
      <w:r w:rsidRPr="00223C6E">
        <w:rPr>
          <w:rFonts w:ascii="Times New Roman" w:eastAsia="Roboto Mono" w:hAnsi="Times New Roman" w:cs="Times New Roman"/>
        </w:rPr>
        <w:t>CCACAGTGTGTACCCAATAACT</w:t>
      </w:r>
      <w:r w:rsidRPr="00223C6E">
        <w:rPr>
          <w:rFonts w:ascii="Times New Roman" w:eastAsia="Roboto Mono" w:hAnsi="Times New Roman" w:cs="Times New Roman"/>
        </w:rPr>
        <w:br/>
      </w:r>
    </w:p>
    <w:p w14:paraId="78920F7C" w14:textId="77777777" w:rsidR="00AF7703" w:rsidRPr="00223C6E" w:rsidRDefault="00000000">
      <w:pPr>
        <w:numPr>
          <w:ilvl w:val="0"/>
          <w:numId w:val="1"/>
        </w:numPr>
        <w:spacing w:after="240" w:line="480" w:lineRule="auto"/>
        <w:rPr>
          <w:rFonts w:ascii="Times New Roman" w:hAnsi="Times New Roman" w:cs="Times New Roman"/>
        </w:rPr>
      </w:pPr>
      <w:r w:rsidRPr="00223C6E">
        <w:rPr>
          <w:rFonts w:ascii="Times New Roman" w:hAnsi="Times New Roman" w:cs="Times New Roman"/>
        </w:rPr>
        <w:lastRenderedPageBreak/>
        <w:t xml:space="preserve">Reverse: CILK1_803_RV — </w:t>
      </w:r>
      <w:r w:rsidRPr="00223C6E">
        <w:rPr>
          <w:rFonts w:ascii="Times New Roman" w:eastAsia="Roboto Mono" w:hAnsi="Times New Roman" w:cs="Times New Roman"/>
        </w:rPr>
        <w:t>GACTAGCTGTTGGTCGTTTCT</w:t>
      </w:r>
      <w:r w:rsidRPr="00223C6E">
        <w:rPr>
          <w:rFonts w:ascii="Times New Roman" w:eastAsia="Roboto Mono" w:hAnsi="Times New Roman" w:cs="Times New Roman"/>
        </w:rPr>
        <w:br/>
      </w:r>
    </w:p>
    <w:p w14:paraId="1669010F" w14:textId="77777777" w:rsidR="00AF7703" w:rsidRPr="00223C6E" w:rsidRDefault="00000000">
      <w:pPr>
        <w:spacing w:before="240" w:after="240" w:line="480" w:lineRule="auto"/>
        <w:jc w:val="both"/>
        <w:rPr>
          <w:rFonts w:ascii="Times New Roman" w:hAnsi="Times New Roman" w:cs="Times New Roman"/>
          <w:i/>
        </w:rPr>
      </w:pPr>
      <w:r w:rsidRPr="00223C6E">
        <w:rPr>
          <w:rFonts w:ascii="Times New Roman" w:hAnsi="Times New Roman" w:cs="Times New Roman"/>
          <w:i/>
        </w:rPr>
        <w:t>GAPDH</w:t>
      </w:r>
    </w:p>
    <w:p w14:paraId="555A5D69" w14:textId="77777777" w:rsidR="00AF7703" w:rsidRPr="00223C6E" w:rsidRDefault="00000000">
      <w:pPr>
        <w:numPr>
          <w:ilvl w:val="0"/>
          <w:numId w:val="8"/>
        </w:numPr>
        <w:spacing w:before="240" w:line="480" w:lineRule="auto"/>
        <w:rPr>
          <w:rFonts w:ascii="Times New Roman" w:hAnsi="Times New Roman" w:cs="Times New Roman"/>
        </w:rPr>
      </w:pPr>
      <w:r w:rsidRPr="00223C6E">
        <w:rPr>
          <w:rFonts w:ascii="Times New Roman" w:hAnsi="Times New Roman" w:cs="Times New Roman"/>
        </w:rPr>
        <w:t xml:space="preserve">Forward: GAPDH_FW — </w:t>
      </w:r>
      <w:r w:rsidRPr="00223C6E">
        <w:rPr>
          <w:rFonts w:ascii="Times New Roman" w:eastAsia="Roboto Mono" w:hAnsi="Times New Roman" w:cs="Times New Roman"/>
        </w:rPr>
        <w:t>GTCTCCTCTGACTTCAACAGCG</w:t>
      </w:r>
      <w:r w:rsidRPr="00223C6E">
        <w:rPr>
          <w:rFonts w:ascii="Times New Roman" w:eastAsia="Roboto Mono" w:hAnsi="Times New Roman" w:cs="Times New Roman"/>
        </w:rPr>
        <w:br/>
      </w:r>
    </w:p>
    <w:p w14:paraId="06BE717F" w14:textId="77777777" w:rsidR="00AF7703" w:rsidRPr="00223C6E" w:rsidRDefault="00000000">
      <w:pPr>
        <w:numPr>
          <w:ilvl w:val="0"/>
          <w:numId w:val="8"/>
        </w:numPr>
        <w:spacing w:after="240" w:line="480" w:lineRule="auto"/>
        <w:rPr>
          <w:rFonts w:ascii="Times New Roman" w:hAnsi="Times New Roman" w:cs="Times New Roman"/>
        </w:rPr>
      </w:pPr>
      <w:bookmarkStart w:id="3" w:name="_heading=h.sj9a6oc6idge" w:colFirst="0" w:colLast="0"/>
      <w:bookmarkEnd w:id="3"/>
      <w:r w:rsidRPr="00223C6E">
        <w:rPr>
          <w:rFonts w:ascii="Times New Roman" w:hAnsi="Times New Roman" w:cs="Times New Roman"/>
        </w:rPr>
        <w:t xml:space="preserve">Reverse: GAPDH_RV — </w:t>
      </w:r>
      <w:r w:rsidRPr="00223C6E">
        <w:rPr>
          <w:rFonts w:ascii="Times New Roman" w:eastAsia="Roboto Mono" w:hAnsi="Times New Roman" w:cs="Times New Roman"/>
        </w:rPr>
        <w:t>ACCACCCTGTTGCTGTAGCCAA</w:t>
      </w:r>
    </w:p>
    <w:p w14:paraId="5314BB46" w14:textId="77777777" w:rsidR="00AF7703" w:rsidRPr="00223C6E" w:rsidRDefault="00000000">
      <w:pPr>
        <w:spacing w:line="480" w:lineRule="auto"/>
        <w:rPr>
          <w:rFonts w:ascii="Times New Roman" w:eastAsia="Times New Roman" w:hAnsi="Times New Roman" w:cs="Times New Roman"/>
          <w:b/>
          <w:sz w:val="24"/>
          <w:szCs w:val="24"/>
        </w:rPr>
      </w:pPr>
      <w:bookmarkStart w:id="4" w:name="_heading=h.gjdgxs" w:colFirst="0" w:colLast="0"/>
      <w:bookmarkEnd w:id="4"/>
      <w:r w:rsidRPr="00223C6E">
        <w:rPr>
          <w:rFonts w:ascii="Times New Roman" w:eastAsia="Times New Roman" w:hAnsi="Times New Roman" w:cs="Times New Roman"/>
          <w:b/>
          <w:sz w:val="24"/>
          <w:szCs w:val="24"/>
        </w:rPr>
        <w:t>Clinical reports</w:t>
      </w:r>
    </w:p>
    <w:p w14:paraId="5D6157BA" w14:textId="77777777" w:rsidR="00AF7703" w:rsidRPr="00223C6E" w:rsidRDefault="00000000">
      <w:pPr>
        <w:spacing w:line="480" w:lineRule="auto"/>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t>Patient 1 (Individual V-20 in Family 1)</w:t>
      </w:r>
    </w:p>
    <w:p w14:paraId="7A6F589A" w14:textId="77777777" w:rsidR="00AF7703" w:rsidRPr="00223C6E" w:rsidRDefault="00000000">
      <w:pPr>
        <w:numPr>
          <w:ilvl w:val="0"/>
          <w:numId w:val="5"/>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Clinical history:</w:t>
      </w:r>
      <w:r w:rsidRPr="00223C6E">
        <w:rPr>
          <w:rFonts w:ascii="Times New Roman" w:eastAsia="Times New Roman" w:hAnsi="Times New Roman" w:cs="Times New Roman"/>
          <w:b/>
          <w:sz w:val="24"/>
          <w:szCs w:val="24"/>
        </w:rPr>
        <w:t xml:space="preserve"> </w:t>
      </w:r>
      <w:r w:rsidRPr="00223C6E">
        <w:rPr>
          <w:rFonts w:ascii="Times New Roman" w:eastAsia="Times New Roman" w:hAnsi="Times New Roman" w:cs="Times New Roman"/>
          <w:sz w:val="24"/>
          <w:szCs w:val="24"/>
        </w:rPr>
        <w:t xml:space="preserve">Patient 1 was a 4-year-8-month-old female at her first appointment with Medical Genetics. She is the fifth child of parents with known consanguinity. The second child (individual V-17 in Family 1) of the parents was affected by hydrocephalus, chronic kidney disease, and ectodermal dysplasia and died at the age of 8 years. Patient 1 was born by cesarean section with a birth weight of 2700 grams after a normal pregnancy. Her birth length and head circumference measurements were not recorded. Ectodermal findings of sparse hair, eyebrows, and eyelashes were present at birth. Newborn vision and hearing tests were normal. At 1 year of age, she presented with polyuria and polydipsia. The patient's BUN, creatinine, SGOT, and SGPT levels began to deteriorate at the age of 3.5 years. The patient was followed by pediatric nephrology and </w:t>
      </w:r>
      <w:proofErr w:type="gramStart"/>
      <w:r w:rsidRPr="00223C6E">
        <w:rPr>
          <w:rFonts w:ascii="Times New Roman" w:eastAsia="Times New Roman" w:hAnsi="Times New Roman" w:cs="Times New Roman"/>
          <w:sz w:val="24"/>
          <w:szCs w:val="24"/>
        </w:rPr>
        <w:t>started on</w:t>
      </w:r>
      <w:proofErr w:type="gramEnd"/>
      <w:r w:rsidRPr="00223C6E">
        <w:rPr>
          <w:rFonts w:ascii="Times New Roman" w:eastAsia="Times New Roman" w:hAnsi="Times New Roman" w:cs="Times New Roman"/>
          <w:sz w:val="24"/>
          <w:szCs w:val="24"/>
        </w:rPr>
        <w:t xml:space="preserve"> renal replacement therapy after the age of 5 years due to chronic kidney disease (CKD). The patient also had multiple emergency admissions and hospitalizations for treatment of recurrent lung infections after the age of 2 years. The patient was occasionally admitted to hospital with nosebleeds. She also suffered from chronic constipation and was operated on for rectal prolapse at the age of 5.5 years. Dystrophic retinal changes were noted in ophthalmological examinations at ages </w:t>
      </w:r>
      <w:r w:rsidRPr="00223C6E">
        <w:rPr>
          <w:rFonts w:ascii="Times New Roman" w:eastAsia="Times New Roman" w:hAnsi="Times New Roman" w:cs="Times New Roman"/>
          <w:sz w:val="24"/>
          <w:szCs w:val="24"/>
        </w:rPr>
        <w:lastRenderedPageBreak/>
        <w:t>three and seven. She had a mild motor delay and walked unsupported at the age of two. She spoke her first words at the age of two and can now form long sentences. She has never attended a regular school because of CKD. She is currently 7 years old and alive and is on a peritoneal dialysis program. The patient is also on supportive care with calcium carbonate, amlodipine, calcitriol, doxazosin mesylate, polystyrene sulfonate calcium, vitamin D3, magnesium oxide, lactulose, and darbepoetin alfa.</w:t>
      </w:r>
    </w:p>
    <w:p w14:paraId="1CA70A94" w14:textId="77777777" w:rsidR="00AF7703" w:rsidRPr="00223C6E" w:rsidRDefault="00000000">
      <w:pPr>
        <w:numPr>
          <w:ilvl w:val="0"/>
          <w:numId w:val="5"/>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Physical examination:</w:t>
      </w:r>
      <w:r w:rsidRPr="00223C6E">
        <w:rPr>
          <w:rFonts w:ascii="Times New Roman" w:eastAsia="Times New Roman" w:hAnsi="Times New Roman" w:cs="Times New Roman"/>
          <w:sz w:val="24"/>
          <w:szCs w:val="24"/>
        </w:rPr>
        <w:t xml:space="preserve"> Her measurements at the follow-up visits showed short stature, relatively normal weight, and relative macrocephaly (Figure S1). She had dysmorphic craniofacial features including dolichocephaly, frontal bossing, occipital bossing, high forehead, telecanthus, wide nasal bridge, and full cheeks. Her skeletal examination showed joint laxity, pectus excavatum, rhizomelia, brachydactyly, fifth finger clinodactyly, sandal gap, and pes planus. She also had ectodermal dysplasia findings, including fine hair, sparse hair, eyebrows, eyelashes, small and malformed teeth, dysplastic toenails, and dry skin. </w:t>
      </w:r>
    </w:p>
    <w:p w14:paraId="4F4D8257" w14:textId="77777777" w:rsidR="00AF7703" w:rsidRPr="00223C6E" w:rsidRDefault="00000000">
      <w:pPr>
        <w:numPr>
          <w:ilvl w:val="0"/>
          <w:numId w:val="5"/>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Imaging:</w:t>
      </w:r>
      <w:r w:rsidRPr="00223C6E">
        <w:rPr>
          <w:rFonts w:ascii="Times New Roman" w:eastAsia="Times New Roman" w:hAnsi="Times New Roman" w:cs="Times New Roman"/>
          <w:sz w:val="24"/>
          <w:szCs w:val="24"/>
        </w:rPr>
        <w:t xml:space="preserve"> Bone structures were reported as normal on cranial CT. Cranial MRI revealed external hydrocephalus, ventriculomegaly, and cerebral and cerebellar atrophy. While the patient's echocardiography examinations performed in early childhood were normal, left ventricular hypertrophy secondary to CKD was detected in follow-up evaluations. The structure and size of the liver and spleen were normal in the multiple abdominal ultrasound imaging. However, the urinary ultrasounds showed mildly dilated pelvicalyceal structures and increased echogenicity in both kidneys. The skeletal survey indicated a narrow thorax, pectus excavatum, short clavicles, delayed ossification of carpal bones, and metaphyseal irregularities on long bones.</w:t>
      </w:r>
    </w:p>
    <w:p w14:paraId="6B8E34BF" w14:textId="77777777" w:rsidR="00AF7703" w:rsidRPr="00223C6E" w:rsidRDefault="00000000">
      <w:pPr>
        <w:numPr>
          <w:ilvl w:val="0"/>
          <w:numId w:val="5"/>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Genetic investigations:</w:t>
      </w:r>
      <w:r w:rsidRPr="00223C6E">
        <w:rPr>
          <w:rFonts w:ascii="Times New Roman" w:eastAsia="Times New Roman" w:hAnsi="Times New Roman" w:cs="Times New Roman"/>
          <w:b/>
          <w:sz w:val="24"/>
          <w:szCs w:val="24"/>
        </w:rPr>
        <w:t xml:space="preserve"> </w:t>
      </w:r>
      <w:r w:rsidRPr="00223C6E">
        <w:rPr>
          <w:rFonts w:ascii="Times New Roman" w:eastAsia="Times New Roman" w:hAnsi="Times New Roman" w:cs="Times New Roman"/>
          <w:sz w:val="24"/>
          <w:szCs w:val="24"/>
        </w:rPr>
        <w:t xml:space="preserve">Single gene sequence analyses of the </w:t>
      </w:r>
      <w:r w:rsidRPr="00223C6E">
        <w:rPr>
          <w:rFonts w:ascii="Times New Roman" w:eastAsia="Times New Roman" w:hAnsi="Times New Roman" w:cs="Times New Roman"/>
          <w:i/>
          <w:sz w:val="24"/>
          <w:szCs w:val="24"/>
        </w:rPr>
        <w:t>IFT22</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 xml:space="preserve">EDA, </w:t>
      </w:r>
      <w:r w:rsidRPr="00223C6E">
        <w:rPr>
          <w:rFonts w:ascii="Times New Roman" w:eastAsia="Times New Roman" w:hAnsi="Times New Roman" w:cs="Times New Roman"/>
          <w:sz w:val="24"/>
          <w:szCs w:val="24"/>
        </w:rPr>
        <w:t xml:space="preserve">and </w:t>
      </w:r>
      <w:r w:rsidRPr="00223C6E">
        <w:rPr>
          <w:rFonts w:ascii="Times New Roman" w:eastAsia="Times New Roman" w:hAnsi="Times New Roman" w:cs="Times New Roman"/>
          <w:i/>
          <w:sz w:val="24"/>
          <w:szCs w:val="24"/>
        </w:rPr>
        <w:t xml:space="preserve">EDARR </w:t>
      </w:r>
      <w:r w:rsidRPr="00223C6E">
        <w:rPr>
          <w:rFonts w:ascii="Times New Roman" w:eastAsia="Times New Roman" w:hAnsi="Times New Roman" w:cs="Times New Roman"/>
          <w:sz w:val="24"/>
          <w:szCs w:val="24"/>
        </w:rPr>
        <w:t xml:space="preserve">genes were performed consecutively for the etiology of ectodermal dysplasia and </w:t>
      </w:r>
      <w:r w:rsidRPr="00223C6E">
        <w:rPr>
          <w:rFonts w:ascii="Times New Roman" w:eastAsia="Times New Roman" w:hAnsi="Times New Roman" w:cs="Times New Roman"/>
          <w:sz w:val="24"/>
          <w:szCs w:val="24"/>
        </w:rPr>
        <w:lastRenderedPageBreak/>
        <w:t xml:space="preserve">kidney disease. Following these, clinical exome sequencing (ES) analysis was performed to evaluate the etiology of cranioectodermal dysplasia using the Sophia Clinical Exome Solution v2 capture kit (SOPHiA Genetics SA., Switzerland) on the NextSeq platform (Illumina Inc., CA). The sequence analysis of the </w:t>
      </w:r>
      <w:r w:rsidRPr="00223C6E">
        <w:rPr>
          <w:rFonts w:ascii="Times New Roman" w:eastAsia="Times New Roman" w:hAnsi="Times New Roman" w:cs="Times New Roman"/>
          <w:i/>
          <w:sz w:val="24"/>
          <w:szCs w:val="24"/>
        </w:rPr>
        <w:t>IFT43</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IFT122</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IFT140</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WDR19</w:t>
      </w:r>
      <w:r w:rsidRPr="00223C6E">
        <w:rPr>
          <w:rFonts w:ascii="Times New Roman" w:eastAsia="Times New Roman" w:hAnsi="Times New Roman" w:cs="Times New Roman"/>
          <w:sz w:val="24"/>
          <w:szCs w:val="24"/>
        </w:rPr>
        <w:t xml:space="preserve">, and </w:t>
      </w:r>
      <w:r w:rsidRPr="00223C6E">
        <w:rPr>
          <w:rFonts w:ascii="Times New Roman" w:eastAsia="Times New Roman" w:hAnsi="Times New Roman" w:cs="Times New Roman"/>
          <w:i/>
          <w:sz w:val="24"/>
          <w:szCs w:val="24"/>
        </w:rPr>
        <w:t>WDR35</w:t>
      </w:r>
      <w:r w:rsidRPr="00223C6E">
        <w:rPr>
          <w:rFonts w:ascii="Times New Roman" w:eastAsia="Times New Roman" w:hAnsi="Times New Roman" w:cs="Times New Roman"/>
          <w:sz w:val="24"/>
          <w:szCs w:val="24"/>
        </w:rPr>
        <w:t xml:space="preserve"> genes were </w:t>
      </w:r>
      <w:proofErr w:type="gramStart"/>
      <w:r w:rsidRPr="00223C6E">
        <w:rPr>
          <w:rFonts w:ascii="Times New Roman" w:eastAsia="Times New Roman" w:hAnsi="Times New Roman" w:cs="Times New Roman"/>
          <w:sz w:val="24"/>
          <w:szCs w:val="24"/>
        </w:rPr>
        <w:t>normal</w:t>
      </w:r>
      <w:proofErr w:type="gramEnd"/>
      <w:r w:rsidRPr="00223C6E">
        <w:rPr>
          <w:rFonts w:ascii="Times New Roman" w:eastAsia="Times New Roman" w:hAnsi="Times New Roman" w:cs="Times New Roman"/>
          <w:sz w:val="24"/>
          <w:szCs w:val="24"/>
        </w:rPr>
        <w:t xml:space="preserve"> and their </w:t>
      </w:r>
      <w:proofErr w:type="gramStart"/>
      <w:r w:rsidRPr="00223C6E">
        <w:rPr>
          <w:rFonts w:ascii="Times New Roman" w:eastAsia="Times New Roman" w:hAnsi="Times New Roman" w:cs="Times New Roman"/>
          <w:sz w:val="24"/>
          <w:szCs w:val="24"/>
        </w:rPr>
        <w:t>coverages were</w:t>
      </w:r>
      <w:proofErr w:type="gramEnd"/>
      <w:r w:rsidRPr="00223C6E">
        <w:rPr>
          <w:rFonts w:ascii="Times New Roman" w:eastAsia="Times New Roman" w:hAnsi="Times New Roman" w:cs="Times New Roman"/>
          <w:sz w:val="24"/>
          <w:szCs w:val="24"/>
        </w:rPr>
        <w:t xml:space="preserve"> sufficient.</w:t>
      </w:r>
    </w:p>
    <w:p w14:paraId="498A67DE" w14:textId="77777777" w:rsidR="00AF7703" w:rsidRPr="00223C6E" w:rsidRDefault="00000000">
      <w:pPr>
        <w:numPr>
          <w:ilvl w:val="0"/>
          <w:numId w:val="5"/>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Laboratory: </w:t>
      </w:r>
      <w:r w:rsidRPr="00223C6E">
        <w:rPr>
          <w:rFonts w:ascii="Times New Roman" w:eastAsia="Times New Roman" w:hAnsi="Times New Roman" w:cs="Times New Roman"/>
          <w:sz w:val="24"/>
          <w:szCs w:val="24"/>
        </w:rPr>
        <w:t xml:space="preserve">Laboratory results are shown in Table S1. </w:t>
      </w:r>
    </w:p>
    <w:p w14:paraId="5DBF7974" w14:textId="77777777" w:rsidR="00AF7703" w:rsidRPr="00223C6E" w:rsidRDefault="00AF7703">
      <w:pPr>
        <w:spacing w:line="480" w:lineRule="auto"/>
        <w:rPr>
          <w:rFonts w:ascii="Times New Roman" w:eastAsia="Times New Roman" w:hAnsi="Times New Roman" w:cs="Times New Roman"/>
          <w:sz w:val="24"/>
          <w:szCs w:val="24"/>
        </w:rPr>
      </w:pPr>
    </w:p>
    <w:p w14:paraId="15A32DC3" w14:textId="77777777" w:rsidR="00AF7703" w:rsidRPr="00223C6E" w:rsidRDefault="00000000">
      <w:pPr>
        <w:spacing w:line="480" w:lineRule="auto"/>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t xml:space="preserve">Patient </w:t>
      </w:r>
      <w:proofErr w:type="gramStart"/>
      <w:r w:rsidRPr="00223C6E">
        <w:rPr>
          <w:rFonts w:ascii="Times New Roman" w:eastAsia="Times New Roman" w:hAnsi="Times New Roman" w:cs="Times New Roman"/>
          <w:b/>
          <w:sz w:val="24"/>
          <w:szCs w:val="24"/>
        </w:rPr>
        <w:t>2  (</w:t>
      </w:r>
      <w:proofErr w:type="gramEnd"/>
      <w:r w:rsidRPr="00223C6E">
        <w:rPr>
          <w:rFonts w:ascii="Times New Roman" w:eastAsia="Times New Roman" w:hAnsi="Times New Roman" w:cs="Times New Roman"/>
          <w:b/>
          <w:sz w:val="24"/>
          <w:szCs w:val="24"/>
        </w:rPr>
        <w:t>Individual V-27 in Family 1)</w:t>
      </w:r>
    </w:p>
    <w:p w14:paraId="301F446B" w14:textId="77777777" w:rsidR="00AF7703" w:rsidRPr="00223C6E" w:rsidRDefault="00000000">
      <w:pPr>
        <w:numPr>
          <w:ilvl w:val="0"/>
          <w:numId w:val="4"/>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Clinical history: </w:t>
      </w:r>
      <w:r w:rsidRPr="00223C6E">
        <w:rPr>
          <w:rFonts w:ascii="Times New Roman" w:eastAsia="Times New Roman" w:hAnsi="Times New Roman" w:cs="Times New Roman"/>
          <w:sz w:val="24"/>
          <w:szCs w:val="24"/>
        </w:rPr>
        <w:t xml:space="preserve">Patient 2 was a 9-year-old female at her first appointment with Medical Genetics. She is the fifth child of parents with known consanguinity. The patient's immediate family did not include any other individuals with a similar phenotype, nevertheless, two of her siblings passed away at the ages of one year and one week, respectively, due to unknown etiologies. The patient was born by </w:t>
      </w:r>
      <w:proofErr w:type="gramStart"/>
      <w:r w:rsidRPr="00223C6E">
        <w:rPr>
          <w:rFonts w:ascii="Times New Roman" w:eastAsia="Times New Roman" w:hAnsi="Times New Roman" w:cs="Times New Roman"/>
          <w:sz w:val="24"/>
          <w:szCs w:val="24"/>
        </w:rPr>
        <w:t>caesarian</w:t>
      </w:r>
      <w:proofErr w:type="gramEnd"/>
      <w:r w:rsidRPr="00223C6E">
        <w:rPr>
          <w:rFonts w:ascii="Times New Roman" w:eastAsia="Times New Roman" w:hAnsi="Times New Roman" w:cs="Times New Roman"/>
          <w:sz w:val="24"/>
          <w:szCs w:val="24"/>
        </w:rPr>
        <w:t xml:space="preserve"> section following a normal pregnancy. Her physical measurements at birth were not recorded. Ectodermal findings of sparse hair, eyebrows, and eyelashes were present at birth. Newborn vision and hearing screenings were normal. The patient’s first admission to the hospital was due to rectal prolapse at the age of one, and she underwent surgery. She was also suffering from chronic constipation. The second presentation to the hospital was due to polyuria and polydipsia at the age of three. Then, she was followed up by pediatric nephrology at the age of three and </w:t>
      </w:r>
      <w:proofErr w:type="gramStart"/>
      <w:r w:rsidRPr="00223C6E">
        <w:rPr>
          <w:rFonts w:ascii="Times New Roman" w:eastAsia="Times New Roman" w:hAnsi="Times New Roman" w:cs="Times New Roman"/>
          <w:sz w:val="24"/>
          <w:szCs w:val="24"/>
        </w:rPr>
        <w:t>started on</w:t>
      </w:r>
      <w:proofErr w:type="gramEnd"/>
      <w:r w:rsidRPr="00223C6E">
        <w:rPr>
          <w:rFonts w:ascii="Times New Roman" w:eastAsia="Times New Roman" w:hAnsi="Times New Roman" w:cs="Times New Roman"/>
          <w:sz w:val="24"/>
          <w:szCs w:val="24"/>
        </w:rPr>
        <w:t xml:space="preserve"> renal replacement therapy after the age of 8 years due to CKD. Only a low degree of myopia was noted during the ophthalmology examinations at ages four and nine. She had a mild motor developmental delay and walked on her own at the age of two. She spoke her first words at the age of two and can now make long sentences. She has never attended regular school due to CKD. She is currently 10 years old and alive and is on a hemodialysis </w:t>
      </w:r>
      <w:r w:rsidRPr="00223C6E">
        <w:rPr>
          <w:rFonts w:ascii="Times New Roman" w:eastAsia="Times New Roman" w:hAnsi="Times New Roman" w:cs="Times New Roman"/>
          <w:sz w:val="24"/>
          <w:szCs w:val="24"/>
        </w:rPr>
        <w:lastRenderedPageBreak/>
        <w:t>program. The patient is also on supportive care with sodium bicarbonate, calcitriol, polystyrene sulfonate calcium, enalapril, allopurinol, lactulose, and ferrous sulfate.</w:t>
      </w:r>
    </w:p>
    <w:p w14:paraId="3A9087A6" w14:textId="77777777" w:rsidR="00AF7703" w:rsidRPr="00223C6E" w:rsidRDefault="00000000">
      <w:pPr>
        <w:numPr>
          <w:ilvl w:val="0"/>
          <w:numId w:val="4"/>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Physical examination:</w:t>
      </w:r>
      <w:r w:rsidRPr="00223C6E">
        <w:rPr>
          <w:rFonts w:ascii="Times New Roman" w:eastAsia="Times New Roman" w:hAnsi="Times New Roman" w:cs="Times New Roman"/>
          <w:b/>
          <w:sz w:val="24"/>
          <w:szCs w:val="24"/>
        </w:rPr>
        <w:t xml:space="preserve"> </w:t>
      </w:r>
      <w:r w:rsidRPr="00223C6E">
        <w:rPr>
          <w:rFonts w:ascii="Times New Roman" w:eastAsia="Times New Roman" w:hAnsi="Times New Roman" w:cs="Times New Roman"/>
          <w:sz w:val="24"/>
          <w:szCs w:val="24"/>
        </w:rPr>
        <w:t xml:space="preserve">Her measurements at the follow-up visits showed short stature, relatively normal weight, and relative macrocephaly. She had dysmorphic craniofacial features including frontal bossing, high forehead, telechanthus, wide nasal bridge, and full cheeks. Her skeletal examination showed pectus excavatum, mild rhizomelia, brachydactyly, fifth finger clinodactyly, sandal gap, and pes planus. She also had ectodermal dysplasia findings, including fine hair, sparse eyebrows and eyelashes, small and malformed teeth, short toenails, and dry skin. </w:t>
      </w:r>
    </w:p>
    <w:p w14:paraId="55B0CFC8" w14:textId="77777777" w:rsidR="00AF7703" w:rsidRPr="00223C6E" w:rsidRDefault="00000000">
      <w:pPr>
        <w:numPr>
          <w:ilvl w:val="0"/>
          <w:numId w:val="4"/>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Imaging:</w:t>
      </w:r>
      <w:r w:rsidRPr="00223C6E">
        <w:rPr>
          <w:rFonts w:ascii="Times New Roman" w:eastAsia="Times New Roman" w:hAnsi="Times New Roman" w:cs="Times New Roman"/>
          <w:b/>
          <w:sz w:val="24"/>
          <w:szCs w:val="24"/>
        </w:rPr>
        <w:t xml:space="preserve"> </w:t>
      </w:r>
      <w:r w:rsidRPr="00223C6E">
        <w:rPr>
          <w:rFonts w:ascii="Times New Roman" w:eastAsia="Times New Roman" w:hAnsi="Times New Roman" w:cs="Times New Roman"/>
          <w:sz w:val="24"/>
          <w:szCs w:val="24"/>
        </w:rPr>
        <w:t>Cranial MRI revealed external hydrocephalus, ventriculomegaly, and cerebral and cerebellar atrophy. Echocardiography examinations were normal. While her spleen was enlarged with a normal echo, the structure and size of the liver were normal in the abdominal ultrasound. Additionally, the kidney ultrasounds showed increased echogenicity in both kidneys. The skeletal survey indicated a narrow thorax, pectus excavatum, delayed ossification of carpal bones, and metaphyseal irregularities on long bones.</w:t>
      </w:r>
    </w:p>
    <w:p w14:paraId="7B201BBF" w14:textId="77777777" w:rsidR="00AF7703" w:rsidRPr="00223C6E" w:rsidRDefault="00000000">
      <w:pPr>
        <w:numPr>
          <w:ilvl w:val="0"/>
          <w:numId w:val="4"/>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Genetic investigations: </w:t>
      </w:r>
      <w:r w:rsidRPr="00223C6E">
        <w:rPr>
          <w:rFonts w:ascii="Times New Roman" w:eastAsia="Times New Roman" w:hAnsi="Times New Roman" w:cs="Times New Roman"/>
          <w:sz w:val="24"/>
          <w:szCs w:val="24"/>
        </w:rPr>
        <w:t xml:space="preserve">Sequence analyses of </w:t>
      </w:r>
      <w:r w:rsidRPr="00223C6E">
        <w:rPr>
          <w:rFonts w:ascii="Times New Roman" w:eastAsia="Times New Roman" w:hAnsi="Times New Roman" w:cs="Times New Roman"/>
          <w:i/>
          <w:sz w:val="24"/>
          <w:szCs w:val="24"/>
        </w:rPr>
        <w:t xml:space="preserve">EDA </w:t>
      </w:r>
      <w:r w:rsidRPr="00223C6E">
        <w:rPr>
          <w:rFonts w:ascii="Times New Roman" w:eastAsia="Times New Roman" w:hAnsi="Times New Roman" w:cs="Times New Roman"/>
          <w:sz w:val="24"/>
          <w:szCs w:val="24"/>
        </w:rPr>
        <w:t xml:space="preserve">and </w:t>
      </w:r>
      <w:r w:rsidRPr="00223C6E">
        <w:rPr>
          <w:rFonts w:ascii="Times New Roman" w:eastAsia="Times New Roman" w:hAnsi="Times New Roman" w:cs="Times New Roman"/>
          <w:i/>
          <w:sz w:val="24"/>
          <w:szCs w:val="24"/>
        </w:rPr>
        <w:t xml:space="preserve">EDARR </w:t>
      </w:r>
      <w:r w:rsidRPr="00223C6E">
        <w:rPr>
          <w:rFonts w:ascii="Times New Roman" w:eastAsia="Times New Roman" w:hAnsi="Times New Roman" w:cs="Times New Roman"/>
          <w:sz w:val="24"/>
          <w:szCs w:val="24"/>
        </w:rPr>
        <w:t xml:space="preserve">genes were performed for the etiology of ectodermal dysplasia. Chromosomal microarray analysis also resulted in normal. Following these, clinical ES analysis was performed to evaluate the etiology of cranioectodermal dysplasia using the Sophia Clinical Exome Solution v2 capture kit (SOPHiA Genetics SA., Switzerland) on the NextSeq platform (Illumina Inc., CA). The sequence analysis of the </w:t>
      </w:r>
      <w:r w:rsidRPr="00223C6E">
        <w:rPr>
          <w:rFonts w:ascii="Times New Roman" w:eastAsia="Times New Roman" w:hAnsi="Times New Roman" w:cs="Times New Roman"/>
          <w:i/>
          <w:sz w:val="24"/>
          <w:szCs w:val="24"/>
        </w:rPr>
        <w:t>IFT43</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IFT122</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IFT140</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WDR19</w:t>
      </w:r>
      <w:r w:rsidRPr="00223C6E">
        <w:rPr>
          <w:rFonts w:ascii="Times New Roman" w:eastAsia="Times New Roman" w:hAnsi="Times New Roman" w:cs="Times New Roman"/>
          <w:sz w:val="24"/>
          <w:szCs w:val="24"/>
        </w:rPr>
        <w:t xml:space="preserve">, and </w:t>
      </w:r>
      <w:r w:rsidRPr="00223C6E">
        <w:rPr>
          <w:rFonts w:ascii="Times New Roman" w:eastAsia="Times New Roman" w:hAnsi="Times New Roman" w:cs="Times New Roman"/>
          <w:i/>
          <w:sz w:val="24"/>
          <w:szCs w:val="24"/>
        </w:rPr>
        <w:t>WDR35</w:t>
      </w:r>
      <w:r w:rsidRPr="00223C6E">
        <w:rPr>
          <w:rFonts w:ascii="Times New Roman" w:eastAsia="Times New Roman" w:hAnsi="Times New Roman" w:cs="Times New Roman"/>
          <w:sz w:val="24"/>
          <w:szCs w:val="24"/>
        </w:rPr>
        <w:t xml:space="preserve"> genes were </w:t>
      </w:r>
      <w:proofErr w:type="gramStart"/>
      <w:r w:rsidRPr="00223C6E">
        <w:rPr>
          <w:rFonts w:ascii="Times New Roman" w:eastAsia="Times New Roman" w:hAnsi="Times New Roman" w:cs="Times New Roman"/>
          <w:sz w:val="24"/>
          <w:szCs w:val="24"/>
        </w:rPr>
        <w:t>normal</w:t>
      </w:r>
      <w:proofErr w:type="gramEnd"/>
      <w:r w:rsidRPr="00223C6E">
        <w:rPr>
          <w:rFonts w:ascii="Times New Roman" w:eastAsia="Times New Roman" w:hAnsi="Times New Roman" w:cs="Times New Roman"/>
          <w:sz w:val="24"/>
          <w:szCs w:val="24"/>
        </w:rPr>
        <w:t xml:space="preserve"> and their </w:t>
      </w:r>
      <w:proofErr w:type="gramStart"/>
      <w:r w:rsidRPr="00223C6E">
        <w:rPr>
          <w:rFonts w:ascii="Times New Roman" w:eastAsia="Times New Roman" w:hAnsi="Times New Roman" w:cs="Times New Roman"/>
          <w:sz w:val="24"/>
          <w:szCs w:val="24"/>
        </w:rPr>
        <w:t>coverages were</w:t>
      </w:r>
      <w:proofErr w:type="gramEnd"/>
      <w:r w:rsidRPr="00223C6E">
        <w:rPr>
          <w:rFonts w:ascii="Times New Roman" w:eastAsia="Times New Roman" w:hAnsi="Times New Roman" w:cs="Times New Roman"/>
          <w:sz w:val="24"/>
          <w:szCs w:val="24"/>
        </w:rPr>
        <w:t xml:space="preserve"> sufficient.</w:t>
      </w:r>
    </w:p>
    <w:p w14:paraId="19D56467" w14:textId="77777777" w:rsidR="00AF7703" w:rsidRPr="00223C6E" w:rsidRDefault="00000000">
      <w:pPr>
        <w:numPr>
          <w:ilvl w:val="0"/>
          <w:numId w:val="4"/>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Laboratory: </w:t>
      </w:r>
      <w:r w:rsidRPr="00223C6E">
        <w:rPr>
          <w:rFonts w:ascii="Times New Roman" w:eastAsia="Times New Roman" w:hAnsi="Times New Roman" w:cs="Times New Roman"/>
          <w:sz w:val="24"/>
          <w:szCs w:val="24"/>
        </w:rPr>
        <w:t>Laboratory results are shown in Table S1.</w:t>
      </w:r>
    </w:p>
    <w:p w14:paraId="2A797A31" w14:textId="77777777" w:rsidR="00AF7703" w:rsidRPr="00223C6E" w:rsidRDefault="00AF7703">
      <w:pPr>
        <w:spacing w:line="480" w:lineRule="auto"/>
        <w:jc w:val="both"/>
        <w:rPr>
          <w:rFonts w:ascii="Times New Roman" w:eastAsia="Times New Roman" w:hAnsi="Times New Roman" w:cs="Times New Roman"/>
          <w:i/>
          <w:sz w:val="24"/>
          <w:szCs w:val="24"/>
        </w:rPr>
      </w:pPr>
    </w:p>
    <w:p w14:paraId="11517B2D" w14:textId="77777777" w:rsidR="00AF7703" w:rsidRPr="00223C6E" w:rsidRDefault="00000000">
      <w:pPr>
        <w:spacing w:line="480" w:lineRule="auto"/>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lastRenderedPageBreak/>
        <w:t>Patient 3 (Individual VI-5 in Family 1)</w:t>
      </w:r>
    </w:p>
    <w:p w14:paraId="7DEF2ADC"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Clinical history:</w:t>
      </w:r>
      <w:r w:rsidRPr="00223C6E">
        <w:rPr>
          <w:rFonts w:ascii="Times New Roman" w:eastAsia="Times New Roman" w:hAnsi="Times New Roman" w:cs="Times New Roman"/>
          <w:i/>
          <w:sz w:val="24"/>
          <w:szCs w:val="24"/>
        </w:rPr>
        <w:t xml:space="preserve"> </w:t>
      </w:r>
      <w:r w:rsidRPr="00223C6E">
        <w:rPr>
          <w:rFonts w:ascii="Times New Roman" w:eastAsia="Times New Roman" w:hAnsi="Times New Roman" w:cs="Times New Roman"/>
          <w:sz w:val="24"/>
          <w:szCs w:val="24"/>
        </w:rPr>
        <w:t xml:space="preserve">Patient 3 was a 6-year and 4-month-old male at his first appointment with Medical Genetics. He was the fifth child of the parents with known consanguinity. The patient's immediate family did not include another individual with a similar phenotype. His physical measurements at birth were not recorded. Ectodermal findings of sparse hair, eyebrows, and eyelashes were present at birth. The patient’s first admission to the hospital was due to hepatomegaly and elevated liver enzyme levels at the age of four. Following this, he showed polyuria and polydipsia symptoms in the same year and was followed by pediatric gastroenterology and nephrology. His liver disease progressed to hepatosplenomegaly and hypersplenism with cytopenia. The patient had occasional nose and ear bleeding. Even though he was diagnosed with CKD, he never received renal replacement therapy and was evaluated as compensated for CKD. </w:t>
      </w:r>
      <w:proofErr w:type="gramStart"/>
      <w:r w:rsidRPr="00223C6E">
        <w:rPr>
          <w:rFonts w:ascii="Times New Roman" w:eastAsia="Times New Roman" w:hAnsi="Times New Roman" w:cs="Times New Roman"/>
          <w:sz w:val="24"/>
          <w:szCs w:val="24"/>
        </w:rPr>
        <w:t>A retinal</w:t>
      </w:r>
      <w:proofErr w:type="gramEnd"/>
      <w:r w:rsidRPr="00223C6E">
        <w:rPr>
          <w:rFonts w:ascii="Times New Roman" w:eastAsia="Times New Roman" w:hAnsi="Times New Roman" w:cs="Times New Roman"/>
          <w:sz w:val="24"/>
          <w:szCs w:val="24"/>
        </w:rPr>
        <w:t xml:space="preserve"> hyperpigmentation was detected during the ophthalmology examination at the age of seven. He had a mild motor developmental delay and walked on his own at the age of three. He spoke his first words at the age of two and could make long sentences. He has never attended regular school due to chronic liver and kidney disease. The patient died at the age of nine years due to chronic organ dysfunction. The patient received potassium salts, Scholl's solution, ursodeoxycholic acid, calcium carbonate, calcitriol, and darbepoetin alfa as supportive therapies in his terminal period. </w:t>
      </w:r>
    </w:p>
    <w:p w14:paraId="5B4C3EFE"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Physical examination:</w:t>
      </w:r>
      <w:r w:rsidRPr="00223C6E">
        <w:rPr>
          <w:rFonts w:ascii="Times New Roman" w:eastAsia="Times New Roman" w:hAnsi="Times New Roman" w:cs="Times New Roman"/>
          <w:b/>
          <w:sz w:val="24"/>
          <w:szCs w:val="24"/>
        </w:rPr>
        <w:t xml:space="preserve"> </w:t>
      </w:r>
      <w:r w:rsidRPr="00223C6E">
        <w:rPr>
          <w:rFonts w:ascii="Times New Roman" w:eastAsia="Times New Roman" w:hAnsi="Times New Roman" w:cs="Times New Roman"/>
          <w:sz w:val="24"/>
          <w:szCs w:val="24"/>
        </w:rPr>
        <w:t xml:space="preserve">His measurements at the follow-up visits showed short stature, relatively normal weight, and relative macrocephaly. He had dysmorphic craniofacial features including frontal bossing, high forehead, wide nasal bridge, and full cheeks. His skeletal examination showed joint laxity, brachydactyly, and sandal gap. On abdominal examination at age 8, Traube's space was dull, the spleen was palpable at the inguinal region and the liver was palpable. He also had obvious icterus and </w:t>
      </w:r>
      <w:r w:rsidRPr="00223C6E">
        <w:rPr>
          <w:rFonts w:ascii="Times New Roman" w:eastAsia="Times New Roman" w:hAnsi="Times New Roman" w:cs="Times New Roman"/>
          <w:sz w:val="24"/>
          <w:szCs w:val="24"/>
        </w:rPr>
        <w:lastRenderedPageBreak/>
        <w:t xml:space="preserve">ectodermal dysplasia findings, including fine hair, sparse hair, eyebrows and eyelashes, small and malformed teeth, dystrophic toenails, and dry skin. </w:t>
      </w:r>
    </w:p>
    <w:p w14:paraId="171986E5"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Imaging: </w:t>
      </w:r>
      <w:r w:rsidRPr="00223C6E">
        <w:rPr>
          <w:rFonts w:ascii="Times New Roman" w:eastAsia="Times New Roman" w:hAnsi="Times New Roman" w:cs="Times New Roman"/>
          <w:sz w:val="24"/>
          <w:szCs w:val="24"/>
        </w:rPr>
        <w:t>Bone structures were reported as normal on cranial CT. Cranial MRI revealed external hydrocephalus and cavum septum pellucidum. Echocardiography examinations showed left ventricular hypertrophy. The liver and spleen were massively enlarged on the abdominal ultrasound and CT. The kidney ultrasounds showed increased echogenicity in both kidneys. The skeletal survey radiography was reported as uneventful at an external center, but we could not evaluate it ourselves.</w:t>
      </w:r>
    </w:p>
    <w:p w14:paraId="4958B2E4"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Genetic investigations:</w:t>
      </w:r>
      <w:r w:rsidRPr="00223C6E">
        <w:rPr>
          <w:rFonts w:ascii="Times New Roman" w:eastAsia="Times New Roman" w:hAnsi="Times New Roman" w:cs="Times New Roman"/>
          <w:i/>
          <w:sz w:val="24"/>
          <w:szCs w:val="24"/>
        </w:rPr>
        <w:t xml:space="preserve"> </w:t>
      </w:r>
      <w:r w:rsidRPr="00223C6E">
        <w:rPr>
          <w:rFonts w:ascii="Times New Roman" w:eastAsia="Times New Roman" w:hAnsi="Times New Roman" w:cs="Times New Roman"/>
          <w:sz w:val="24"/>
          <w:szCs w:val="24"/>
        </w:rPr>
        <w:t xml:space="preserve">Sequence analyses of </w:t>
      </w:r>
      <w:r w:rsidRPr="00223C6E">
        <w:rPr>
          <w:rFonts w:ascii="Times New Roman" w:eastAsia="Times New Roman" w:hAnsi="Times New Roman" w:cs="Times New Roman"/>
          <w:i/>
          <w:sz w:val="24"/>
          <w:szCs w:val="24"/>
        </w:rPr>
        <w:t xml:space="preserve">NPC1 </w:t>
      </w:r>
      <w:r w:rsidRPr="00223C6E">
        <w:rPr>
          <w:rFonts w:ascii="Times New Roman" w:eastAsia="Times New Roman" w:hAnsi="Times New Roman" w:cs="Times New Roman"/>
          <w:sz w:val="24"/>
          <w:szCs w:val="24"/>
        </w:rPr>
        <w:t xml:space="preserve">and </w:t>
      </w:r>
      <w:r w:rsidRPr="00223C6E">
        <w:rPr>
          <w:rFonts w:ascii="Times New Roman" w:eastAsia="Times New Roman" w:hAnsi="Times New Roman" w:cs="Times New Roman"/>
          <w:i/>
          <w:sz w:val="24"/>
          <w:szCs w:val="24"/>
        </w:rPr>
        <w:t xml:space="preserve">NPC2 </w:t>
      </w:r>
      <w:r w:rsidRPr="00223C6E">
        <w:rPr>
          <w:rFonts w:ascii="Times New Roman" w:eastAsia="Times New Roman" w:hAnsi="Times New Roman" w:cs="Times New Roman"/>
          <w:sz w:val="24"/>
          <w:szCs w:val="24"/>
        </w:rPr>
        <w:t xml:space="preserve">genes were performed for the etiology of hepatomegaly. Following these, clinical ES analysis was performed to evaluate the etiology of cranioectodermal dysplasia using the Sophia Clinical Exome Solution v2 capture kit (SOPHiA Genetics SA., Switzerland) on the NextSeq platform (Illumina Inc., CA). The sequence analysis of the </w:t>
      </w:r>
      <w:r w:rsidRPr="00223C6E">
        <w:rPr>
          <w:rFonts w:ascii="Times New Roman" w:eastAsia="Times New Roman" w:hAnsi="Times New Roman" w:cs="Times New Roman"/>
          <w:i/>
          <w:sz w:val="24"/>
          <w:szCs w:val="24"/>
        </w:rPr>
        <w:t>IFT43</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IFT122</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IFT140</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WDR19</w:t>
      </w:r>
      <w:r w:rsidRPr="00223C6E">
        <w:rPr>
          <w:rFonts w:ascii="Times New Roman" w:eastAsia="Times New Roman" w:hAnsi="Times New Roman" w:cs="Times New Roman"/>
          <w:sz w:val="24"/>
          <w:szCs w:val="24"/>
        </w:rPr>
        <w:t xml:space="preserve">, and </w:t>
      </w:r>
      <w:r w:rsidRPr="00223C6E">
        <w:rPr>
          <w:rFonts w:ascii="Times New Roman" w:eastAsia="Times New Roman" w:hAnsi="Times New Roman" w:cs="Times New Roman"/>
          <w:i/>
          <w:sz w:val="24"/>
          <w:szCs w:val="24"/>
        </w:rPr>
        <w:t>WDR35</w:t>
      </w:r>
      <w:r w:rsidRPr="00223C6E">
        <w:rPr>
          <w:rFonts w:ascii="Times New Roman" w:eastAsia="Times New Roman" w:hAnsi="Times New Roman" w:cs="Times New Roman"/>
          <w:sz w:val="24"/>
          <w:szCs w:val="24"/>
        </w:rPr>
        <w:t xml:space="preserve"> genes by ES was normal and their coverages were sufficient.</w:t>
      </w:r>
    </w:p>
    <w:p w14:paraId="6AD3BB67"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Laboratory: </w:t>
      </w:r>
      <w:r w:rsidRPr="00223C6E">
        <w:rPr>
          <w:rFonts w:ascii="Times New Roman" w:eastAsia="Times New Roman" w:hAnsi="Times New Roman" w:cs="Times New Roman"/>
          <w:sz w:val="24"/>
          <w:szCs w:val="24"/>
        </w:rPr>
        <w:t>Laboratory results are shown in Table S1.</w:t>
      </w:r>
    </w:p>
    <w:p w14:paraId="57C951CE" w14:textId="77777777" w:rsidR="00AF7703" w:rsidRPr="00223C6E" w:rsidRDefault="00AF7703">
      <w:pPr>
        <w:spacing w:line="480" w:lineRule="auto"/>
        <w:rPr>
          <w:rFonts w:ascii="Times New Roman" w:eastAsia="Times New Roman" w:hAnsi="Times New Roman" w:cs="Times New Roman"/>
          <w:b/>
          <w:sz w:val="24"/>
          <w:szCs w:val="24"/>
        </w:rPr>
      </w:pPr>
    </w:p>
    <w:p w14:paraId="6154418C" w14:textId="77777777" w:rsidR="00AF7703" w:rsidRPr="00223C6E" w:rsidRDefault="00000000">
      <w:pPr>
        <w:spacing w:line="480" w:lineRule="auto"/>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t>Patient 4 (Individual VI-11 in Family 1)</w:t>
      </w:r>
    </w:p>
    <w:p w14:paraId="78637F68"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Clinical history: </w:t>
      </w:r>
      <w:r w:rsidRPr="00223C6E">
        <w:rPr>
          <w:rFonts w:ascii="Times New Roman" w:eastAsia="Times New Roman" w:hAnsi="Times New Roman" w:cs="Times New Roman"/>
          <w:sz w:val="24"/>
          <w:szCs w:val="24"/>
        </w:rPr>
        <w:t xml:space="preserve">Patient 4 was a 4-month-old male at her first appointment with Medical Genetics. He was the sixth child of the parents with known consanguinity. The patient's immediate family did not include another individual with a similar phenotype. Prenatal ultrasound examinations reported a cystic appearance in the liver. He was born by cesarean section with a birth weight of 3195 g (-0,5 SD), birth length of 49 cm (-0,45SD) and head circumference of 35.5 cm (+0,43SD). The patient was admitted to the neonatal intensive care unit in the early postnatal period due to cholestasis and was monitored there for two months. Histopathological examination of the liver biopsy </w:t>
      </w:r>
      <w:r w:rsidRPr="00223C6E">
        <w:rPr>
          <w:rFonts w:ascii="Times New Roman" w:eastAsia="Times New Roman" w:hAnsi="Times New Roman" w:cs="Times New Roman"/>
          <w:sz w:val="24"/>
          <w:szCs w:val="24"/>
        </w:rPr>
        <w:lastRenderedPageBreak/>
        <w:t xml:space="preserve">reported findings consistent with chronic cholestatic hepatitis characterized by ductopenia. At 5 months of age, the patient's blood biochemical tests still show elevated bilirubin levels and liver enzyme levels. Ectodermal findings of sparse hair, eyebrows, and eyelashes were present at birth. At 4 months of age, the patient was treated for a diagnosis of purulent otitis media. Newborn vision and hearing tests as well as ophthtalmologic evaluations were normal. It was learned that the patient is currently able to hold their head up and roll over in bed. </w:t>
      </w:r>
    </w:p>
    <w:p w14:paraId="1C1BBA09"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Physical examination:</w:t>
      </w:r>
      <w:r w:rsidRPr="00223C6E">
        <w:rPr>
          <w:rFonts w:ascii="Times New Roman" w:eastAsia="Times New Roman" w:hAnsi="Times New Roman" w:cs="Times New Roman"/>
          <w:b/>
          <w:sz w:val="24"/>
          <w:szCs w:val="24"/>
        </w:rPr>
        <w:t xml:space="preserve"> </w:t>
      </w:r>
      <w:r w:rsidRPr="00223C6E">
        <w:rPr>
          <w:rFonts w:ascii="Times New Roman" w:eastAsia="Times New Roman" w:hAnsi="Times New Roman" w:cs="Times New Roman"/>
          <w:sz w:val="24"/>
          <w:szCs w:val="24"/>
        </w:rPr>
        <w:t>His measurements at the follow-up visits showed short stature, poor weight, and borderline microcephaly. He had dysmorphic craniofacial features including wide anterior fontanel, frontal bossing, wide nasal bridge, and full cheeks. His skeletal examination showed mild limb laxity, rhizomelia, brachydactyly, proximally placed thumbs and 2-3 toe syndactyly. He also had icterus, hemangioma on left scapular region and distal part of 3rd finger of right hand, and ectodermal dysplasia findings, including sparse hair, eyebrows and eyelashes, and dry skin. Additionally, the umbilicus was prominent, and mild skin laxity was observed.</w:t>
      </w:r>
    </w:p>
    <w:p w14:paraId="6EBCAB7B"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Imaging: </w:t>
      </w:r>
      <w:r w:rsidRPr="00223C6E">
        <w:rPr>
          <w:rFonts w:ascii="Times New Roman" w:eastAsia="Times New Roman" w:hAnsi="Times New Roman" w:cs="Times New Roman"/>
          <w:sz w:val="24"/>
          <w:szCs w:val="24"/>
        </w:rPr>
        <w:t xml:space="preserve">Transfontanel USG </w:t>
      </w:r>
      <w:proofErr w:type="gramStart"/>
      <w:r w:rsidRPr="00223C6E">
        <w:rPr>
          <w:rFonts w:ascii="Times New Roman" w:eastAsia="Times New Roman" w:hAnsi="Times New Roman" w:cs="Times New Roman"/>
          <w:sz w:val="24"/>
          <w:szCs w:val="24"/>
        </w:rPr>
        <w:t>was resulted</w:t>
      </w:r>
      <w:proofErr w:type="gramEnd"/>
      <w:r w:rsidRPr="00223C6E">
        <w:rPr>
          <w:rFonts w:ascii="Times New Roman" w:eastAsia="Times New Roman" w:hAnsi="Times New Roman" w:cs="Times New Roman"/>
          <w:sz w:val="24"/>
          <w:szCs w:val="24"/>
        </w:rPr>
        <w:t xml:space="preserve"> normal. Echocardiography examinations showed small secundum atrial septal defect, thin patent dutus arteriozus, and peripheral pulmonary stenosis. Abdominal ultrasound revealed 3-5 calcified foci on the peritoneal surface of the liver, a single millimetric calcified focus within the liver parenchyma, and the gallbladder lumen filled with multiple millimetric stones and sludge. Additionally, the left pelvicalyceal system appeared distended. The skeletal survey did not show any spesific abnormality.</w:t>
      </w:r>
    </w:p>
    <w:p w14:paraId="570B8112"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Genetic investigations:</w:t>
      </w:r>
      <w:r w:rsidRPr="00223C6E">
        <w:rPr>
          <w:rFonts w:ascii="Times New Roman" w:eastAsia="Times New Roman" w:hAnsi="Times New Roman" w:cs="Times New Roman"/>
          <w:i/>
          <w:sz w:val="24"/>
          <w:szCs w:val="24"/>
        </w:rPr>
        <w:t xml:space="preserve"> </w:t>
      </w:r>
      <w:r w:rsidRPr="00223C6E">
        <w:rPr>
          <w:rFonts w:ascii="Times New Roman" w:eastAsia="Times New Roman" w:hAnsi="Times New Roman" w:cs="Times New Roman"/>
          <w:sz w:val="24"/>
          <w:szCs w:val="24"/>
        </w:rPr>
        <w:t xml:space="preserve">Sequence analyses of </w:t>
      </w:r>
      <w:r w:rsidRPr="00223C6E">
        <w:rPr>
          <w:rFonts w:ascii="Times New Roman" w:eastAsia="Times New Roman" w:hAnsi="Times New Roman" w:cs="Times New Roman"/>
          <w:i/>
          <w:sz w:val="24"/>
          <w:szCs w:val="24"/>
        </w:rPr>
        <w:t xml:space="preserve">CFTR, JAG1 </w:t>
      </w:r>
      <w:r w:rsidRPr="00223C6E">
        <w:rPr>
          <w:rFonts w:ascii="Times New Roman" w:eastAsia="Times New Roman" w:hAnsi="Times New Roman" w:cs="Times New Roman"/>
          <w:sz w:val="24"/>
          <w:szCs w:val="24"/>
        </w:rPr>
        <w:t xml:space="preserve">and </w:t>
      </w:r>
      <w:r w:rsidRPr="00223C6E">
        <w:rPr>
          <w:rFonts w:ascii="Times New Roman" w:eastAsia="Times New Roman" w:hAnsi="Times New Roman" w:cs="Times New Roman"/>
          <w:i/>
          <w:sz w:val="24"/>
          <w:szCs w:val="24"/>
        </w:rPr>
        <w:t>NOTCH2</w:t>
      </w:r>
      <w:r w:rsidRPr="00223C6E">
        <w:rPr>
          <w:rFonts w:ascii="Times New Roman" w:eastAsia="Times New Roman" w:hAnsi="Times New Roman" w:cs="Times New Roman"/>
          <w:sz w:val="24"/>
          <w:szCs w:val="24"/>
        </w:rPr>
        <w:t xml:space="preserve"> genes were </w:t>
      </w:r>
      <w:proofErr w:type="gramStart"/>
      <w:r w:rsidRPr="00223C6E">
        <w:rPr>
          <w:rFonts w:ascii="Times New Roman" w:eastAsia="Times New Roman" w:hAnsi="Times New Roman" w:cs="Times New Roman"/>
          <w:sz w:val="24"/>
          <w:szCs w:val="24"/>
        </w:rPr>
        <w:t>normal</w:t>
      </w:r>
      <w:proofErr w:type="gramEnd"/>
      <w:r w:rsidRPr="00223C6E">
        <w:rPr>
          <w:rFonts w:ascii="Times New Roman" w:eastAsia="Times New Roman" w:hAnsi="Times New Roman" w:cs="Times New Roman"/>
          <w:sz w:val="24"/>
          <w:szCs w:val="24"/>
        </w:rPr>
        <w:t xml:space="preserve"> performed for the etiology of neonatal cholestasis. Following these, clinical ES analysis was performed to evaluate the etiology of cranioectodermal dysplasia using </w:t>
      </w:r>
      <w:r w:rsidRPr="00223C6E">
        <w:rPr>
          <w:rFonts w:ascii="Times New Roman" w:eastAsia="Times New Roman" w:hAnsi="Times New Roman" w:cs="Times New Roman"/>
          <w:sz w:val="24"/>
          <w:szCs w:val="24"/>
        </w:rPr>
        <w:lastRenderedPageBreak/>
        <w:t xml:space="preserve">the Sophia Clinical Exome Solution v3 capture kit (SOPHiA Genetics SA., Switzerland) on the NextSeq platform (Illumina Inc., CA). The sequence analysis of the </w:t>
      </w:r>
      <w:r w:rsidRPr="00223C6E">
        <w:rPr>
          <w:rFonts w:ascii="Times New Roman" w:eastAsia="Times New Roman" w:hAnsi="Times New Roman" w:cs="Times New Roman"/>
          <w:i/>
          <w:sz w:val="24"/>
          <w:szCs w:val="24"/>
        </w:rPr>
        <w:t>IFT43</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IFT122</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IFT140</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WDR19</w:t>
      </w:r>
      <w:r w:rsidRPr="00223C6E">
        <w:rPr>
          <w:rFonts w:ascii="Times New Roman" w:eastAsia="Times New Roman" w:hAnsi="Times New Roman" w:cs="Times New Roman"/>
          <w:sz w:val="24"/>
          <w:szCs w:val="24"/>
        </w:rPr>
        <w:t xml:space="preserve">, and </w:t>
      </w:r>
      <w:r w:rsidRPr="00223C6E">
        <w:rPr>
          <w:rFonts w:ascii="Times New Roman" w:eastAsia="Times New Roman" w:hAnsi="Times New Roman" w:cs="Times New Roman"/>
          <w:i/>
          <w:sz w:val="24"/>
          <w:szCs w:val="24"/>
        </w:rPr>
        <w:t>WDR35</w:t>
      </w:r>
      <w:r w:rsidRPr="00223C6E">
        <w:rPr>
          <w:rFonts w:ascii="Times New Roman" w:eastAsia="Times New Roman" w:hAnsi="Times New Roman" w:cs="Times New Roman"/>
          <w:sz w:val="24"/>
          <w:szCs w:val="24"/>
        </w:rPr>
        <w:t xml:space="preserve"> genes by ES was normal and their coverages were sufficient.</w:t>
      </w:r>
    </w:p>
    <w:p w14:paraId="6F638540" w14:textId="77777777" w:rsidR="00AF7703" w:rsidRPr="00223C6E" w:rsidRDefault="00000000">
      <w:pPr>
        <w:numPr>
          <w:ilvl w:val="0"/>
          <w:numId w:val="6"/>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Laboratory: </w:t>
      </w:r>
      <w:r w:rsidRPr="00223C6E">
        <w:rPr>
          <w:rFonts w:ascii="Times New Roman" w:eastAsia="Times New Roman" w:hAnsi="Times New Roman" w:cs="Times New Roman"/>
          <w:sz w:val="24"/>
          <w:szCs w:val="24"/>
        </w:rPr>
        <w:t>Laboratory results are shown in Table S1.</w:t>
      </w:r>
    </w:p>
    <w:p w14:paraId="57FBCFCD" w14:textId="77777777" w:rsidR="00AF7703" w:rsidRPr="00223C6E" w:rsidRDefault="00AF7703">
      <w:pPr>
        <w:spacing w:line="480" w:lineRule="auto"/>
        <w:rPr>
          <w:rFonts w:ascii="Times New Roman" w:eastAsia="Times New Roman" w:hAnsi="Times New Roman" w:cs="Times New Roman"/>
          <w:b/>
          <w:sz w:val="24"/>
          <w:szCs w:val="24"/>
        </w:rPr>
      </w:pPr>
    </w:p>
    <w:p w14:paraId="725FC682" w14:textId="77777777" w:rsidR="00AF7703" w:rsidRPr="00223C6E" w:rsidRDefault="00000000">
      <w:pPr>
        <w:spacing w:line="480" w:lineRule="auto"/>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t>Patient 5 (Individual II-1 in Family 2)</w:t>
      </w:r>
    </w:p>
    <w:p w14:paraId="5F4F5DAA" w14:textId="77777777" w:rsidR="00AF7703" w:rsidRPr="00223C6E" w:rsidRDefault="00000000">
      <w:pPr>
        <w:numPr>
          <w:ilvl w:val="0"/>
          <w:numId w:val="3"/>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Clinical history:</w:t>
      </w:r>
      <w:r w:rsidRPr="00223C6E">
        <w:rPr>
          <w:rFonts w:ascii="Times New Roman" w:eastAsia="Times New Roman" w:hAnsi="Times New Roman" w:cs="Times New Roman"/>
          <w:sz w:val="24"/>
          <w:szCs w:val="24"/>
        </w:rPr>
        <w:t xml:space="preserve"> The patient was diagnosed with intrauterine growth retardation and shortening of all limbs at antenatal ultrasonography. She was delivered by cesarean section at 37+6 weeks. Her parents were consanguineous (first-degree cousins). Her weight was 3157 grams (0.23SDs), her length was 43 cm (-2.77 SDs), and her head circumference was 33 cm (-0.91 SDs) at birth. Due to peripheral cyanosis and respiratory distress, she was admitted to the NICU and diagnosed with transient tachypnea of the newborn. She had laryngomalasia, and feeding difficulties and was not breastfed. She had gained her head control at 4 months. Liver function test levels began to deteriorate from the postnatal 3rd month. She had a urinary tract infection when she was 10 months old, she was hospitalized for 4 days at 14 months old due to bronchiolitis, and for 1 week at 21 months old due to pneumonia. At 15 months, she developed swallowing difficulty, particularly when consuming liquids. The patient was breastfed until 2 years of age. The first primary tooth erupted at 1 year of age. She had gained her head control at 4 months. She could sit with support at 6 months, sit without support at 9 months, walk at 2 years, speak her first words at 2 years, and form sentences at 34 months.</w:t>
      </w:r>
    </w:p>
    <w:p w14:paraId="02C92717" w14:textId="77777777" w:rsidR="00AF7703" w:rsidRPr="00223C6E" w:rsidRDefault="00000000">
      <w:pPr>
        <w:numPr>
          <w:ilvl w:val="0"/>
          <w:numId w:val="3"/>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Physical examination:</w:t>
      </w:r>
      <w:r w:rsidRPr="00223C6E">
        <w:rPr>
          <w:rFonts w:ascii="Times New Roman" w:eastAsia="Times New Roman" w:hAnsi="Times New Roman" w:cs="Times New Roman"/>
          <w:sz w:val="24"/>
          <w:szCs w:val="24"/>
        </w:rPr>
        <w:t xml:space="preserve"> At physical examination done at 6 months, her weight was 5.7kg (-2.1SDs), height was 50 cm (-6.27 SDs), and head circumference was 44 cm </w:t>
      </w:r>
      <w:r w:rsidRPr="00223C6E">
        <w:rPr>
          <w:rFonts w:ascii="Times New Roman" w:eastAsia="Times New Roman" w:hAnsi="Times New Roman" w:cs="Times New Roman"/>
          <w:sz w:val="24"/>
          <w:szCs w:val="24"/>
        </w:rPr>
        <w:lastRenderedPageBreak/>
        <w:t xml:space="preserve">(0.89 SDs).  Her upper (arm:10cm /forearm:9cm) and lower (upper leg: 13cm/leg:12cm) extremities were all below normal range (&lt; -2SD).  Dolichocephaly, frontoparietal and occipital bossing, sparse hair, eyebrows and eyelashes, short nose, depressed and broad nasal bridge, capillary hemangioma at left nasal ala, telangiectasia at the nasal tip and left chin, long philtrum, thin lips, low-set ears, brachydactyly of the hands, operation scars of bilateral postaxial polydactyly of the hands, and sandal gap were detected. She had extension contracture at the metacarpophalangeal joint of the right 3rd finger. At the control visit at 34 months, the patient’s general condition was </w:t>
      </w:r>
      <w:proofErr w:type="gramStart"/>
      <w:r w:rsidRPr="00223C6E">
        <w:rPr>
          <w:rFonts w:ascii="Times New Roman" w:eastAsia="Times New Roman" w:hAnsi="Times New Roman" w:cs="Times New Roman"/>
          <w:sz w:val="24"/>
          <w:szCs w:val="24"/>
        </w:rPr>
        <w:t>good</w:t>
      </w:r>
      <w:proofErr w:type="gramEnd"/>
      <w:r w:rsidRPr="00223C6E">
        <w:rPr>
          <w:rFonts w:ascii="Times New Roman" w:eastAsia="Times New Roman" w:hAnsi="Times New Roman" w:cs="Times New Roman"/>
          <w:sz w:val="24"/>
          <w:szCs w:val="24"/>
        </w:rPr>
        <w:t xml:space="preserve"> and she was active and mobile. She had good eye contact and social smiling, responded to their name, followed objects, and had normal eye movements. The cranial nerves were intact. The patient’s body weight was 8500 grams (-3.77 SDs), height 69 cm (-6.41 SDs), and head circumference at 53 cm (2.92 SDs) at 34 months. Joint laxity was noted, and flexion limitation was seen in both hands' 2nd, 3rd, and 4th phalanges. No neuromotor regression was observed in the most recent visits, and the head circumference showed age-appropriate growth.</w:t>
      </w:r>
    </w:p>
    <w:p w14:paraId="79ED5925" w14:textId="77777777" w:rsidR="00AF7703" w:rsidRPr="00223C6E" w:rsidRDefault="00000000">
      <w:pPr>
        <w:numPr>
          <w:ilvl w:val="0"/>
          <w:numId w:val="3"/>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 xml:space="preserve">Imaging: </w:t>
      </w:r>
      <w:r w:rsidRPr="00223C6E">
        <w:rPr>
          <w:rFonts w:ascii="Times New Roman" w:eastAsia="Times New Roman" w:hAnsi="Times New Roman" w:cs="Times New Roman"/>
          <w:sz w:val="24"/>
          <w:szCs w:val="24"/>
        </w:rPr>
        <w:t xml:space="preserve">At her echocardiography, secundum ASD was detected. Renal USG revealed dilated left kidney pelvicalyceal structures and increased echogenicity in both kidneys. The transfontanelle USG evaluation showed widened peripheral CSF spaces in the bilateral frontoparietal regions, prominent Sylvian fissures, bilateral subdural effusion, and ventriculomegaly. Cranial CT revealed mild hypoplasia of the brainstem, widening of the basal cisterns and the 4th ventricle, and diffuse volume loss in both cerebral hemispheres, resulting in widened peripheral CSF spaces in the frontotemporal and anterior parietal regions, as well as prominent cortical sulci and cerebral fissures, with ventriculomegaly secondary to parenchymal volume loss. Cerebral MRI revealed hypoplasia of the brainstem and changes in peripheral white matter areas in both </w:t>
      </w:r>
      <w:r w:rsidRPr="00223C6E">
        <w:rPr>
          <w:rFonts w:ascii="Times New Roman" w:eastAsia="Times New Roman" w:hAnsi="Times New Roman" w:cs="Times New Roman"/>
          <w:sz w:val="24"/>
          <w:szCs w:val="24"/>
        </w:rPr>
        <w:lastRenderedPageBreak/>
        <w:t>cerebral hemispheres that may be due to delayed myelination and external hydrocephalus secondary to cerebral atrophy.</w:t>
      </w:r>
    </w:p>
    <w:p w14:paraId="2181DEB3" w14:textId="77777777" w:rsidR="00AF7703" w:rsidRPr="00223C6E" w:rsidRDefault="00000000">
      <w:pPr>
        <w:numPr>
          <w:ilvl w:val="0"/>
          <w:numId w:val="3"/>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Genetic investigations:</w:t>
      </w:r>
      <w:r w:rsidRPr="00223C6E">
        <w:rPr>
          <w:rFonts w:ascii="Times New Roman" w:eastAsia="Times New Roman" w:hAnsi="Times New Roman" w:cs="Times New Roman"/>
          <w:i/>
          <w:sz w:val="24"/>
          <w:szCs w:val="24"/>
        </w:rPr>
        <w:t xml:space="preserve"> </w:t>
      </w:r>
      <w:r w:rsidRPr="00223C6E">
        <w:rPr>
          <w:rFonts w:ascii="Times New Roman" w:eastAsia="Times New Roman" w:hAnsi="Times New Roman" w:cs="Times New Roman"/>
          <w:sz w:val="24"/>
          <w:szCs w:val="24"/>
        </w:rPr>
        <w:t xml:space="preserve">GTG banding chromosome analysis revealed a normal female karyotype. Chromosomal microarray analysis (Illumina CytoSNP-12 v2.1) resulted in normal. Whole ES analysis was performed using the Twist Human Core Exome capture kit (Twist Bioscience, CA) on the MGI DNBSEQ-G40 platform (MGI Tech Co. Ltd., Shenzen). The sequence analysis of the </w:t>
      </w:r>
      <w:r w:rsidRPr="00223C6E">
        <w:rPr>
          <w:rFonts w:ascii="Times New Roman" w:eastAsia="Times New Roman" w:hAnsi="Times New Roman" w:cs="Times New Roman"/>
          <w:i/>
          <w:sz w:val="24"/>
          <w:szCs w:val="24"/>
        </w:rPr>
        <w:t>IFT43</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IFT52</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IFT122</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IFT140</w:t>
      </w:r>
      <w:r w:rsidRPr="00223C6E">
        <w:rPr>
          <w:rFonts w:ascii="Times New Roman" w:eastAsia="Times New Roman" w:hAnsi="Times New Roman" w:cs="Times New Roman"/>
          <w:sz w:val="24"/>
          <w:szCs w:val="24"/>
        </w:rPr>
        <w:t xml:space="preserve">, </w:t>
      </w:r>
      <w:r w:rsidRPr="00223C6E">
        <w:rPr>
          <w:rFonts w:ascii="Times New Roman" w:eastAsia="Times New Roman" w:hAnsi="Times New Roman" w:cs="Times New Roman"/>
          <w:i/>
          <w:sz w:val="24"/>
          <w:szCs w:val="24"/>
        </w:rPr>
        <w:t>WDR19</w:t>
      </w:r>
      <w:r w:rsidRPr="00223C6E">
        <w:rPr>
          <w:rFonts w:ascii="Times New Roman" w:eastAsia="Times New Roman" w:hAnsi="Times New Roman" w:cs="Times New Roman"/>
          <w:sz w:val="24"/>
          <w:szCs w:val="24"/>
        </w:rPr>
        <w:t xml:space="preserve">, and </w:t>
      </w:r>
      <w:r w:rsidRPr="00223C6E">
        <w:rPr>
          <w:rFonts w:ascii="Times New Roman" w:eastAsia="Times New Roman" w:hAnsi="Times New Roman" w:cs="Times New Roman"/>
          <w:i/>
          <w:sz w:val="24"/>
          <w:szCs w:val="24"/>
        </w:rPr>
        <w:t>WDR35</w:t>
      </w:r>
      <w:r w:rsidRPr="00223C6E">
        <w:rPr>
          <w:rFonts w:ascii="Times New Roman" w:eastAsia="Times New Roman" w:hAnsi="Times New Roman" w:cs="Times New Roman"/>
          <w:sz w:val="24"/>
          <w:szCs w:val="24"/>
        </w:rPr>
        <w:t xml:space="preserve"> genes by ES was normal and their coverages were sufficient.</w:t>
      </w:r>
    </w:p>
    <w:p w14:paraId="0E4945FB" w14:textId="77777777" w:rsidR="00AF7703" w:rsidRPr="00223C6E" w:rsidRDefault="00000000">
      <w:pPr>
        <w:numPr>
          <w:ilvl w:val="0"/>
          <w:numId w:val="3"/>
        </w:num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i/>
          <w:sz w:val="24"/>
          <w:szCs w:val="24"/>
        </w:rPr>
        <w:t>Laboratory:</w:t>
      </w:r>
      <w:r w:rsidRPr="00223C6E">
        <w:rPr>
          <w:rFonts w:ascii="Times New Roman" w:eastAsia="Times New Roman" w:hAnsi="Times New Roman" w:cs="Times New Roman"/>
          <w:sz w:val="24"/>
          <w:szCs w:val="24"/>
        </w:rPr>
        <w:t xml:space="preserve"> Laboratory results are shown in Table S1.</w:t>
      </w:r>
    </w:p>
    <w:p w14:paraId="2C0E7691" w14:textId="77777777" w:rsidR="00AF7703" w:rsidRPr="00223C6E" w:rsidRDefault="00AF7703">
      <w:pPr>
        <w:spacing w:line="480" w:lineRule="auto"/>
        <w:jc w:val="both"/>
        <w:rPr>
          <w:rFonts w:ascii="Times New Roman" w:eastAsia="Times New Roman" w:hAnsi="Times New Roman" w:cs="Times New Roman"/>
          <w:b/>
          <w:sz w:val="28"/>
          <w:szCs w:val="28"/>
        </w:rPr>
      </w:pPr>
    </w:p>
    <w:p w14:paraId="41E75DFC" w14:textId="77777777" w:rsidR="00AF7703" w:rsidRPr="00223C6E" w:rsidRDefault="00AF7703">
      <w:pPr>
        <w:spacing w:line="480" w:lineRule="auto"/>
        <w:jc w:val="both"/>
        <w:rPr>
          <w:rFonts w:ascii="Times New Roman" w:eastAsia="Times New Roman" w:hAnsi="Times New Roman" w:cs="Times New Roman"/>
          <w:b/>
          <w:sz w:val="28"/>
          <w:szCs w:val="28"/>
        </w:rPr>
      </w:pPr>
    </w:p>
    <w:p w14:paraId="640D670F" w14:textId="77777777" w:rsidR="00AF7703" w:rsidRPr="00223C6E" w:rsidRDefault="00000000">
      <w:pPr>
        <w:rPr>
          <w:rFonts w:ascii="Times New Roman" w:eastAsia="Times New Roman" w:hAnsi="Times New Roman" w:cs="Times New Roman"/>
          <w:b/>
          <w:sz w:val="28"/>
          <w:szCs w:val="28"/>
        </w:rPr>
      </w:pPr>
      <w:r w:rsidRPr="00223C6E">
        <w:rPr>
          <w:rFonts w:ascii="Times New Roman" w:hAnsi="Times New Roman" w:cs="Times New Roman"/>
        </w:rPr>
        <w:br w:type="page"/>
      </w:r>
    </w:p>
    <w:p w14:paraId="71379478" w14:textId="577BA07D" w:rsidR="00AF7703" w:rsidRPr="00223C6E" w:rsidRDefault="00000000">
      <w:pPr>
        <w:spacing w:line="480" w:lineRule="auto"/>
        <w:jc w:val="both"/>
        <w:rPr>
          <w:rFonts w:ascii="Times New Roman" w:eastAsia="Times New Roman" w:hAnsi="Times New Roman" w:cs="Times New Roman"/>
          <w:b/>
          <w:sz w:val="28"/>
          <w:szCs w:val="28"/>
        </w:rPr>
      </w:pPr>
      <w:r w:rsidRPr="00223C6E">
        <w:rPr>
          <w:rFonts w:ascii="Times New Roman" w:eastAsia="Times New Roman" w:hAnsi="Times New Roman" w:cs="Times New Roman"/>
          <w:b/>
          <w:sz w:val="28"/>
          <w:szCs w:val="28"/>
        </w:rPr>
        <w:lastRenderedPageBreak/>
        <w:t>Supplementary Figure Legends</w:t>
      </w:r>
    </w:p>
    <w:p w14:paraId="67B56582" w14:textId="77777777" w:rsidR="00AF7703" w:rsidRPr="00223C6E" w:rsidRDefault="00000000">
      <w:pPr>
        <w:spacing w:line="480" w:lineRule="auto"/>
        <w:jc w:val="both"/>
        <w:rPr>
          <w:rFonts w:ascii="Times New Roman" w:eastAsia="Times New Roman" w:hAnsi="Times New Roman" w:cs="Times New Roman"/>
          <w:b/>
          <w:sz w:val="28"/>
          <w:szCs w:val="28"/>
        </w:rPr>
      </w:pPr>
      <w:r w:rsidRPr="00223C6E">
        <w:rPr>
          <w:rFonts w:ascii="Times New Roman" w:eastAsia="Times New Roman" w:hAnsi="Times New Roman" w:cs="Times New Roman"/>
          <w:b/>
          <w:sz w:val="24"/>
          <w:szCs w:val="24"/>
        </w:rPr>
        <w:t xml:space="preserve">Figure S1: </w:t>
      </w:r>
      <w:r w:rsidRPr="00223C6E">
        <w:rPr>
          <w:rFonts w:ascii="Times New Roman" w:eastAsia="Times New Roman" w:hAnsi="Times New Roman" w:cs="Times New Roman"/>
          <w:sz w:val="24"/>
          <w:szCs w:val="24"/>
        </w:rPr>
        <w:t>The growth charts of the patients: each square dot represents an individual measurement, and each line represents a patient.</w:t>
      </w:r>
    </w:p>
    <w:p w14:paraId="35040CA9" w14:textId="77777777" w:rsidR="00AF7703" w:rsidRPr="00223C6E" w:rsidRDefault="00AF7703" w:rsidP="005B4A5B">
      <w:pPr>
        <w:spacing w:line="480" w:lineRule="auto"/>
        <w:jc w:val="both"/>
        <w:rPr>
          <w:rFonts w:ascii="Times New Roman" w:eastAsia="Times New Roman" w:hAnsi="Times New Roman" w:cs="Times New Roman"/>
          <w:b/>
          <w:sz w:val="24"/>
          <w:szCs w:val="24"/>
        </w:rPr>
      </w:pPr>
    </w:p>
    <w:p w14:paraId="723D33D9" w14:textId="74251C62" w:rsidR="00AF7703" w:rsidRPr="00223C6E" w:rsidRDefault="00000000" w:rsidP="005B4A5B">
      <w:pPr>
        <w:spacing w:line="480" w:lineRule="auto"/>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t xml:space="preserve">Figure S2: </w:t>
      </w:r>
      <w:r w:rsidRPr="00223C6E">
        <w:rPr>
          <w:rFonts w:ascii="Times New Roman" w:eastAsia="Times New Roman" w:hAnsi="Times New Roman" w:cs="Times New Roman"/>
          <w:sz w:val="24"/>
          <w:szCs w:val="24"/>
        </w:rPr>
        <w:t xml:space="preserve">The binary alignment map (BAM) file images of the c.1664_1665delAT variant in the </w:t>
      </w:r>
      <w:r w:rsidRPr="00223C6E">
        <w:rPr>
          <w:rFonts w:ascii="Times New Roman" w:eastAsia="Times New Roman" w:hAnsi="Times New Roman" w:cs="Times New Roman"/>
          <w:i/>
          <w:sz w:val="24"/>
          <w:szCs w:val="24"/>
        </w:rPr>
        <w:t xml:space="preserve">CILK1 </w:t>
      </w:r>
      <w:r w:rsidRPr="00223C6E">
        <w:rPr>
          <w:rFonts w:ascii="Times New Roman" w:eastAsia="Times New Roman" w:hAnsi="Times New Roman" w:cs="Times New Roman"/>
          <w:sz w:val="24"/>
          <w:szCs w:val="24"/>
        </w:rPr>
        <w:t xml:space="preserve">gene were visualized using the Integrative Genome Viewer (Broad Institute, MA). The colored bars beneath the chromosome 6 figure represent regions of homozygosity detected in each patient, with red for </w:t>
      </w:r>
      <w:proofErr w:type="gramStart"/>
      <w:r w:rsidRPr="00223C6E">
        <w:rPr>
          <w:rFonts w:ascii="Times New Roman" w:eastAsia="Times New Roman" w:hAnsi="Times New Roman" w:cs="Times New Roman"/>
          <w:sz w:val="24"/>
          <w:szCs w:val="24"/>
        </w:rPr>
        <w:t>Patient</w:t>
      </w:r>
      <w:proofErr w:type="gramEnd"/>
      <w:r w:rsidRPr="00223C6E">
        <w:rPr>
          <w:rFonts w:ascii="Times New Roman" w:eastAsia="Times New Roman" w:hAnsi="Times New Roman" w:cs="Times New Roman"/>
          <w:sz w:val="24"/>
          <w:szCs w:val="24"/>
        </w:rPr>
        <w:t xml:space="preserve"> 1, green for </w:t>
      </w:r>
      <w:proofErr w:type="gramStart"/>
      <w:r w:rsidRPr="00223C6E">
        <w:rPr>
          <w:rFonts w:ascii="Times New Roman" w:eastAsia="Times New Roman" w:hAnsi="Times New Roman" w:cs="Times New Roman"/>
          <w:sz w:val="24"/>
          <w:szCs w:val="24"/>
        </w:rPr>
        <w:t>Patient</w:t>
      </w:r>
      <w:proofErr w:type="gramEnd"/>
      <w:r w:rsidRPr="00223C6E">
        <w:rPr>
          <w:rFonts w:ascii="Times New Roman" w:eastAsia="Times New Roman" w:hAnsi="Times New Roman" w:cs="Times New Roman"/>
          <w:sz w:val="24"/>
          <w:szCs w:val="24"/>
        </w:rPr>
        <w:t xml:space="preserve"> 2, blue for </w:t>
      </w:r>
      <w:proofErr w:type="gramStart"/>
      <w:r w:rsidRPr="00223C6E">
        <w:rPr>
          <w:rFonts w:ascii="Times New Roman" w:eastAsia="Times New Roman" w:hAnsi="Times New Roman" w:cs="Times New Roman"/>
          <w:sz w:val="24"/>
          <w:szCs w:val="24"/>
        </w:rPr>
        <w:t>Patient</w:t>
      </w:r>
      <w:proofErr w:type="gramEnd"/>
      <w:r w:rsidRPr="00223C6E">
        <w:rPr>
          <w:rFonts w:ascii="Times New Roman" w:eastAsia="Times New Roman" w:hAnsi="Times New Roman" w:cs="Times New Roman"/>
          <w:sz w:val="24"/>
          <w:szCs w:val="24"/>
        </w:rPr>
        <w:t xml:space="preserve"> 3, yellow for </w:t>
      </w:r>
      <w:proofErr w:type="gramStart"/>
      <w:r w:rsidRPr="00223C6E">
        <w:rPr>
          <w:rFonts w:ascii="Times New Roman" w:eastAsia="Times New Roman" w:hAnsi="Times New Roman" w:cs="Times New Roman"/>
          <w:sz w:val="24"/>
          <w:szCs w:val="24"/>
        </w:rPr>
        <w:t>Patient</w:t>
      </w:r>
      <w:proofErr w:type="gramEnd"/>
      <w:r w:rsidRPr="00223C6E">
        <w:rPr>
          <w:rFonts w:ascii="Times New Roman" w:eastAsia="Times New Roman" w:hAnsi="Times New Roman" w:cs="Times New Roman"/>
          <w:sz w:val="24"/>
          <w:szCs w:val="24"/>
        </w:rPr>
        <w:t xml:space="preserve"> 4 and purple for </w:t>
      </w:r>
      <w:proofErr w:type="gramStart"/>
      <w:r w:rsidRPr="00223C6E">
        <w:rPr>
          <w:rFonts w:ascii="Times New Roman" w:eastAsia="Times New Roman" w:hAnsi="Times New Roman" w:cs="Times New Roman"/>
          <w:sz w:val="24"/>
          <w:szCs w:val="24"/>
        </w:rPr>
        <w:t>Patient</w:t>
      </w:r>
      <w:proofErr w:type="gramEnd"/>
      <w:r w:rsidRPr="00223C6E">
        <w:rPr>
          <w:rFonts w:ascii="Times New Roman" w:eastAsia="Times New Roman" w:hAnsi="Times New Roman" w:cs="Times New Roman"/>
          <w:sz w:val="24"/>
          <w:szCs w:val="24"/>
        </w:rPr>
        <w:t xml:space="preserve"> 5. The shaded box highlights the homozygous stretch region.</w:t>
      </w:r>
    </w:p>
    <w:p w14:paraId="30FB01EC" w14:textId="77777777" w:rsidR="00AF7703" w:rsidRPr="00223C6E" w:rsidRDefault="00AF7703">
      <w:pPr>
        <w:spacing w:line="480" w:lineRule="auto"/>
        <w:jc w:val="both"/>
        <w:rPr>
          <w:rFonts w:ascii="Times New Roman" w:eastAsia="Times New Roman" w:hAnsi="Times New Roman" w:cs="Times New Roman"/>
          <w:sz w:val="24"/>
          <w:szCs w:val="24"/>
        </w:rPr>
      </w:pPr>
    </w:p>
    <w:p w14:paraId="2368CDB4" w14:textId="77777777" w:rsidR="00AF7703" w:rsidRPr="00223C6E" w:rsidRDefault="00000000">
      <w:p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 xml:space="preserve">Figure S3: </w:t>
      </w:r>
      <w:r w:rsidRPr="00223C6E">
        <w:rPr>
          <w:rFonts w:ascii="Times New Roman" w:eastAsia="Times New Roman" w:hAnsi="Times New Roman" w:cs="Times New Roman"/>
          <w:sz w:val="24"/>
          <w:szCs w:val="24"/>
        </w:rPr>
        <w:t>Segregation analysis for each available family member performed by Sanger sequencing.</w:t>
      </w:r>
      <w:r w:rsidRPr="00223C6E">
        <w:rPr>
          <w:rFonts w:ascii="Times New Roman" w:hAnsi="Times New Roman" w:cs="Times New Roman"/>
        </w:rPr>
        <w:t xml:space="preserve"> </w:t>
      </w:r>
      <w:r w:rsidRPr="00223C6E">
        <w:rPr>
          <w:rFonts w:ascii="Times New Roman" w:eastAsia="Times New Roman" w:hAnsi="Times New Roman" w:cs="Times New Roman"/>
          <w:sz w:val="24"/>
          <w:szCs w:val="24"/>
        </w:rPr>
        <w:t>M: Mutant, WT: Wild-type, N/A: Not available.</w:t>
      </w:r>
    </w:p>
    <w:p w14:paraId="06A83468" w14:textId="77777777" w:rsidR="00AF7703" w:rsidRPr="00223C6E" w:rsidRDefault="00AF7703">
      <w:pPr>
        <w:spacing w:line="480" w:lineRule="auto"/>
        <w:jc w:val="both"/>
        <w:rPr>
          <w:rFonts w:ascii="Times New Roman" w:eastAsia="Times New Roman" w:hAnsi="Times New Roman" w:cs="Times New Roman"/>
          <w:sz w:val="24"/>
          <w:szCs w:val="24"/>
        </w:rPr>
      </w:pPr>
    </w:p>
    <w:p w14:paraId="5BCD6CF7" w14:textId="77777777" w:rsidR="00AF7703" w:rsidRPr="00223C6E" w:rsidRDefault="00000000">
      <w:p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 xml:space="preserve">Figure S4: </w:t>
      </w:r>
      <w:r w:rsidRPr="00223C6E">
        <w:rPr>
          <w:rFonts w:ascii="Times New Roman" w:eastAsia="Times New Roman" w:hAnsi="Times New Roman" w:cs="Times New Roman"/>
          <w:sz w:val="24"/>
          <w:szCs w:val="24"/>
        </w:rPr>
        <w:t>Immunofluorescence images showing localization of CILK1 and CEP164 in control cells. CILK1 is labeled green, CEP164 is red, and nuclei are stained with DAPI (blue). (A) scale bar: 5 μm. (B) Zoomed in.</w:t>
      </w:r>
    </w:p>
    <w:p w14:paraId="72DA3058" w14:textId="77777777" w:rsidR="00AF7703" w:rsidRPr="00223C6E" w:rsidRDefault="00AF7703">
      <w:pPr>
        <w:spacing w:line="480" w:lineRule="auto"/>
        <w:jc w:val="both"/>
        <w:rPr>
          <w:rFonts w:ascii="Times New Roman" w:eastAsia="Times New Roman" w:hAnsi="Times New Roman" w:cs="Times New Roman"/>
          <w:b/>
          <w:sz w:val="24"/>
          <w:szCs w:val="24"/>
        </w:rPr>
      </w:pPr>
    </w:p>
    <w:p w14:paraId="377DA066" w14:textId="77777777" w:rsidR="00AF7703" w:rsidRPr="00223C6E" w:rsidRDefault="00000000">
      <w:pPr>
        <w:spacing w:line="480" w:lineRule="auto"/>
        <w:jc w:val="both"/>
        <w:rPr>
          <w:rFonts w:ascii="Times New Roman" w:eastAsia="Times New Roman" w:hAnsi="Times New Roman" w:cs="Times New Roman"/>
          <w:b/>
          <w:sz w:val="24"/>
          <w:szCs w:val="24"/>
        </w:rPr>
      </w:pPr>
      <w:r w:rsidRPr="00223C6E">
        <w:rPr>
          <w:rFonts w:ascii="Times New Roman" w:eastAsia="Times New Roman" w:hAnsi="Times New Roman" w:cs="Times New Roman"/>
          <w:b/>
          <w:sz w:val="24"/>
          <w:szCs w:val="24"/>
        </w:rPr>
        <w:t xml:space="preserve">Figure S5. (A) </w:t>
      </w:r>
      <w:r w:rsidRPr="00223C6E">
        <w:rPr>
          <w:rFonts w:ascii="Times New Roman" w:eastAsia="Times New Roman" w:hAnsi="Times New Roman" w:cs="Times New Roman"/>
          <w:sz w:val="24"/>
          <w:szCs w:val="24"/>
        </w:rPr>
        <w:t xml:space="preserve">Multiple sequence alignment of </w:t>
      </w:r>
      <w:r w:rsidRPr="00223C6E">
        <w:rPr>
          <w:rFonts w:ascii="Times New Roman" w:eastAsia="Times New Roman" w:hAnsi="Times New Roman" w:cs="Times New Roman"/>
          <w:i/>
          <w:sz w:val="24"/>
          <w:szCs w:val="24"/>
        </w:rPr>
        <w:t>H. sapiens</w:t>
      </w:r>
      <w:r w:rsidRPr="00223C6E">
        <w:rPr>
          <w:rFonts w:ascii="Times New Roman" w:eastAsia="Times New Roman" w:hAnsi="Times New Roman" w:cs="Times New Roman"/>
          <w:sz w:val="24"/>
          <w:szCs w:val="24"/>
        </w:rPr>
        <w:t xml:space="preserve"> CILK1 Isoform 2 (NP_001362326.1) and </w:t>
      </w:r>
      <w:r w:rsidRPr="00223C6E">
        <w:rPr>
          <w:rFonts w:ascii="Times New Roman" w:eastAsia="Times New Roman" w:hAnsi="Times New Roman" w:cs="Times New Roman"/>
          <w:i/>
          <w:sz w:val="24"/>
          <w:szCs w:val="24"/>
        </w:rPr>
        <w:t>C. elegans</w:t>
      </w:r>
      <w:r w:rsidRPr="00223C6E">
        <w:rPr>
          <w:rFonts w:ascii="Times New Roman" w:eastAsia="Times New Roman" w:hAnsi="Times New Roman" w:cs="Times New Roman"/>
          <w:sz w:val="24"/>
          <w:szCs w:val="24"/>
        </w:rPr>
        <w:t xml:space="preserve"> DYF-5 Isoform B (NP_001129786.2) is shown. Identical residues are highlighted in black on a red background, while highly similar residues appear in red. The mutation </w:t>
      </w:r>
      <w:proofErr w:type="gramStart"/>
      <w:r w:rsidRPr="00223C6E">
        <w:rPr>
          <w:rFonts w:ascii="Times New Roman" w:eastAsia="Times New Roman" w:hAnsi="Times New Roman" w:cs="Times New Roman"/>
          <w:sz w:val="24"/>
          <w:szCs w:val="24"/>
        </w:rPr>
        <w:t>p.(</w:t>
      </w:r>
      <w:proofErr w:type="gramEnd"/>
      <w:r w:rsidRPr="00223C6E">
        <w:rPr>
          <w:rFonts w:ascii="Times New Roman" w:eastAsia="Times New Roman" w:hAnsi="Times New Roman" w:cs="Times New Roman"/>
          <w:sz w:val="24"/>
          <w:szCs w:val="24"/>
        </w:rPr>
        <w:t>Tyr555Cysfs*48) is marked in blue on a red background</w:t>
      </w:r>
      <w:r w:rsidRPr="00223C6E">
        <w:rPr>
          <w:rFonts w:ascii="Times New Roman" w:eastAsia="Times New Roman" w:hAnsi="Times New Roman" w:cs="Times New Roman"/>
          <w:b/>
          <w:sz w:val="24"/>
          <w:szCs w:val="24"/>
        </w:rPr>
        <w:t>.</w:t>
      </w:r>
    </w:p>
    <w:p w14:paraId="697F296A" w14:textId="77777777" w:rsidR="00AF7703" w:rsidRPr="00223C6E" w:rsidRDefault="00000000">
      <w:p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(B</w:t>
      </w:r>
      <w:r w:rsidRPr="00223C6E">
        <w:rPr>
          <w:rFonts w:ascii="Times New Roman" w:eastAsia="Times New Roman" w:hAnsi="Times New Roman" w:cs="Times New Roman"/>
          <w:sz w:val="24"/>
          <w:szCs w:val="24"/>
        </w:rPr>
        <w:t xml:space="preserve">) Schematic illustrations of </w:t>
      </w:r>
      <w:r w:rsidRPr="00223C6E">
        <w:rPr>
          <w:rFonts w:ascii="Times New Roman" w:eastAsia="Times New Roman" w:hAnsi="Times New Roman" w:cs="Times New Roman"/>
          <w:i/>
          <w:sz w:val="24"/>
          <w:szCs w:val="24"/>
        </w:rPr>
        <w:t>C. elegans</w:t>
      </w:r>
      <w:r w:rsidRPr="00223C6E">
        <w:rPr>
          <w:rFonts w:ascii="Times New Roman" w:eastAsia="Times New Roman" w:hAnsi="Times New Roman" w:cs="Times New Roman"/>
          <w:sz w:val="24"/>
          <w:szCs w:val="24"/>
        </w:rPr>
        <w:t xml:space="preserve"> highlight the head (amphid) and tail (phasmid) sensory regions. Fluorescent images show DYF-5 (green) and OSM-3/KIF17 (red) localization in amphid and phasmid cilia. The orthologous DYF-5 variant (</w:t>
      </w:r>
      <w:proofErr w:type="gramStart"/>
      <w:r w:rsidRPr="00223C6E">
        <w:rPr>
          <w:rFonts w:ascii="Times New Roman" w:eastAsia="Times New Roman" w:hAnsi="Times New Roman" w:cs="Times New Roman"/>
          <w:sz w:val="24"/>
          <w:szCs w:val="24"/>
        </w:rPr>
        <w:t>p.Tyr</w:t>
      </w:r>
      <w:proofErr w:type="gramEnd"/>
      <w:r w:rsidRPr="00223C6E">
        <w:rPr>
          <w:rFonts w:ascii="Times New Roman" w:eastAsia="Times New Roman" w:hAnsi="Times New Roman" w:cs="Times New Roman"/>
          <w:sz w:val="24"/>
          <w:szCs w:val="24"/>
        </w:rPr>
        <w:t xml:space="preserve">555Cysfs48), </w:t>
      </w:r>
      <w:r w:rsidRPr="00223C6E">
        <w:rPr>
          <w:rFonts w:ascii="Times New Roman" w:eastAsia="Times New Roman" w:hAnsi="Times New Roman" w:cs="Times New Roman"/>
          <w:sz w:val="24"/>
          <w:szCs w:val="24"/>
        </w:rPr>
        <w:lastRenderedPageBreak/>
        <w:t>corresponding to human ICK/CILK1, does not alter DYF-5 localization to cilia. A line plot displays the distribution of fluorescent intensities along the cilia for wild-type DYF-5 (green), the DYF-5 (</w:t>
      </w:r>
      <w:proofErr w:type="gramStart"/>
      <w:r w:rsidRPr="00223C6E">
        <w:rPr>
          <w:rFonts w:ascii="Times New Roman" w:eastAsia="Times New Roman" w:hAnsi="Times New Roman" w:cs="Times New Roman"/>
          <w:sz w:val="24"/>
          <w:szCs w:val="24"/>
        </w:rPr>
        <w:t>p.Tyr</w:t>
      </w:r>
      <w:proofErr w:type="gramEnd"/>
      <w:r w:rsidRPr="00223C6E">
        <w:rPr>
          <w:rFonts w:ascii="Times New Roman" w:eastAsia="Times New Roman" w:hAnsi="Times New Roman" w:cs="Times New Roman"/>
          <w:sz w:val="24"/>
          <w:szCs w:val="24"/>
        </w:rPr>
        <w:t>555Cysfs48) variant (green), and OSM-3/KIF17 (red). Standard deviations (SD) are shown. Asterisks denote ciliary bases, and arrows indicate ciliary tips. Scale bar: 3 μm.</w:t>
      </w:r>
    </w:p>
    <w:p w14:paraId="4E64C8D5" w14:textId="3BE8EA89" w:rsidR="00AF7703" w:rsidRPr="00223C6E" w:rsidRDefault="00AF7703">
      <w:pPr>
        <w:spacing w:line="480" w:lineRule="auto"/>
        <w:jc w:val="both"/>
        <w:rPr>
          <w:rFonts w:ascii="Times New Roman" w:eastAsia="Times New Roman" w:hAnsi="Times New Roman" w:cs="Times New Roman"/>
          <w:sz w:val="24"/>
          <w:szCs w:val="24"/>
        </w:rPr>
      </w:pPr>
    </w:p>
    <w:p w14:paraId="0B7980DA" w14:textId="77777777" w:rsidR="00AF7703" w:rsidRPr="00223C6E" w:rsidRDefault="00000000">
      <w:pPr>
        <w:spacing w:line="480" w:lineRule="auto"/>
        <w:jc w:val="both"/>
        <w:rPr>
          <w:rFonts w:ascii="Times New Roman" w:eastAsia="Times New Roman" w:hAnsi="Times New Roman" w:cs="Times New Roman"/>
          <w:sz w:val="24"/>
          <w:szCs w:val="24"/>
        </w:rPr>
      </w:pPr>
      <w:r w:rsidRPr="00223C6E">
        <w:rPr>
          <w:rFonts w:ascii="Times New Roman" w:eastAsia="Times New Roman" w:hAnsi="Times New Roman" w:cs="Times New Roman"/>
          <w:b/>
          <w:sz w:val="24"/>
          <w:szCs w:val="24"/>
        </w:rPr>
        <w:t>Figure S6.</w:t>
      </w:r>
      <w:r w:rsidRPr="00223C6E">
        <w:rPr>
          <w:rFonts w:ascii="Times New Roman" w:eastAsia="Times New Roman" w:hAnsi="Times New Roman" w:cs="Times New Roman"/>
          <w:sz w:val="24"/>
          <w:szCs w:val="24"/>
        </w:rPr>
        <w:t xml:space="preserve"> Staining of ARL13, polyglutamylated tubulin, and CEP164 remain unaffected in patient-derived cells. Immunofluorescence images of control and patient-derived skin fibroblast cells showing normal staining for ARL13 (green), polyglutamylated tubulin (green), and CEP164 (green). DAPI (blue). Scale bar: 5 μm.</w:t>
      </w:r>
    </w:p>
    <w:p w14:paraId="4F50ED22" w14:textId="77777777" w:rsidR="00AF7703" w:rsidRPr="00223C6E" w:rsidRDefault="00AF7703">
      <w:pPr>
        <w:spacing w:line="480" w:lineRule="auto"/>
        <w:jc w:val="both"/>
        <w:rPr>
          <w:rFonts w:ascii="Times New Roman" w:eastAsia="Times New Roman" w:hAnsi="Times New Roman" w:cs="Times New Roman"/>
          <w:sz w:val="24"/>
          <w:szCs w:val="24"/>
        </w:rPr>
      </w:pPr>
    </w:p>
    <w:p w14:paraId="6EA60532" w14:textId="7C218DCF" w:rsidR="00AF7703" w:rsidRPr="00223C6E" w:rsidRDefault="00000000">
      <w:pPr>
        <w:spacing w:line="480" w:lineRule="auto"/>
        <w:jc w:val="both"/>
        <w:rPr>
          <w:rFonts w:ascii="Times New Roman" w:eastAsia="Times New Roman" w:hAnsi="Times New Roman" w:cs="Times New Roman"/>
          <w:sz w:val="24"/>
          <w:szCs w:val="24"/>
        </w:rPr>
        <w:sectPr w:rsidR="00AF7703" w:rsidRPr="00223C6E">
          <w:pgSz w:w="11909" w:h="16834"/>
          <w:pgMar w:top="1440" w:right="1440" w:bottom="1440" w:left="1440" w:header="720" w:footer="720" w:gutter="0"/>
          <w:pgNumType w:start="1"/>
          <w:cols w:space="708"/>
        </w:sectPr>
      </w:pPr>
      <w:r w:rsidRPr="00223C6E">
        <w:rPr>
          <w:rFonts w:ascii="Times New Roman" w:eastAsia="Times New Roman" w:hAnsi="Times New Roman" w:cs="Times New Roman"/>
          <w:b/>
          <w:sz w:val="24"/>
          <w:szCs w:val="24"/>
        </w:rPr>
        <w:t>Figure S</w:t>
      </w:r>
      <w:r w:rsidR="005B4A5B" w:rsidRPr="00223C6E">
        <w:rPr>
          <w:rFonts w:ascii="Times New Roman" w:eastAsia="Times New Roman" w:hAnsi="Times New Roman" w:cs="Times New Roman"/>
          <w:b/>
          <w:sz w:val="24"/>
          <w:szCs w:val="24"/>
        </w:rPr>
        <w:t>7</w:t>
      </w:r>
      <w:r w:rsidRPr="00223C6E">
        <w:rPr>
          <w:rFonts w:ascii="Times New Roman" w:eastAsia="Times New Roman" w:hAnsi="Times New Roman" w:cs="Times New Roman"/>
          <w:b/>
          <w:sz w:val="24"/>
          <w:szCs w:val="24"/>
        </w:rPr>
        <w:t>.</w:t>
      </w:r>
      <w:r w:rsidRPr="00223C6E">
        <w:rPr>
          <w:rFonts w:ascii="Times New Roman" w:eastAsia="Times New Roman" w:hAnsi="Times New Roman" w:cs="Times New Roman"/>
          <w:sz w:val="24"/>
          <w:szCs w:val="24"/>
        </w:rPr>
        <w:t xml:space="preserve"> Quantitative RT-PCR analysis of endogenous CILK1 mRNA levels in control and patient-derived fibroblast cDNA pools. Data are presented as mean ± s.d. from four independent experiments (n = 4). Statistical significance was assessed using an unpaired two-tailed t-test (GraphPad Prism v7.04). n.s., not significant.</w:t>
      </w:r>
    </w:p>
    <w:p w14:paraId="722232D1" w14:textId="77777777" w:rsidR="00AF7703" w:rsidRPr="00223C6E" w:rsidRDefault="00000000">
      <w:pPr>
        <w:spacing w:line="480" w:lineRule="auto"/>
        <w:jc w:val="both"/>
        <w:rPr>
          <w:rFonts w:ascii="Times New Roman" w:eastAsia="Times New Roman" w:hAnsi="Times New Roman" w:cs="Times New Roman"/>
          <w:b/>
          <w:sz w:val="28"/>
          <w:szCs w:val="28"/>
        </w:rPr>
      </w:pPr>
      <w:r w:rsidRPr="00223C6E">
        <w:rPr>
          <w:rFonts w:ascii="Times New Roman" w:eastAsia="Times New Roman" w:hAnsi="Times New Roman" w:cs="Times New Roman"/>
          <w:b/>
          <w:sz w:val="28"/>
          <w:szCs w:val="28"/>
        </w:rPr>
        <w:lastRenderedPageBreak/>
        <w:t>Supplementary Tables</w:t>
      </w:r>
    </w:p>
    <w:p w14:paraId="25046C3F" w14:textId="77777777" w:rsidR="00AF7703" w:rsidRPr="00223C6E" w:rsidRDefault="00000000">
      <w:pPr>
        <w:rPr>
          <w:rFonts w:ascii="Times New Roman" w:eastAsia="Times New Roman" w:hAnsi="Times New Roman" w:cs="Times New Roman"/>
        </w:rPr>
      </w:pPr>
      <w:r w:rsidRPr="00223C6E">
        <w:rPr>
          <w:rFonts w:ascii="Times New Roman" w:eastAsia="Times New Roman" w:hAnsi="Times New Roman" w:cs="Times New Roman"/>
          <w:b/>
        </w:rPr>
        <w:t>Table S1</w:t>
      </w:r>
      <w:r w:rsidRPr="00223C6E">
        <w:rPr>
          <w:rFonts w:ascii="Times New Roman" w:eastAsia="Times New Roman" w:hAnsi="Times New Roman" w:cs="Times New Roman"/>
        </w:rPr>
        <w:t>: Laboratory results, including kidney and liver function tests and blood counts, measured at different times.</w:t>
      </w:r>
    </w:p>
    <w:tbl>
      <w:tblPr>
        <w:tblStyle w:val="a3"/>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5"/>
        <w:gridCol w:w="856"/>
        <w:gridCol w:w="840"/>
        <w:gridCol w:w="978"/>
        <w:gridCol w:w="1067"/>
        <w:gridCol w:w="938"/>
        <w:gridCol w:w="1105"/>
        <w:gridCol w:w="1099"/>
        <w:gridCol w:w="1099"/>
        <w:gridCol w:w="965"/>
        <w:gridCol w:w="993"/>
        <w:gridCol w:w="992"/>
        <w:gridCol w:w="992"/>
      </w:tblGrid>
      <w:tr w:rsidR="00223C6E" w:rsidRPr="00223C6E" w14:paraId="71361791" w14:textId="77777777">
        <w:trPr>
          <w:trHeight w:val="661"/>
          <w:jc w:val="center"/>
        </w:trPr>
        <w:tc>
          <w:tcPr>
            <w:tcW w:w="2955" w:type="dxa"/>
            <w:vAlign w:val="center"/>
          </w:tcPr>
          <w:p w14:paraId="35B96B27"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Patient</w:t>
            </w:r>
          </w:p>
        </w:tc>
        <w:tc>
          <w:tcPr>
            <w:tcW w:w="2674" w:type="dxa"/>
            <w:gridSpan w:val="3"/>
            <w:vAlign w:val="center"/>
          </w:tcPr>
          <w:p w14:paraId="25508ED6"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Patient 1</w:t>
            </w:r>
          </w:p>
        </w:tc>
        <w:tc>
          <w:tcPr>
            <w:tcW w:w="3110" w:type="dxa"/>
            <w:gridSpan w:val="3"/>
            <w:vAlign w:val="center"/>
          </w:tcPr>
          <w:p w14:paraId="1E846F27"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Patient 2</w:t>
            </w:r>
          </w:p>
        </w:tc>
        <w:tc>
          <w:tcPr>
            <w:tcW w:w="3163" w:type="dxa"/>
            <w:gridSpan w:val="3"/>
            <w:vAlign w:val="center"/>
          </w:tcPr>
          <w:p w14:paraId="59A8E29D"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Patient 3</w:t>
            </w:r>
          </w:p>
        </w:tc>
        <w:tc>
          <w:tcPr>
            <w:tcW w:w="993" w:type="dxa"/>
            <w:vAlign w:val="center"/>
          </w:tcPr>
          <w:p w14:paraId="3F0A8AC2"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Patient 4</w:t>
            </w:r>
          </w:p>
        </w:tc>
        <w:tc>
          <w:tcPr>
            <w:tcW w:w="1984" w:type="dxa"/>
            <w:gridSpan w:val="2"/>
            <w:vAlign w:val="center"/>
          </w:tcPr>
          <w:p w14:paraId="127A19A2"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Patient 5</w:t>
            </w:r>
          </w:p>
        </w:tc>
      </w:tr>
      <w:tr w:rsidR="00223C6E" w:rsidRPr="00223C6E" w14:paraId="46D8FE31" w14:textId="77777777">
        <w:trPr>
          <w:trHeight w:val="906"/>
          <w:jc w:val="center"/>
        </w:trPr>
        <w:tc>
          <w:tcPr>
            <w:tcW w:w="2955" w:type="dxa"/>
            <w:vAlign w:val="center"/>
          </w:tcPr>
          <w:p w14:paraId="43330CF6"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 xml:space="preserve">Laboratory parameter </w:t>
            </w:r>
          </w:p>
          <w:p w14:paraId="188519CD"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(normal interval)</w:t>
            </w:r>
          </w:p>
        </w:tc>
        <w:tc>
          <w:tcPr>
            <w:tcW w:w="856" w:type="dxa"/>
            <w:vAlign w:val="center"/>
          </w:tcPr>
          <w:p w14:paraId="453B9E8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At dx. of KF</w:t>
            </w:r>
          </w:p>
          <w:p w14:paraId="1B3E28D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(3.5 y)</w:t>
            </w:r>
          </w:p>
        </w:tc>
        <w:tc>
          <w:tcPr>
            <w:tcW w:w="840" w:type="dxa"/>
            <w:vAlign w:val="center"/>
          </w:tcPr>
          <w:p w14:paraId="3AB2957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Before RRT</w:t>
            </w:r>
          </w:p>
          <w:p w14:paraId="701D587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 y)</w:t>
            </w:r>
          </w:p>
        </w:tc>
        <w:tc>
          <w:tcPr>
            <w:tcW w:w="978" w:type="dxa"/>
            <w:vAlign w:val="center"/>
          </w:tcPr>
          <w:p w14:paraId="30D6A8D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Current level under w RRT</w:t>
            </w:r>
          </w:p>
          <w:p w14:paraId="3618062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 y)</w:t>
            </w:r>
          </w:p>
        </w:tc>
        <w:tc>
          <w:tcPr>
            <w:tcW w:w="1067" w:type="dxa"/>
            <w:vAlign w:val="center"/>
          </w:tcPr>
          <w:p w14:paraId="52B14CB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At dx. of KF</w:t>
            </w:r>
          </w:p>
          <w:p w14:paraId="76D962B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 y)</w:t>
            </w:r>
          </w:p>
        </w:tc>
        <w:tc>
          <w:tcPr>
            <w:tcW w:w="938" w:type="dxa"/>
            <w:vAlign w:val="center"/>
          </w:tcPr>
          <w:p w14:paraId="0CAE17C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Before RRT</w:t>
            </w:r>
          </w:p>
          <w:p w14:paraId="0DD3C1D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(7.5 y)</w:t>
            </w:r>
          </w:p>
        </w:tc>
        <w:tc>
          <w:tcPr>
            <w:tcW w:w="1105" w:type="dxa"/>
            <w:vAlign w:val="center"/>
          </w:tcPr>
          <w:p w14:paraId="0FC0B2B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Current level under w RRT</w:t>
            </w:r>
          </w:p>
          <w:p w14:paraId="6E96081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 y)</w:t>
            </w:r>
          </w:p>
        </w:tc>
        <w:tc>
          <w:tcPr>
            <w:tcW w:w="1099" w:type="dxa"/>
            <w:vAlign w:val="center"/>
          </w:tcPr>
          <w:p w14:paraId="0CC1A89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At dx. of HSM</w:t>
            </w:r>
          </w:p>
          <w:p w14:paraId="7C6C4AF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 y)</w:t>
            </w:r>
          </w:p>
        </w:tc>
        <w:tc>
          <w:tcPr>
            <w:tcW w:w="1099" w:type="dxa"/>
            <w:vAlign w:val="center"/>
          </w:tcPr>
          <w:p w14:paraId="6185D25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At dx. of CS</w:t>
            </w:r>
          </w:p>
          <w:p w14:paraId="65E2DB9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 y)</w:t>
            </w:r>
          </w:p>
        </w:tc>
        <w:tc>
          <w:tcPr>
            <w:tcW w:w="965" w:type="dxa"/>
            <w:vAlign w:val="center"/>
          </w:tcPr>
          <w:p w14:paraId="4B104D4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Last ev.</w:t>
            </w:r>
          </w:p>
          <w:p w14:paraId="4B72B4C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 y)</w:t>
            </w:r>
          </w:p>
        </w:tc>
        <w:tc>
          <w:tcPr>
            <w:tcW w:w="993" w:type="dxa"/>
            <w:vAlign w:val="center"/>
          </w:tcPr>
          <w:p w14:paraId="0A8E116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Last ev.</w:t>
            </w:r>
          </w:p>
          <w:p w14:paraId="073E97D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 m)</w:t>
            </w:r>
          </w:p>
        </w:tc>
        <w:tc>
          <w:tcPr>
            <w:tcW w:w="992" w:type="dxa"/>
            <w:vAlign w:val="center"/>
          </w:tcPr>
          <w:p w14:paraId="075359B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At inital ev.</w:t>
            </w:r>
          </w:p>
          <w:p w14:paraId="23A56FB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 m)</w:t>
            </w:r>
          </w:p>
        </w:tc>
        <w:tc>
          <w:tcPr>
            <w:tcW w:w="992" w:type="dxa"/>
            <w:vAlign w:val="center"/>
          </w:tcPr>
          <w:p w14:paraId="1CBB75B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Last ev.</w:t>
            </w:r>
          </w:p>
          <w:p w14:paraId="5EA04DE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(34 m)</w:t>
            </w:r>
          </w:p>
        </w:tc>
      </w:tr>
      <w:tr w:rsidR="00223C6E" w:rsidRPr="00223C6E" w14:paraId="72ECB33C" w14:textId="77777777">
        <w:trPr>
          <w:trHeight w:val="328"/>
          <w:jc w:val="center"/>
        </w:trPr>
        <w:tc>
          <w:tcPr>
            <w:tcW w:w="2955" w:type="dxa"/>
            <w:vAlign w:val="center"/>
          </w:tcPr>
          <w:p w14:paraId="0D9C79E4"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BUN (0-23 mg/dL)</w:t>
            </w:r>
          </w:p>
        </w:tc>
        <w:tc>
          <w:tcPr>
            <w:tcW w:w="856" w:type="dxa"/>
            <w:vAlign w:val="center"/>
          </w:tcPr>
          <w:p w14:paraId="46FCDC5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88</w:t>
            </w:r>
          </w:p>
        </w:tc>
        <w:tc>
          <w:tcPr>
            <w:tcW w:w="840" w:type="dxa"/>
            <w:vAlign w:val="center"/>
          </w:tcPr>
          <w:p w14:paraId="6D9EF95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69</w:t>
            </w:r>
          </w:p>
        </w:tc>
        <w:tc>
          <w:tcPr>
            <w:tcW w:w="978" w:type="dxa"/>
            <w:vAlign w:val="center"/>
          </w:tcPr>
          <w:p w14:paraId="06D117E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57</w:t>
            </w:r>
          </w:p>
        </w:tc>
        <w:tc>
          <w:tcPr>
            <w:tcW w:w="1067" w:type="dxa"/>
            <w:vAlign w:val="center"/>
          </w:tcPr>
          <w:p w14:paraId="1E8E34C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29</w:t>
            </w:r>
          </w:p>
        </w:tc>
        <w:tc>
          <w:tcPr>
            <w:tcW w:w="938" w:type="dxa"/>
            <w:vAlign w:val="center"/>
          </w:tcPr>
          <w:p w14:paraId="508CBEC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73</w:t>
            </w:r>
          </w:p>
        </w:tc>
        <w:tc>
          <w:tcPr>
            <w:tcW w:w="1105" w:type="dxa"/>
            <w:vAlign w:val="center"/>
          </w:tcPr>
          <w:p w14:paraId="427F4FA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34.4</w:t>
            </w:r>
          </w:p>
        </w:tc>
        <w:tc>
          <w:tcPr>
            <w:tcW w:w="1099" w:type="dxa"/>
            <w:vAlign w:val="center"/>
          </w:tcPr>
          <w:p w14:paraId="29207DF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16</w:t>
            </w:r>
          </w:p>
        </w:tc>
        <w:tc>
          <w:tcPr>
            <w:tcW w:w="1099" w:type="dxa"/>
            <w:vAlign w:val="center"/>
          </w:tcPr>
          <w:p w14:paraId="5E8CFF3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80</w:t>
            </w:r>
          </w:p>
        </w:tc>
        <w:tc>
          <w:tcPr>
            <w:tcW w:w="965" w:type="dxa"/>
            <w:vAlign w:val="center"/>
          </w:tcPr>
          <w:p w14:paraId="62289BD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52</w:t>
            </w:r>
          </w:p>
        </w:tc>
        <w:tc>
          <w:tcPr>
            <w:tcW w:w="993" w:type="dxa"/>
            <w:vAlign w:val="center"/>
          </w:tcPr>
          <w:p w14:paraId="4AEEF79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w:t>
            </w:r>
          </w:p>
        </w:tc>
        <w:tc>
          <w:tcPr>
            <w:tcW w:w="992" w:type="dxa"/>
            <w:vAlign w:val="center"/>
          </w:tcPr>
          <w:p w14:paraId="4C9D6B6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9.5</w:t>
            </w:r>
          </w:p>
        </w:tc>
        <w:tc>
          <w:tcPr>
            <w:tcW w:w="992" w:type="dxa"/>
            <w:vAlign w:val="center"/>
          </w:tcPr>
          <w:p w14:paraId="4E2EC29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13.2</w:t>
            </w:r>
          </w:p>
        </w:tc>
      </w:tr>
      <w:tr w:rsidR="00223C6E" w:rsidRPr="00223C6E" w14:paraId="78FF6937" w14:textId="77777777">
        <w:trPr>
          <w:trHeight w:val="328"/>
          <w:jc w:val="center"/>
        </w:trPr>
        <w:tc>
          <w:tcPr>
            <w:tcW w:w="2955" w:type="dxa"/>
            <w:vAlign w:val="center"/>
          </w:tcPr>
          <w:p w14:paraId="7DA4F975"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Creatinine (0.3-1.2 mg/dL)</w:t>
            </w:r>
          </w:p>
        </w:tc>
        <w:tc>
          <w:tcPr>
            <w:tcW w:w="856" w:type="dxa"/>
            <w:vAlign w:val="center"/>
          </w:tcPr>
          <w:p w14:paraId="3D02F6A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3.54</w:t>
            </w:r>
          </w:p>
        </w:tc>
        <w:tc>
          <w:tcPr>
            <w:tcW w:w="840" w:type="dxa"/>
            <w:vAlign w:val="center"/>
          </w:tcPr>
          <w:p w14:paraId="35BDA6A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9.81</w:t>
            </w:r>
          </w:p>
        </w:tc>
        <w:tc>
          <w:tcPr>
            <w:tcW w:w="978" w:type="dxa"/>
            <w:vAlign w:val="center"/>
          </w:tcPr>
          <w:p w14:paraId="47AF5F2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10.54</w:t>
            </w:r>
          </w:p>
        </w:tc>
        <w:tc>
          <w:tcPr>
            <w:tcW w:w="1067" w:type="dxa"/>
            <w:vAlign w:val="center"/>
          </w:tcPr>
          <w:p w14:paraId="2DE18EF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1.23</w:t>
            </w:r>
          </w:p>
        </w:tc>
        <w:tc>
          <w:tcPr>
            <w:tcW w:w="938" w:type="dxa"/>
            <w:vAlign w:val="center"/>
          </w:tcPr>
          <w:p w14:paraId="41367DF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6.54</w:t>
            </w:r>
          </w:p>
        </w:tc>
        <w:tc>
          <w:tcPr>
            <w:tcW w:w="1105" w:type="dxa"/>
            <w:vAlign w:val="center"/>
          </w:tcPr>
          <w:p w14:paraId="628C07B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5.57</w:t>
            </w:r>
          </w:p>
        </w:tc>
        <w:tc>
          <w:tcPr>
            <w:tcW w:w="1099" w:type="dxa"/>
            <w:vAlign w:val="center"/>
          </w:tcPr>
          <w:p w14:paraId="3111934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0.71</w:t>
            </w:r>
          </w:p>
        </w:tc>
        <w:tc>
          <w:tcPr>
            <w:tcW w:w="1099" w:type="dxa"/>
            <w:vAlign w:val="center"/>
          </w:tcPr>
          <w:p w14:paraId="0A4D19A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2.7</w:t>
            </w:r>
          </w:p>
        </w:tc>
        <w:tc>
          <w:tcPr>
            <w:tcW w:w="965" w:type="dxa"/>
            <w:vAlign w:val="center"/>
          </w:tcPr>
          <w:p w14:paraId="4ADD572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2.59</w:t>
            </w:r>
          </w:p>
        </w:tc>
        <w:tc>
          <w:tcPr>
            <w:tcW w:w="993" w:type="dxa"/>
            <w:vAlign w:val="center"/>
          </w:tcPr>
          <w:p w14:paraId="28667F2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0.37</w:t>
            </w:r>
          </w:p>
        </w:tc>
        <w:tc>
          <w:tcPr>
            <w:tcW w:w="992" w:type="dxa"/>
            <w:vAlign w:val="center"/>
          </w:tcPr>
          <w:p w14:paraId="7F2946F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1.12</w:t>
            </w:r>
          </w:p>
        </w:tc>
        <w:tc>
          <w:tcPr>
            <w:tcW w:w="992" w:type="dxa"/>
            <w:vAlign w:val="center"/>
          </w:tcPr>
          <w:p w14:paraId="6D949AB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0.47</w:t>
            </w:r>
          </w:p>
        </w:tc>
      </w:tr>
      <w:tr w:rsidR="00223C6E" w:rsidRPr="00223C6E" w14:paraId="5416FB61" w14:textId="77777777">
        <w:trPr>
          <w:trHeight w:val="328"/>
          <w:jc w:val="center"/>
        </w:trPr>
        <w:tc>
          <w:tcPr>
            <w:tcW w:w="2955" w:type="dxa"/>
            <w:vAlign w:val="center"/>
          </w:tcPr>
          <w:p w14:paraId="797458FD"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Albumin (3.1-4.8 g/dL)</w:t>
            </w:r>
          </w:p>
        </w:tc>
        <w:tc>
          <w:tcPr>
            <w:tcW w:w="856" w:type="dxa"/>
            <w:vAlign w:val="center"/>
          </w:tcPr>
          <w:p w14:paraId="7F86E56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4.5</w:t>
            </w:r>
          </w:p>
        </w:tc>
        <w:tc>
          <w:tcPr>
            <w:tcW w:w="840" w:type="dxa"/>
            <w:vAlign w:val="center"/>
          </w:tcPr>
          <w:p w14:paraId="751BBE9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2.9</w:t>
            </w:r>
          </w:p>
        </w:tc>
        <w:tc>
          <w:tcPr>
            <w:tcW w:w="978" w:type="dxa"/>
            <w:vAlign w:val="center"/>
          </w:tcPr>
          <w:p w14:paraId="446B91C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3.2</w:t>
            </w:r>
          </w:p>
        </w:tc>
        <w:tc>
          <w:tcPr>
            <w:tcW w:w="1067" w:type="dxa"/>
            <w:vAlign w:val="center"/>
          </w:tcPr>
          <w:p w14:paraId="6DC460E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4.7</w:t>
            </w:r>
          </w:p>
        </w:tc>
        <w:tc>
          <w:tcPr>
            <w:tcW w:w="938" w:type="dxa"/>
            <w:vAlign w:val="center"/>
          </w:tcPr>
          <w:p w14:paraId="21C7319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4.1</w:t>
            </w:r>
          </w:p>
        </w:tc>
        <w:tc>
          <w:tcPr>
            <w:tcW w:w="1105" w:type="dxa"/>
            <w:vAlign w:val="center"/>
          </w:tcPr>
          <w:p w14:paraId="71C5A75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1099" w:type="dxa"/>
            <w:vAlign w:val="center"/>
          </w:tcPr>
          <w:p w14:paraId="46B1DE1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4.2</w:t>
            </w:r>
          </w:p>
        </w:tc>
        <w:tc>
          <w:tcPr>
            <w:tcW w:w="1099" w:type="dxa"/>
            <w:vAlign w:val="center"/>
          </w:tcPr>
          <w:p w14:paraId="30A213C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3.8</w:t>
            </w:r>
          </w:p>
        </w:tc>
        <w:tc>
          <w:tcPr>
            <w:tcW w:w="965" w:type="dxa"/>
            <w:vAlign w:val="center"/>
          </w:tcPr>
          <w:p w14:paraId="54DCFFE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4.05</w:t>
            </w:r>
          </w:p>
        </w:tc>
        <w:tc>
          <w:tcPr>
            <w:tcW w:w="993" w:type="dxa"/>
            <w:vAlign w:val="center"/>
          </w:tcPr>
          <w:p w14:paraId="3D51EF2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42</w:t>
            </w:r>
          </w:p>
        </w:tc>
        <w:tc>
          <w:tcPr>
            <w:tcW w:w="992" w:type="dxa"/>
            <w:vAlign w:val="center"/>
          </w:tcPr>
          <w:p w14:paraId="0B50616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3.40</w:t>
            </w:r>
          </w:p>
        </w:tc>
        <w:tc>
          <w:tcPr>
            <w:tcW w:w="992" w:type="dxa"/>
            <w:vAlign w:val="center"/>
          </w:tcPr>
          <w:p w14:paraId="25B60CD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4.43</w:t>
            </w:r>
          </w:p>
        </w:tc>
      </w:tr>
      <w:tr w:rsidR="00223C6E" w:rsidRPr="00223C6E" w14:paraId="29BA620D" w14:textId="77777777">
        <w:trPr>
          <w:trHeight w:val="328"/>
          <w:jc w:val="center"/>
        </w:trPr>
        <w:tc>
          <w:tcPr>
            <w:tcW w:w="2955" w:type="dxa"/>
            <w:vAlign w:val="center"/>
          </w:tcPr>
          <w:p w14:paraId="10B69454"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Ca (8.8-10.8 mg/dL)</w:t>
            </w:r>
          </w:p>
        </w:tc>
        <w:tc>
          <w:tcPr>
            <w:tcW w:w="856" w:type="dxa"/>
            <w:vAlign w:val="center"/>
          </w:tcPr>
          <w:p w14:paraId="4765170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9.6</w:t>
            </w:r>
          </w:p>
        </w:tc>
        <w:tc>
          <w:tcPr>
            <w:tcW w:w="840" w:type="dxa"/>
            <w:vAlign w:val="center"/>
          </w:tcPr>
          <w:p w14:paraId="0C326B4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9.4</w:t>
            </w:r>
          </w:p>
        </w:tc>
        <w:tc>
          <w:tcPr>
            <w:tcW w:w="978" w:type="dxa"/>
            <w:vAlign w:val="center"/>
          </w:tcPr>
          <w:p w14:paraId="054B1C1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11.4</w:t>
            </w:r>
          </w:p>
        </w:tc>
        <w:tc>
          <w:tcPr>
            <w:tcW w:w="1067" w:type="dxa"/>
            <w:vAlign w:val="center"/>
          </w:tcPr>
          <w:p w14:paraId="2D80DA1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10.3</w:t>
            </w:r>
          </w:p>
        </w:tc>
        <w:tc>
          <w:tcPr>
            <w:tcW w:w="938" w:type="dxa"/>
            <w:vAlign w:val="center"/>
          </w:tcPr>
          <w:p w14:paraId="433BB8B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9.66</w:t>
            </w:r>
          </w:p>
        </w:tc>
        <w:tc>
          <w:tcPr>
            <w:tcW w:w="1105" w:type="dxa"/>
            <w:vAlign w:val="center"/>
          </w:tcPr>
          <w:p w14:paraId="652A10D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1099" w:type="dxa"/>
            <w:vAlign w:val="center"/>
          </w:tcPr>
          <w:p w14:paraId="19D498B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10.1</w:t>
            </w:r>
          </w:p>
        </w:tc>
        <w:tc>
          <w:tcPr>
            <w:tcW w:w="1099" w:type="dxa"/>
            <w:vAlign w:val="center"/>
          </w:tcPr>
          <w:p w14:paraId="0BF470F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10.3</w:t>
            </w:r>
          </w:p>
        </w:tc>
        <w:tc>
          <w:tcPr>
            <w:tcW w:w="965" w:type="dxa"/>
            <w:vAlign w:val="center"/>
          </w:tcPr>
          <w:p w14:paraId="3B9D7EB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9.6</w:t>
            </w:r>
          </w:p>
        </w:tc>
        <w:tc>
          <w:tcPr>
            <w:tcW w:w="993" w:type="dxa"/>
            <w:vAlign w:val="center"/>
          </w:tcPr>
          <w:p w14:paraId="24129F3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9.58</w:t>
            </w:r>
          </w:p>
        </w:tc>
        <w:tc>
          <w:tcPr>
            <w:tcW w:w="992" w:type="dxa"/>
            <w:vAlign w:val="center"/>
          </w:tcPr>
          <w:p w14:paraId="797333C2"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8.33</w:t>
            </w:r>
          </w:p>
        </w:tc>
        <w:tc>
          <w:tcPr>
            <w:tcW w:w="992" w:type="dxa"/>
            <w:vAlign w:val="center"/>
          </w:tcPr>
          <w:p w14:paraId="5395827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9.96</w:t>
            </w:r>
          </w:p>
        </w:tc>
      </w:tr>
      <w:tr w:rsidR="00223C6E" w:rsidRPr="00223C6E" w14:paraId="0EDD6BC1" w14:textId="77777777">
        <w:trPr>
          <w:trHeight w:val="328"/>
          <w:jc w:val="center"/>
        </w:trPr>
        <w:tc>
          <w:tcPr>
            <w:tcW w:w="2955" w:type="dxa"/>
            <w:vAlign w:val="center"/>
          </w:tcPr>
          <w:p w14:paraId="6E505241"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PO4 (4.5-5.5 mg/dL)</w:t>
            </w:r>
          </w:p>
        </w:tc>
        <w:tc>
          <w:tcPr>
            <w:tcW w:w="856" w:type="dxa"/>
            <w:vAlign w:val="center"/>
          </w:tcPr>
          <w:p w14:paraId="1A70770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5.2</w:t>
            </w:r>
          </w:p>
        </w:tc>
        <w:tc>
          <w:tcPr>
            <w:tcW w:w="840" w:type="dxa"/>
            <w:vAlign w:val="center"/>
          </w:tcPr>
          <w:p w14:paraId="67934BA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9.3</w:t>
            </w:r>
          </w:p>
        </w:tc>
        <w:tc>
          <w:tcPr>
            <w:tcW w:w="978" w:type="dxa"/>
            <w:vAlign w:val="center"/>
          </w:tcPr>
          <w:p w14:paraId="18C9B55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5.35</w:t>
            </w:r>
          </w:p>
        </w:tc>
        <w:tc>
          <w:tcPr>
            <w:tcW w:w="1067" w:type="dxa"/>
            <w:vAlign w:val="center"/>
          </w:tcPr>
          <w:p w14:paraId="0D3E672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5.5</w:t>
            </w:r>
          </w:p>
        </w:tc>
        <w:tc>
          <w:tcPr>
            <w:tcW w:w="938" w:type="dxa"/>
            <w:vAlign w:val="center"/>
          </w:tcPr>
          <w:p w14:paraId="2E0824E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3.7</w:t>
            </w:r>
          </w:p>
        </w:tc>
        <w:tc>
          <w:tcPr>
            <w:tcW w:w="1105" w:type="dxa"/>
            <w:vAlign w:val="center"/>
          </w:tcPr>
          <w:p w14:paraId="097B79D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1099" w:type="dxa"/>
            <w:vAlign w:val="center"/>
          </w:tcPr>
          <w:p w14:paraId="60FD3BF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5.7</w:t>
            </w:r>
          </w:p>
        </w:tc>
        <w:tc>
          <w:tcPr>
            <w:tcW w:w="1099" w:type="dxa"/>
            <w:vAlign w:val="center"/>
          </w:tcPr>
          <w:p w14:paraId="6DF241E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6.9</w:t>
            </w:r>
          </w:p>
        </w:tc>
        <w:tc>
          <w:tcPr>
            <w:tcW w:w="965" w:type="dxa"/>
            <w:vAlign w:val="center"/>
          </w:tcPr>
          <w:p w14:paraId="01D8211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w:t>
            </w:r>
          </w:p>
        </w:tc>
        <w:tc>
          <w:tcPr>
            <w:tcW w:w="993" w:type="dxa"/>
            <w:vAlign w:val="center"/>
          </w:tcPr>
          <w:p w14:paraId="5B79B90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4.73</w:t>
            </w:r>
          </w:p>
        </w:tc>
        <w:tc>
          <w:tcPr>
            <w:tcW w:w="992" w:type="dxa"/>
            <w:vAlign w:val="center"/>
          </w:tcPr>
          <w:p w14:paraId="67BC4DA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5.7</w:t>
            </w:r>
          </w:p>
        </w:tc>
        <w:tc>
          <w:tcPr>
            <w:tcW w:w="992" w:type="dxa"/>
            <w:vAlign w:val="center"/>
          </w:tcPr>
          <w:p w14:paraId="3DFC308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4.5</w:t>
            </w:r>
          </w:p>
        </w:tc>
      </w:tr>
      <w:tr w:rsidR="00223C6E" w:rsidRPr="00223C6E" w14:paraId="25C528DE" w14:textId="77777777">
        <w:trPr>
          <w:trHeight w:val="328"/>
          <w:jc w:val="center"/>
        </w:trPr>
        <w:tc>
          <w:tcPr>
            <w:tcW w:w="2955" w:type="dxa"/>
            <w:vAlign w:val="center"/>
          </w:tcPr>
          <w:p w14:paraId="5F7B8901"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Na (135-143 mEq/</w:t>
            </w:r>
            <w:proofErr w:type="gramStart"/>
            <w:r w:rsidRPr="00223C6E">
              <w:rPr>
                <w:rFonts w:ascii="Times New Roman" w:eastAsia="Times New Roman" w:hAnsi="Times New Roman" w:cs="Times New Roman"/>
                <w:b/>
                <w:sz w:val="20"/>
                <w:szCs w:val="20"/>
              </w:rPr>
              <w:t>L )</w:t>
            </w:r>
            <w:proofErr w:type="gramEnd"/>
          </w:p>
        </w:tc>
        <w:tc>
          <w:tcPr>
            <w:tcW w:w="856" w:type="dxa"/>
            <w:vAlign w:val="center"/>
          </w:tcPr>
          <w:p w14:paraId="2143C68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136</w:t>
            </w:r>
          </w:p>
        </w:tc>
        <w:tc>
          <w:tcPr>
            <w:tcW w:w="840" w:type="dxa"/>
            <w:vAlign w:val="center"/>
          </w:tcPr>
          <w:p w14:paraId="4024EB3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127</w:t>
            </w:r>
          </w:p>
        </w:tc>
        <w:tc>
          <w:tcPr>
            <w:tcW w:w="978" w:type="dxa"/>
            <w:vAlign w:val="center"/>
          </w:tcPr>
          <w:p w14:paraId="636138B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135</w:t>
            </w:r>
          </w:p>
        </w:tc>
        <w:tc>
          <w:tcPr>
            <w:tcW w:w="1067" w:type="dxa"/>
            <w:vAlign w:val="center"/>
          </w:tcPr>
          <w:p w14:paraId="23CA594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139</w:t>
            </w:r>
          </w:p>
        </w:tc>
        <w:tc>
          <w:tcPr>
            <w:tcW w:w="938" w:type="dxa"/>
            <w:vAlign w:val="center"/>
          </w:tcPr>
          <w:p w14:paraId="24CF5EC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139</w:t>
            </w:r>
          </w:p>
        </w:tc>
        <w:tc>
          <w:tcPr>
            <w:tcW w:w="1105" w:type="dxa"/>
            <w:vAlign w:val="center"/>
          </w:tcPr>
          <w:p w14:paraId="42746A7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1099" w:type="dxa"/>
            <w:vAlign w:val="center"/>
          </w:tcPr>
          <w:p w14:paraId="07250D1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139</w:t>
            </w:r>
          </w:p>
        </w:tc>
        <w:tc>
          <w:tcPr>
            <w:tcW w:w="1099" w:type="dxa"/>
            <w:vAlign w:val="center"/>
          </w:tcPr>
          <w:p w14:paraId="33748F4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138</w:t>
            </w:r>
          </w:p>
        </w:tc>
        <w:tc>
          <w:tcPr>
            <w:tcW w:w="965" w:type="dxa"/>
            <w:vAlign w:val="center"/>
          </w:tcPr>
          <w:p w14:paraId="19A9D27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139</w:t>
            </w:r>
          </w:p>
        </w:tc>
        <w:tc>
          <w:tcPr>
            <w:tcW w:w="993" w:type="dxa"/>
            <w:vAlign w:val="center"/>
          </w:tcPr>
          <w:p w14:paraId="22FCDFA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136</w:t>
            </w:r>
          </w:p>
        </w:tc>
        <w:tc>
          <w:tcPr>
            <w:tcW w:w="992" w:type="dxa"/>
            <w:vAlign w:val="center"/>
          </w:tcPr>
          <w:p w14:paraId="5A1BCB4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138</w:t>
            </w:r>
          </w:p>
        </w:tc>
        <w:tc>
          <w:tcPr>
            <w:tcW w:w="992" w:type="dxa"/>
            <w:vAlign w:val="center"/>
          </w:tcPr>
          <w:p w14:paraId="7752279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140</w:t>
            </w:r>
          </w:p>
        </w:tc>
      </w:tr>
      <w:tr w:rsidR="00223C6E" w:rsidRPr="00223C6E" w14:paraId="7D66C79C" w14:textId="77777777">
        <w:trPr>
          <w:trHeight w:val="328"/>
          <w:jc w:val="center"/>
        </w:trPr>
        <w:tc>
          <w:tcPr>
            <w:tcW w:w="2955" w:type="dxa"/>
            <w:vAlign w:val="center"/>
          </w:tcPr>
          <w:p w14:paraId="17BD86DF"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K (3.1-5.</w:t>
            </w:r>
            <w:proofErr w:type="gramStart"/>
            <w:r w:rsidRPr="00223C6E">
              <w:rPr>
                <w:rFonts w:ascii="Times New Roman" w:eastAsia="Times New Roman" w:hAnsi="Times New Roman" w:cs="Times New Roman"/>
                <w:b/>
                <w:sz w:val="20"/>
                <w:szCs w:val="20"/>
              </w:rPr>
              <w:t>5  mEq</w:t>
            </w:r>
            <w:proofErr w:type="gramEnd"/>
            <w:r w:rsidRPr="00223C6E">
              <w:rPr>
                <w:rFonts w:ascii="Times New Roman" w:eastAsia="Times New Roman" w:hAnsi="Times New Roman" w:cs="Times New Roman"/>
                <w:b/>
                <w:sz w:val="20"/>
                <w:szCs w:val="20"/>
              </w:rPr>
              <w:t>/</w:t>
            </w:r>
            <w:proofErr w:type="gramStart"/>
            <w:r w:rsidRPr="00223C6E">
              <w:rPr>
                <w:rFonts w:ascii="Times New Roman" w:eastAsia="Times New Roman" w:hAnsi="Times New Roman" w:cs="Times New Roman"/>
                <w:b/>
                <w:sz w:val="20"/>
                <w:szCs w:val="20"/>
              </w:rPr>
              <w:t>L )</w:t>
            </w:r>
            <w:proofErr w:type="gramEnd"/>
          </w:p>
        </w:tc>
        <w:tc>
          <w:tcPr>
            <w:tcW w:w="856" w:type="dxa"/>
            <w:vAlign w:val="center"/>
          </w:tcPr>
          <w:p w14:paraId="5CEBD1A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6.18</w:t>
            </w:r>
          </w:p>
        </w:tc>
        <w:tc>
          <w:tcPr>
            <w:tcW w:w="840" w:type="dxa"/>
            <w:vAlign w:val="center"/>
          </w:tcPr>
          <w:p w14:paraId="5DD7002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4.96</w:t>
            </w:r>
          </w:p>
        </w:tc>
        <w:tc>
          <w:tcPr>
            <w:tcW w:w="978" w:type="dxa"/>
            <w:vAlign w:val="center"/>
          </w:tcPr>
          <w:p w14:paraId="1C2DEE7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6.44</w:t>
            </w:r>
          </w:p>
        </w:tc>
        <w:tc>
          <w:tcPr>
            <w:tcW w:w="1067" w:type="dxa"/>
            <w:vAlign w:val="center"/>
          </w:tcPr>
          <w:p w14:paraId="2922800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5.46</w:t>
            </w:r>
          </w:p>
        </w:tc>
        <w:tc>
          <w:tcPr>
            <w:tcW w:w="938" w:type="dxa"/>
            <w:vAlign w:val="center"/>
          </w:tcPr>
          <w:p w14:paraId="2B96983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3.69</w:t>
            </w:r>
          </w:p>
        </w:tc>
        <w:tc>
          <w:tcPr>
            <w:tcW w:w="1105" w:type="dxa"/>
            <w:vAlign w:val="center"/>
          </w:tcPr>
          <w:p w14:paraId="4B5A194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1099" w:type="dxa"/>
            <w:vAlign w:val="center"/>
          </w:tcPr>
          <w:p w14:paraId="5A885B1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3.6</w:t>
            </w:r>
          </w:p>
        </w:tc>
        <w:tc>
          <w:tcPr>
            <w:tcW w:w="1099" w:type="dxa"/>
            <w:vAlign w:val="center"/>
          </w:tcPr>
          <w:p w14:paraId="3C1C225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4.8</w:t>
            </w:r>
          </w:p>
        </w:tc>
        <w:tc>
          <w:tcPr>
            <w:tcW w:w="965" w:type="dxa"/>
            <w:vAlign w:val="center"/>
          </w:tcPr>
          <w:p w14:paraId="1E5EC71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3.88</w:t>
            </w:r>
          </w:p>
        </w:tc>
        <w:tc>
          <w:tcPr>
            <w:tcW w:w="993" w:type="dxa"/>
            <w:vAlign w:val="center"/>
          </w:tcPr>
          <w:p w14:paraId="3508828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4.86</w:t>
            </w:r>
          </w:p>
        </w:tc>
        <w:tc>
          <w:tcPr>
            <w:tcW w:w="992" w:type="dxa"/>
            <w:vAlign w:val="center"/>
          </w:tcPr>
          <w:p w14:paraId="2283CE8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5.38</w:t>
            </w:r>
          </w:p>
        </w:tc>
        <w:tc>
          <w:tcPr>
            <w:tcW w:w="992" w:type="dxa"/>
            <w:vAlign w:val="center"/>
          </w:tcPr>
          <w:p w14:paraId="3597034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5.27</w:t>
            </w:r>
          </w:p>
        </w:tc>
      </w:tr>
      <w:tr w:rsidR="00223C6E" w:rsidRPr="00223C6E" w14:paraId="33812BF5" w14:textId="77777777">
        <w:trPr>
          <w:trHeight w:val="328"/>
          <w:jc w:val="center"/>
        </w:trPr>
        <w:tc>
          <w:tcPr>
            <w:tcW w:w="2955" w:type="dxa"/>
            <w:vAlign w:val="center"/>
          </w:tcPr>
          <w:p w14:paraId="6B04AAAC"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Uric acid (&lt;6.1 mg/dL)</w:t>
            </w:r>
          </w:p>
        </w:tc>
        <w:tc>
          <w:tcPr>
            <w:tcW w:w="856" w:type="dxa"/>
            <w:vAlign w:val="center"/>
          </w:tcPr>
          <w:p w14:paraId="2D14843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6.3</w:t>
            </w:r>
          </w:p>
        </w:tc>
        <w:tc>
          <w:tcPr>
            <w:tcW w:w="840" w:type="dxa"/>
            <w:vAlign w:val="center"/>
          </w:tcPr>
          <w:p w14:paraId="0720217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9.5</w:t>
            </w:r>
          </w:p>
        </w:tc>
        <w:tc>
          <w:tcPr>
            <w:tcW w:w="978" w:type="dxa"/>
            <w:vAlign w:val="center"/>
          </w:tcPr>
          <w:p w14:paraId="76AFDD7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7.3</w:t>
            </w:r>
          </w:p>
        </w:tc>
        <w:tc>
          <w:tcPr>
            <w:tcW w:w="1067" w:type="dxa"/>
            <w:vAlign w:val="center"/>
          </w:tcPr>
          <w:p w14:paraId="53D104C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8.3</w:t>
            </w:r>
          </w:p>
        </w:tc>
        <w:tc>
          <w:tcPr>
            <w:tcW w:w="938" w:type="dxa"/>
            <w:vAlign w:val="center"/>
          </w:tcPr>
          <w:p w14:paraId="14B08C8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5.8</w:t>
            </w:r>
          </w:p>
        </w:tc>
        <w:tc>
          <w:tcPr>
            <w:tcW w:w="1105" w:type="dxa"/>
            <w:vAlign w:val="center"/>
          </w:tcPr>
          <w:p w14:paraId="540BC8C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1099" w:type="dxa"/>
            <w:vAlign w:val="center"/>
          </w:tcPr>
          <w:p w14:paraId="632304F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4.5</w:t>
            </w:r>
          </w:p>
        </w:tc>
        <w:tc>
          <w:tcPr>
            <w:tcW w:w="1099" w:type="dxa"/>
            <w:vAlign w:val="center"/>
          </w:tcPr>
          <w:p w14:paraId="51823CD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6.7</w:t>
            </w:r>
          </w:p>
        </w:tc>
        <w:tc>
          <w:tcPr>
            <w:tcW w:w="965" w:type="dxa"/>
            <w:vAlign w:val="center"/>
          </w:tcPr>
          <w:p w14:paraId="0C63E38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6..2</w:t>
            </w:r>
          </w:p>
        </w:tc>
        <w:tc>
          <w:tcPr>
            <w:tcW w:w="993" w:type="dxa"/>
            <w:vAlign w:val="center"/>
          </w:tcPr>
          <w:p w14:paraId="6F1CCEC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w:t>
            </w:r>
          </w:p>
        </w:tc>
        <w:tc>
          <w:tcPr>
            <w:tcW w:w="992" w:type="dxa"/>
            <w:vAlign w:val="center"/>
          </w:tcPr>
          <w:p w14:paraId="3F361B4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3.5</w:t>
            </w:r>
          </w:p>
        </w:tc>
        <w:tc>
          <w:tcPr>
            <w:tcW w:w="992" w:type="dxa"/>
            <w:vAlign w:val="center"/>
          </w:tcPr>
          <w:p w14:paraId="19C19BC2"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7.7</w:t>
            </w:r>
          </w:p>
        </w:tc>
      </w:tr>
      <w:tr w:rsidR="00223C6E" w:rsidRPr="00223C6E" w14:paraId="6758B0B8" w14:textId="77777777">
        <w:trPr>
          <w:trHeight w:val="328"/>
          <w:jc w:val="center"/>
        </w:trPr>
        <w:tc>
          <w:tcPr>
            <w:tcW w:w="2955" w:type="dxa"/>
            <w:vAlign w:val="center"/>
          </w:tcPr>
          <w:p w14:paraId="7D801E9B"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GGT (&lt;23 U/L)</w:t>
            </w:r>
          </w:p>
        </w:tc>
        <w:tc>
          <w:tcPr>
            <w:tcW w:w="856" w:type="dxa"/>
            <w:vAlign w:val="center"/>
          </w:tcPr>
          <w:p w14:paraId="372320E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145</w:t>
            </w:r>
          </w:p>
        </w:tc>
        <w:tc>
          <w:tcPr>
            <w:tcW w:w="840" w:type="dxa"/>
            <w:vAlign w:val="center"/>
          </w:tcPr>
          <w:p w14:paraId="59B1729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179</w:t>
            </w:r>
          </w:p>
        </w:tc>
        <w:tc>
          <w:tcPr>
            <w:tcW w:w="978" w:type="dxa"/>
            <w:vAlign w:val="center"/>
          </w:tcPr>
          <w:p w14:paraId="0786DC3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190</w:t>
            </w:r>
          </w:p>
        </w:tc>
        <w:tc>
          <w:tcPr>
            <w:tcW w:w="1067" w:type="dxa"/>
            <w:vAlign w:val="center"/>
          </w:tcPr>
          <w:p w14:paraId="5BB9C72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127</w:t>
            </w:r>
          </w:p>
        </w:tc>
        <w:tc>
          <w:tcPr>
            <w:tcW w:w="938" w:type="dxa"/>
            <w:vAlign w:val="center"/>
          </w:tcPr>
          <w:p w14:paraId="011AC37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143</w:t>
            </w:r>
          </w:p>
        </w:tc>
        <w:tc>
          <w:tcPr>
            <w:tcW w:w="1105" w:type="dxa"/>
            <w:vAlign w:val="center"/>
          </w:tcPr>
          <w:p w14:paraId="7ACA90D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345</w:t>
            </w:r>
          </w:p>
        </w:tc>
        <w:tc>
          <w:tcPr>
            <w:tcW w:w="1099" w:type="dxa"/>
            <w:vAlign w:val="center"/>
          </w:tcPr>
          <w:p w14:paraId="482265D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441</w:t>
            </w:r>
          </w:p>
        </w:tc>
        <w:tc>
          <w:tcPr>
            <w:tcW w:w="1099" w:type="dxa"/>
            <w:vAlign w:val="center"/>
          </w:tcPr>
          <w:p w14:paraId="6AA8B14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380</w:t>
            </w:r>
          </w:p>
        </w:tc>
        <w:tc>
          <w:tcPr>
            <w:tcW w:w="965" w:type="dxa"/>
            <w:vAlign w:val="center"/>
          </w:tcPr>
          <w:p w14:paraId="64A6E7E2"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231</w:t>
            </w:r>
          </w:p>
        </w:tc>
        <w:tc>
          <w:tcPr>
            <w:tcW w:w="993" w:type="dxa"/>
            <w:vAlign w:val="center"/>
          </w:tcPr>
          <w:p w14:paraId="721AAE2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1238</w:t>
            </w:r>
          </w:p>
        </w:tc>
        <w:tc>
          <w:tcPr>
            <w:tcW w:w="992" w:type="dxa"/>
            <w:vAlign w:val="center"/>
          </w:tcPr>
          <w:p w14:paraId="0498F5D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121</w:t>
            </w:r>
          </w:p>
        </w:tc>
        <w:tc>
          <w:tcPr>
            <w:tcW w:w="992" w:type="dxa"/>
            <w:vAlign w:val="center"/>
          </w:tcPr>
          <w:p w14:paraId="7B1B74B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46</w:t>
            </w:r>
          </w:p>
        </w:tc>
      </w:tr>
      <w:tr w:rsidR="00223C6E" w:rsidRPr="00223C6E" w14:paraId="485A028D" w14:textId="77777777">
        <w:trPr>
          <w:trHeight w:val="328"/>
          <w:jc w:val="center"/>
        </w:trPr>
        <w:tc>
          <w:tcPr>
            <w:tcW w:w="2955" w:type="dxa"/>
            <w:vAlign w:val="center"/>
          </w:tcPr>
          <w:p w14:paraId="50807DF3"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SGOT (&lt;48 U/L)</w:t>
            </w:r>
          </w:p>
        </w:tc>
        <w:tc>
          <w:tcPr>
            <w:tcW w:w="856" w:type="dxa"/>
            <w:vAlign w:val="center"/>
          </w:tcPr>
          <w:p w14:paraId="6C6CBDD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57</w:t>
            </w:r>
          </w:p>
        </w:tc>
        <w:tc>
          <w:tcPr>
            <w:tcW w:w="840" w:type="dxa"/>
            <w:vAlign w:val="center"/>
          </w:tcPr>
          <w:p w14:paraId="22BB2CB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50</w:t>
            </w:r>
          </w:p>
        </w:tc>
        <w:tc>
          <w:tcPr>
            <w:tcW w:w="978" w:type="dxa"/>
            <w:vAlign w:val="center"/>
          </w:tcPr>
          <w:p w14:paraId="01AFDD2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109</w:t>
            </w:r>
          </w:p>
        </w:tc>
        <w:tc>
          <w:tcPr>
            <w:tcW w:w="1067" w:type="dxa"/>
            <w:vAlign w:val="center"/>
          </w:tcPr>
          <w:p w14:paraId="52C2CA4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51</w:t>
            </w:r>
          </w:p>
        </w:tc>
        <w:tc>
          <w:tcPr>
            <w:tcW w:w="938" w:type="dxa"/>
            <w:vAlign w:val="center"/>
          </w:tcPr>
          <w:p w14:paraId="15D6BB5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42</w:t>
            </w:r>
          </w:p>
        </w:tc>
        <w:tc>
          <w:tcPr>
            <w:tcW w:w="1105" w:type="dxa"/>
            <w:vAlign w:val="center"/>
          </w:tcPr>
          <w:p w14:paraId="69DEF11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68</w:t>
            </w:r>
          </w:p>
        </w:tc>
        <w:tc>
          <w:tcPr>
            <w:tcW w:w="1099" w:type="dxa"/>
            <w:vAlign w:val="center"/>
          </w:tcPr>
          <w:p w14:paraId="28D5024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85</w:t>
            </w:r>
          </w:p>
        </w:tc>
        <w:tc>
          <w:tcPr>
            <w:tcW w:w="1099" w:type="dxa"/>
            <w:vAlign w:val="center"/>
          </w:tcPr>
          <w:p w14:paraId="0EC5841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200</w:t>
            </w:r>
          </w:p>
        </w:tc>
        <w:tc>
          <w:tcPr>
            <w:tcW w:w="965" w:type="dxa"/>
            <w:vAlign w:val="center"/>
          </w:tcPr>
          <w:p w14:paraId="4A680F9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110</w:t>
            </w:r>
          </w:p>
        </w:tc>
        <w:tc>
          <w:tcPr>
            <w:tcW w:w="993" w:type="dxa"/>
            <w:vAlign w:val="center"/>
          </w:tcPr>
          <w:p w14:paraId="152BBD8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264</w:t>
            </w:r>
          </w:p>
        </w:tc>
        <w:tc>
          <w:tcPr>
            <w:tcW w:w="992" w:type="dxa"/>
            <w:vAlign w:val="center"/>
          </w:tcPr>
          <w:p w14:paraId="4A13709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43</w:t>
            </w:r>
          </w:p>
        </w:tc>
        <w:tc>
          <w:tcPr>
            <w:tcW w:w="992" w:type="dxa"/>
            <w:vAlign w:val="center"/>
          </w:tcPr>
          <w:p w14:paraId="66D3045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74</w:t>
            </w:r>
          </w:p>
        </w:tc>
      </w:tr>
      <w:tr w:rsidR="00223C6E" w:rsidRPr="00223C6E" w14:paraId="2E58CF2B" w14:textId="77777777">
        <w:trPr>
          <w:trHeight w:val="328"/>
          <w:jc w:val="center"/>
        </w:trPr>
        <w:tc>
          <w:tcPr>
            <w:tcW w:w="2955" w:type="dxa"/>
            <w:vAlign w:val="center"/>
          </w:tcPr>
          <w:p w14:paraId="4020B49D"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SGPT (0-39 U/L)</w:t>
            </w:r>
          </w:p>
        </w:tc>
        <w:tc>
          <w:tcPr>
            <w:tcW w:w="856" w:type="dxa"/>
            <w:vAlign w:val="center"/>
          </w:tcPr>
          <w:p w14:paraId="41BDB94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104</w:t>
            </w:r>
          </w:p>
        </w:tc>
        <w:tc>
          <w:tcPr>
            <w:tcW w:w="840" w:type="dxa"/>
            <w:vAlign w:val="center"/>
          </w:tcPr>
          <w:p w14:paraId="26790B1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54</w:t>
            </w:r>
          </w:p>
        </w:tc>
        <w:tc>
          <w:tcPr>
            <w:tcW w:w="978" w:type="dxa"/>
            <w:vAlign w:val="center"/>
          </w:tcPr>
          <w:p w14:paraId="0CAB63B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w:t>
            </w:r>
          </w:p>
        </w:tc>
        <w:tc>
          <w:tcPr>
            <w:tcW w:w="1067" w:type="dxa"/>
            <w:vAlign w:val="center"/>
          </w:tcPr>
          <w:p w14:paraId="261C848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60</w:t>
            </w:r>
          </w:p>
        </w:tc>
        <w:tc>
          <w:tcPr>
            <w:tcW w:w="938" w:type="dxa"/>
            <w:vAlign w:val="center"/>
          </w:tcPr>
          <w:p w14:paraId="2F15C36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60</w:t>
            </w:r>
          </w:p>
        </w:tc>
        <w:tc>
          <w:tcPr>
            <w:tcW w:w="1105" w:type="dxa"/>
            <w:vAlign w:val="center"/>
          </w:tcPr>
          <w:p w14:paraId="70F535E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99</w:t>
            </w:r>
          </w:p>
        </w:tc>
        <w:tc>
          <w:tcPr>
            <w:tcW w:w="1099" w:type="dxa"/>
            <w:vAlign w:val="center"/>
          </w:tcPr>
          <w:p w14:paraId="0A20EA2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160</w:t>
            </w:r>
          </w:p>
        </w:tc>
        <w:tc>
          <w:tcPr>
            <w:tcW w:w="1099" w:type="dxa"/>
            <w:vAlign w:val="center"/>
          </w:tcPr>
          <w:p w14:paraId="2BC4C0D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227</w:t>
            </w:r>
          </w:p>
        </w:tc>
        <w:tc>
          <w:tcPr>
            <w:tcW w:w="965" w:type="dxa"/>
            <w:vAlign w:val="center"/>
          </w:tcPr>
          <w:p w14:paraId="3627326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81</w:t>
            </w:r>
          </w:p>
        </w:tc>
        <w:tc>
          <w:tcPr>
            <w:tcW w:w="993" w:type="dxa"/>
            <w:vAlign w:val="center"/>
          </w:tcPr>
          <w:p w14:paraId="18C47C2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302</w:t>
            </w:r>
          </w:p>
        </w:tc>
        <w:tc>
          <w:tcPr>
            <w:tcW w:w="992" w:type="dxa"/>
            <w:vAlign w:val="center"/>
          </w:tcPr>
          <w:p w14:paraId="44DB672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15</w:t>
            </w:r>
          </w:p>
        </w:tc>
        <w:tc>
          <w:tcPr>
            <w:tcW w:w="992" w:type="dxa"/>
            <w:vAlign w:val="center"/>
          </w:tcPr>
          <w:p w14:paraId="30119A4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50</w:t>
            </w:r>
          </w:p>
        </w:tc>
      </w:tr>
      <w:tr w:rsidR="00223C6E" w:rsidRPr="00223C6E" w14:paraId="10345C1A" w14:textId="77777777">
        <w:trPr>
          <w:trHeight w:val="328"/>
          <w:jc w:val="center"/>
        </w:trPr>
        <w:tc>
          <w:tcPr>
            <w:tcW w:w="2955" w:type="dxa"/>
            <w:vAlign w:val="center"/>
          </w:tcPr>
          <w:p w14:paraId="201066A3"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Total biliburin (0-2 mg/dL)</w:t>
            </w:r>
          </w:p>
        </w:tc>
        <w:tc>
          <w:tcPr>
            <w:tcW w:w="856" w:type="dxa"/>
            <w:vAlign w:val="center"/>
          </w:tcPr>
          <w:p w14:paraId="303E2FA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0.4</w:t>
            </w:r>
          </w:p>
        </w:tc>
        <w:tc>
          <w:tcPr>
            <w:tcW w:w="840" w:type="dxa"/>
            <w:vAlign w:val="center"/>
          </w:tcPr>
          <w:p w14:paraId="5CB76C4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0.63</w:t>
            </w:r>
          </w:p>
        </w:tc>
        <w:tc>
          <w:tcPr>
            <w:tcW w:w="978" w:type="dxa"/>
            <w:vAlign w:val="center"/>
          </w:tcPr>
          <w:p w14:paraId="03C2436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0.18</w:t>
            </w:r>
          </w:p>
        </w:tc>
        <w:tc>
          <w:tcPr>
            <w:tcW w:w="1067" w:type="dxa"/>
            <w:vAlign w:val="center"/>
          </w:tcPr>
          <w:p w14:paraId="4EA17FB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938" w:type="dxa"/>
            <w:vAlign w:val="center"/>
          </w:tcPr>
          <w:p w14:paraId="24AC940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0.24</w:t>
            </w:r>
          </w:p>
        </w:tc>
        <w:tc>
          <w:tcPr>
            <w:tcW w:w="1105" w:type="dxa"/>
            <w:vAlign w:val="center"/>
          </w:tcPr>
          <w:p w14:paraId="0BB690A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0.67</w:t>
            </w:r>
          </w:p>
        </w:tc>
        <w:tc>
          <w:tcPr>
            <w:tcW w:w="1099" w:type="dxa"/>
            <w:vAlign w:val="center"/>
          </w:tcPr>
          <w:p w14:paraId="75D8298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0.6</w:t>
            </w:r>
          </w:p>
        </w:tc>
        <w:tc>
          <w:tcPr>
            <w:tcW w:w="1099" w:type="dxa"/>
            <w:vAlign w:val="center"/>
          </w:tcPr>
          <w:p w14:paraId="00BE68E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25</w:t>
            </w:r>
          </w:p>
        </w:tc>
        <w:tc>
          <w:tcPr>
            <w:tcW w:w="965" w:type="dxa"/>
            <w:vAlign w:val="center"/>
          </w:tcPr>
          <w:p w14:paraId="23CC253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10.33</w:t>
            </w:r>
          </w:p>
        </w:tc>
        <w:tc>
          <w:tcPr>
            <w:tcW w:w="993" w:type="dxa"/>
            <w:vAlign w:val="center"/>
          </w:tcPr>
          <w:p w14:paraId="69BB7B2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7.27</w:t>
            </w:r>
          </w:p>
        </w:tc>
        <w:tc>
          <w:tcPr>
            <w:tcW w:w="992" w:type="dxa"/>
            <w:vAlign w:val="center"/>
          </w:tcPr>
          <w:p w14:paraId="58706EE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4.39</w:t>
            </w:r>
          </w:p>
        </w:tc>
        <w:tc>
          <w:tcPr>
            <w:tcW w:w="992" w:type="dxa"/>
            <w:vAlign w:val="center"/>
          </w:tcPr>
          <w:p w14:paraId="6C5B9372"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&lt;0.15</w:t>
            </w:r>
          </w:p>
        </w:tc>
      </w:tr>
      <w:tr w:rsidR="00223C6E" w:rsidRPr="00223C6E" w14:paraId="60979C2A" w14:textId="77777777">
        <w:trPr>
          <w:trHeight w:val="328"/>
          <w:jc w:val="center"/>
        </w:trPr>
        <w:tc>
          <w:tcPr>
            <w:tcW w:w="2955" w:type="dxa"/>
            <w:vAlign w:val="center"/>
          </w:tcPr>
          <w:p w14:paraId="43BE0346"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Direct bilirubin (0-0.5 mg/dL)</w:t>
            </w:r>
          </w:p>
        </w:tc>
        <w:tc>
          <w:tcPr>
            <w:tcW w:w="856" w:type="dxa"/>
            <w:vAlign w:val="center"/>
          </w:tcPr>
          <w:p w14:paraId="6B90664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0.1</w:t>
            </w:r>
          </w:p>
        </w:tc>
        <w:tc>
          <w:tcPr>
            <w:tcW w:w="840" w:type="dxa"/>
            <w:vAlign w:val="center"/>
          </w:tcPr>
          <w:p w14:paraId="1DAF8C9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0.1</w:t>
            </w:r>
          </w:p>
        </w:tc>
        <w:tc>
          <w:tcPr>
            <w:tcW w:w="978" w:type="dxa"/>
            <w:vAlign w:val="center"/>
          </w:tcPr>
          <w:p w14:paraId="72B0CFD2"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0.11</w:t>
            </w:r>
          </w:p>
        </w:tc>
        <w:tc>
          <w:tcPr>
            <w:tcW w:w="1067" w:type="dxa"/>
            <w:vAlign w:val="center"/>
          </w:tcPr>
          <w:p w14:paraId="0421A52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w:t>
            </w:r>
          </w:p>
        </w:tc>
        <w:tc>
          <w:tcPr>
            <w:tcW w:w="938" w:type="dxa"/>
            <w:vAlign w:val="center"/>
          </w:tcPr>
          <w:p w14:paraId="19C87D9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0.1</w:t>
            </w:r>
          </w:p>
        </w:tc>
        <w:tc>
          <w:tcPr>
            <w:tcW w:w="1105" w:type="dxa"/>
            <w:vAlign w:val="center"/>
          </w:tcPr>
          <w:p w14:paraId="3B86CFD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0.37</w:t>
            </w:r>
          </w:p>
        </w:tc>
        <w:tc>
          <w:tcPr>
            <w:tcW w:w="1099" w:type="dxa"/>
            <w:vAlign w:val="center"/>
          </w:tcPr>
          <w:p w14:paraId="3DE0379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0.2</w:t>
            </w:r>
          </w:p>
        </w:tc>
        <w:tc>
          <w:tcPr>
            <w:tcW w:w="1099" w:type="dxa"/>
            <w:vAlign w:val="center"/>
          </w:tcPr>
          <w:p w14:paraId="5DC2209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22</w:t>
            </w:r>
          </w:p>
        </w:tc>
        <w:tc>
          <w:tcPr>
            <w:tcW w:w="965" w:type="dxa"/>
            <w:vAlign w:val="center"/>
          </w:tcPr>
          <w:p w14:paraId="7B69B85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6.07</w:t>
            </w:r>
          </w:p>
        </w:tc>
        <w:tc>
          <w:tcPr>
            <w:tcW w:w="993" w:type="dxa"/>
            <w:vAlign w:val="center"/>
          </w:tcPr>
          <w:p w14:paraId="21D1E03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5.31</w:t>
            </w:r>
          </w:p>
        </w:tc>
        <w:tc>
          <w:tcPr>
            <w:tcW w:w="992" w:type="dxa"/>
            <w:vAlign w:val="center"/>
          </w:tcPr>
          <w:p w14:paraId="0B9436B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0.19</w:t>
            </w:r>
          </w:p>
        </w:tc>
        <w:tc>
          <w:tcPr>
            <w:tcW w:w="992" w:type="dxa"/>
            <w:vAlign w:val="center"/>
          </w:tcPr>
          <w:p w14:paraId="5004BB7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&lt;0.09</w:t>
            </w:r>
          </w:p>
        </w:tc>
      </w:tr>
      <w:tr w:rsidR="00223C6E" w:rsidRPr="00223C6E" w14:paraId="1D5223BD" w14:textId="77777777">
        <w:trPr>
          <w:trHeight w:val="328"/>
          <w:jc w:val="center"/>
        </w:trPr>
        <w:tc>
          <w:tcPr>
            <w:tcW w:w="2955" w:type="dxa"/>
            <w:vAlign w:val="center"/>
          </w:tcPr>
          <w:p w14:paraId="334EE75A"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Hg (g/dL)</w:t>
            </w:r>
          </w:p>
        </w:tc>
        <w:tc>
          <w:tcPr>
            <w:tcW w:w="856" w:type="dxa"/>
            <w:vAlign w:val="center"/>
          </w:tcPr>
          <w:p w14:paraId="750E375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8.9</w:t>
            </w:r>
          </w:p>
        </w:tc>
        <w:tc>
          <w:tcPr>
            <w:tcW w:w="840" w:type="dxa"/>
            <w:vAlign w:val="center"/>
          </w:tcPr>
          <w:p w14:paraId="3D6E080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8.6</w:t>
            </w:r>
          </w:p>
        </w:tc>
        <w:tc>
          <w:tcPr>
            <w:tcW w:w="978" w:type="dxa"/>
            <w:vAlign w:val="center"/>
          </w:tcPr>
          <w:p w14:paraId="4136E57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9.9</w:t>
            </w:r>
          </w:p>
        </w:tc>
        <w:tc>
          <w:tcPr>
            <w:tcW w:w="1067" w:type="dxa"/>
            <w:vAlign w:val="center"/>
          </w:tcPr>
          <w:p w14:paraId="720DAF7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9.49</w:t>
            </w:r>
          </w:p>
        </w:tc>
        <w:tc>
          <w:tcPr>
            <w:tcW w:w="938" w:type="dxa"/>
            <w:vAlign w:val="center"/>
          </w:tcPr>
          <w:p w14:paraId="1210582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8.5</w:t>
            </w:r>
          </w:p>
        </w:tc>
        <w:tc>
          <w:tcPr>
            <w:tcW w:w="1105" w:type="dxa"/>
            <w:vAlign w:val="center"/>
          </w:tcPr>
          <w:p w14:paraId="1812520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12.3</w:t>
            </w:r>
          </w:p>
        </w:tc>
        <w:tc>
          <w:tcPr>
            <w:tcW w:w="1099" w:type="dxa"/>
            <w:vAlign w:val="center"/>
          </w:tcPr>
          <w:p w14:paraId="11E2383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11.6</w:t>
            </w:r>
          </w:p>
        </w:tc>
        <w:tc>
          <w:tcPr>
            <w:tcW w:w="1099" w:type="dxa"/>
            <w:vAlign w:val="center"/>
          </w:tcPr>
          <w:p w14:paraId="2E93E6C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10.2</w:t>
            </w:r>
          </w:p>
        </w:tc>
        <w:tc>
          <w:tcPr>
            <w:tcW w:w="965" w:type="dxa"/>
            <w:vAlign w:val="center"/>
          </w:tcPr>
          <w:p w14:paraId="7B0A4F9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7.7</w:t>
            </w:r>
          </w:p>
        </w:tc>
        <w:tc>
          <w:tcPr>
            <w:tcW w:w="993" w:type="dxa"/>
            <w:vAlign w:val="center"/>
          </w:tcPr>
          <w:p w14:paraId="559C3D2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10.6</w:t>
            </w:r>
          </w:p>
        </w:tc>
        <w:tc>
          <w:tcPr>
            <w:tcW w:w="992" w:type="dxa"/>
            <w:vAlign w:val="center"/>
          </w:tcPr>
          <w:p w14:paraId="65E1FCC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16.9</w:t>
            </w:r>
          </w:p>
        </w:tc>
        <w:tc>
          <w:tcPr>
            <w:tcW w:w="992" w:type="dxa"/>
            <w:vAlign w:val="center"/>
          </w:tcPr>
          <w:p w14:paraId="29AAECFB"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12.3</w:t>
            </w:r>
          </w:p>
        </w:tc>
      </w:tr>
      <w:tr w:rsidR="00223C6E" w:rsidRPr="00223C6E" w14:paraId="60B101BA" w14:textId="77777777">
        <w:trPr>
          <w:trHeight w:val="328"/>
          <w:jc w:val="center"/>
        </w:trPr>
        <w:tc>
          <w:tcPr>
            <w:tcW w:w="2955" w:type="dxa"/>
            <w:vAlign w:val="center"/>
          </w:tcPr>
          <w:p w14:paraId="7331D93B"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RBC (x10^6/μL)</w:t>
            </w:r>
          </w:p>
        </w:tc>
        <w:tc>
          <w:tcPr>
            <w:tcW w:w="856" w:type="dxa"/>
            <w:vAlign w:val="center"/>
          </w:tcPr>
          <w:p w14:paraId="5A67A8E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3.51</w:t>
            </w:r>
          </w:p>
        </w:tc>
        <w:tc>
          <w:tcPr>
            <w:tcW w:w="840" w:type="dxa"/>
            <w:vAlign w:val="center"/>
          </w:tcPr>
          <w:p w14:paraId="55C7016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3.08</w:t>
            </w:r>
          </w:p>
        </w:tc>
        <w:tc>
          <w:tcPr>
            <w:tcW w:w="978" w:type="dxa"/>
            <w:vAlign w:val="center"/>
          </w:tcPr>
          <w:p w14:paraId="4E8EA131"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3.59</w:t>
            </w:r>
          </w:p>
        </w:tc>
        <w:tc>
          <w:tcPr>
            <w:tcW w:w="1067" w:type="dxa"/>
            <w:vAlign w:val="center"/>
          </w:tcPr>
          <w:p w14:paraId="50CAB28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3.94</w:t>
            </w:r>
          </w:p>
        </w:tc>
        <w:tc>
          <w:tcPr>
            <w:tcW w:w="938" w:type="dxa"/>
            <w:vAlign w:val="center"/>
          </w:tcPr>
          <w:p w14:paraId="0B301487"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3.29</w:t>
            </w:r>
          </w:p>
        </w:tc>
        <w:tc>
          <w:tcPr>
            <w:tcW w:w="1105" w:type="dxa"/>
            <w:vAlign w:val="center"/>
          </w:tcPr>
          <w:p w14:paraId="4E9041F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4.48</w:t>
            </w:r>
          </w:p>
        </w:tc>
        <w:tc>
          <w:tcPr>
            <w:tcW w:w="1099" w:type="dxa"/>
            <w:vAlign w:val="center"/>
          </w:tcPr>
          <w:p w14:paraId="0F3F0F5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4.14</w:t>
            </w:r>
          </w:p>
        </w:tc>
        <w:tc>
          <w:tcPr>
            <w:tcW w:w="1099" w:type="dxa"/>
            <w:vAlign w:val="center"/>
          </w:tcPr>
          <w:p w14:paraId="013C9DC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3.8</w:t>
            </w:r>
          </w:p>
        </w:tc>
        <w:tc>
          <w:tcPr>
            <w:tcW w:w="965" w:type="dxa"/>
            <w:vAlign w:val="center"/>
          </w:tcPr>
          <w:p w14:paraId="0D7DA9F9"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2.92</w:t>
            </w:r>
          </w:p>
        </w:tc>
        <w:tc>
          <w:tcPr>
            <w:tcW w:w="993" w:type="dxa"/>
            <w:vAlign w:val="center"/>
          </w:tcPr>
          <w:p w14:paraId="28EE5E4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3.73</w:t>
            </w:r>
          </w:p>
        </w:tc>
        <w:tc>
          <w:tcPr>
            <w:tcW w:w="992" w:type="dxa"/>
            <w:vAlign w:val="center"/>
          </w:tcPr>
          <w:p w14:paraId="5BA4485C"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4.44</w:t>
            </w:r>
          </w:p>
        </w:tc>
        <w:tc>
          <w:tcPr>
            <w:tcW w:w="992" w:type="dxa"/>
            <w:vAlign w:val="center"/>
          </w:tcPr>
          <w:p w14:paraId="4878E33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5.11</w:t>
            </w:r>
          </w:p>
        </w:tc>
      </w:tr>
      <w:tr w:rsidR="00223C6E" w:rsidRPr="00223C6E" w14:paraId="133229B9" w14:textId="77777777">
        <w:trPr>
          <w:trHeight w:val="328"/>
          <w:jc w:val="center"/>
        </w:trPr>
        <w:tc>
          <w:tcPr>
            <w:tcW w:w="2955" w:type="dxa"/>
            <w:vAlign w:val="center"/>
          </w:tcPr>
          <w:p w14:paraId="019C337C"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WBC (x10^6/μL)</w:t>
            </w:r>
          </w:p>
        </w:tc>
        <w:tc>
          <w:tcPr>
            <w:tcW w:w="856" w:type="dxa"/>
            <w:vAlign w:val="center"/>
          </w:tcPr>
          <w:p w14:paraId="606FD9A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4.39</w:t>
            </w:r>
          </w:p>
        </w:tc>
        <w:tc>
          <w:tcPr>
            <w:tcW w:w="840" w:type="dxa"/>
            <w:vAlign w:val="center"/>
          </w:tcPr>
          <w:p w14:paraId="3DFD27E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8.35</w:t>
            </w:r>
          </w:p>
        </w:tc>
        <w:tc>
          <w:tcPr>
            <w:tcW w:w="978" w:type="dxa"/>
            <w:vAlign w:val="center"/>
          </w:tcPr>
          <w:p w14:paraId="33F04DC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8.1</w:t>
            </w:r>
          </w:p>
        </w:tc>
        <w:tc>
          <w:tcPr>
            <w:tcW w:w="1067" w:type="dxa"/>
            <w:vAlign w:val="center"/>
          </w:tcPr>
          <w:p w14:paraId="24E510C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4.11</w:t>
            </w:r>
          </w:p>
        </w:tc>
        <w:tc>
          <w:tcPr>
            <w:tcW w:w="938" w:type="dxa"/>
            <w:vAlign w:val="center"/>
          </w:tcPr>
          <w:p w14:paraId="02C2813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4.96</w:t>
            </w:r>
          </w:p>
        </w:tc>
        <w:tc>
          <w:tcPr>
            <w:tcW w:w="1105" w:type="dxa"/>
            <w:vAlign w:val="center"/>
          </w:tcPr>
          <w:p w14:paraId="7AE2B37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5.66</w:t>
            </w:r>
          </w:p>
        </w:tc>
        <w:tc>
          <w:tcPr>
            <w:tcW w:w="1099" w:type="dxa"/>
            <w:vAlign w:val="center"/>
          </w:tcPr>
          <w:p w14:paraId="660B38A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12.21</w:t>
            </w:r>
          </w:p>
        </w:tc>
        <w:tc>
          <w:tcPr>
            <w:tcW w:w="1099" w:type="dxa"/>
            <w:vAlign w:val="center"/>
          </w:tcPr>
          <w:p w14:paraId="5788D1B4"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5.1</w:t>
            </w:r>
          </w:p>
        </w:tc>
        <w:tc>
          <w:tcPr>
            <w:tcW w:w="965" w:type="dxa"/>
            <w:vAlign w:val="center"/>
          </w:tcPr>
          <w:p w14:paraId="36E1D65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3.4</w:t>
            </w:r>
          </w:p>
        </w:tc>
        <w:tc>
          <w:tcPr>
            <w:tcW w:w="993" w:type="dxa"/>
            <w:vAlign w:val="center"/>
          </w:tcPr>
          <w:p w14:paraId="10E862F5"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.15.51</w:t>
            </w:r>
          </w:p>
        </w:tc>
        <w:tc>
          <w:tcPr>
            <w:tcW w:w="992" w:type="dxa"/>
            <w:vAlign w:val="center"/>
          </w:tcPr>
          <w:p w14:paraId="3E290FF2"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18.77</w:t>
            </w:r>
          </w:p>
        </w:tc>
        <w:tc>
          <w:tcPr>
            <w:tcW w:w="992" w:type="dxa"/>
            <w:vAlign w:val="center"/>
          </w:tcPr>
          <w:p w14:paraId="48558092"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6.91</w:t>
            </w:r>
          </w:p>
        </w:tc>
      </w:tr>
      <w:tr w:rsidR="00223C6E" w:rsidRPr="00223C6E" w14:paraId="4F39508B" w14:textId="77777777">
        <w:trPr>
          <w:trHeight w:val="328"/>
          <w:jc w:val="center"/>
        </w:trPr>
        <w:tc>
          <w:tcPr>
            <w:tcW w:w="2955" w:type="dxa"/>
            <w:vAlign w:val="center"/>
          </w:tcPr>
          <w:p w14:paraId="06775908" w14:textId="77777777" w:rsidR="00AF7703" w:rsidRPr="00223C6E" w:rsidRDefault="00000000">
            <w:pPr>
              <w:jc w:val="center"/>
              <w:rPr>
                <w:rFonts w:ascii="Times New Roman" w:eastAsia="Times New Roman" w:hAnsi="Times New Roman" w:cs="Times New Roman"/>
                <w:b/>
                <w:sz w:val="20"/>
                <w:szCs w:val="20"/>
              </w:rPr>
            </w:pPr>
            <w:r w:rsidRPr="00223C6E">
              <w:rPr>
                <w:rFonts w:ascii="Times New Roman" w:eastAsia="Times New Roman" w:hAnsi="Times New Roman" w:cs="Times New Roman"/>
                <w:b/>
                <w:sz w:val="20"/>
                <w:szCs w:val="20"/>
              </w:rPr>
              <w:t>PLT (x10^6/μL)</w:t>
            </w:r>
          </w:p>
        </w:tc>
        <w:tc>
          <w:tcPr>
            <w:tcW w:w="856" w:type="dxa"/>
            <w:vAlign w:val="center"/>
          </w:tcPr>
          <w:p w14:paraId="2B9F2B9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190</w:t>
            </w:r>
          </w:p>
        </w:tc>
        <w:tc>
          <w:tcPr>
            <w:tcW w:w="840" w:type="dxa"/>
            <w:vAlign w:val="center"/>
          </w:tcPr>
          <w:p w14:paraId="14576B9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269</w:t>
            </w:r>
          </w:p>
        </w:tc>
        <w:tc>
          <w:tcPr>
            <w:tcW w:w="978" w:type="dxa"/>
            <w:vAlign w:val="center"/>
          </w:tcPr>
          <w:p w14:paraId="78C63FE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266</w:t>
            </w:r>
          </w:p>
        </w:tc>
        <w:tc>
          <w:tcPr>
            <w:tcW w:w="1067" w:type="dxa"/>
            <w:vAlign w:val="center"/>
          </w:tcPr>
          <w:p w14:paraId="688DD9BA"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170</w:t>
            </w:r>
          </w:p>
        </w:tc>
        <w:tc>
          <w:tcPr>
            <w:tcW w:w="938" w:type="dxa"/>
            <w:vAlign w:val="center"/>
          </w:tcPr>
          <w:p w14:paraId="24E6B4ED"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100</w:t>
            </w:r>
          </w:p>
        </w:tc>
        <w:tc>
          <w:tcPr>
            <w:tcW w:w="1105" w:type="dxa"/>
            <w:vAlign w:val="center"/>
          </w:tcPr>
          <w:p w14:paraId="41B7A158"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154</w:t>
            </w:r>
          </w:p>
        </w:tc>
        <w:tc>
          <w:tcPr>
            <w:tcW w:w="1099" w:type="dxa"/>
            <w:vAlign w:val="center"/>
          </w:tcPr>
          <w:p w14:paraId="3CB57E1E"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269</w:t>
            </w:r>
          </w:p>
        </w:tc>
        <w:tc>
          <w:tcPr>
            <w:tcW w:w="1099" w:type="dxa"/>
            <w:vAlign w:val="center"/>
          </w:tcPr>
          <w:p w14:paraId="19B413E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126</w:t>
            </w:r>
          </w:p>
        </w:tc>
        <w:tc>
          <w:tcPr>
            <w:tcW w:w="965" w:type="dxa"/>
            <w:vAlign w:val="center"/>
          </w:tcPr>
          <w:p w14:paraId="2C6B3D16"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103</w:t>
            </w:r>
          </w:p>
        </w:tc>
        <w:tc>
          <w:tcPr>
            <w:tcW w:w="993" w:type="dxa"/>
            <w:vAlign w:val="center"/>
          </w:tcPr>
          <w:p w14:paraId="29133E20"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307</w:t>
            </w:r>
          </w:p>
        </w:tc>
        <w:tc>
          <w:tcPr>
            <w:tcW w:w="992" w:type="dxa"/>
            <w:vAlign w:val="center"/>
          </w:tcPr>
          <w:p w14:paraId="62430FE3"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353</w:t>
            </w:r>
          </w:p>
        </w:tc>
        <w:tc>
          <w:tcPr>
            <w:tcW w:w="992" w:type="dxa"/>
            <w:vAlign w:val="center"/>
          </w:tcPr>
          <w:p w14:paraId="41C5757F" w14:textId="77777777" w:rsidR="00AF7703" w:rsidRPr="00223C6E" w:rsidRDefault="00000000">
            <w:pPr>
              <w:jc w:val="center"/>
              <w:rPr>
                <w:rFonts w:ascii="Times New Roman" w:eastAsia="Times New Roman" w:hAnsi="Times New Roman" w:cs="Times New Roman"/>
                <w:sz w:val="20"/>
                <w:szCs w:val="20"/>
              </w:rPr>
            </w:pPr>
            <w:r w:rsidRPr="00223C6E">
              <w:rPr>
                <w:rFonts w:ascii="Times New Roman" w:eastAsia="Times New Roman" w:hAnsi="Times New Roman" w:cs="Times New Roman"/>
                <w:sz w:val="20"/>
                <w:szCs w:val="20"/>
              </w:rPr>
              <w:t>383</w:t>
            </w:r>
          </w:p>
        </w:tc>
      </w:tr>
    </w:tbl>
    <w:p w14:paraId="64D3C24E" w14:textId="77777777" w:rsidR="00AF7703" w:rsidRPr="00223C6E" w:rsidRDefault="00000000">
      <w:pPr>
        <w:rPr>
          <w:rFonts w:ascii="Times New Roman" w:eastAsia="Times New Roman" w:hAnsi="Times New Roman" w:cs="Times New Roman"/>
        </w:rPr>
        <w:sectPr w:rsidR="00AF7703" w:rsidRPr="00223C6E">
          <w:pgSz w:w="16834" w:h="11909" w:orient="landscape"/>
          <w:pgMar w:top="1440" w:right="1440" w:bottom="1440" w:left="1440" w:header="720" w:footer="720" w:gutter="0"/>
          <w:pgNumType w:start="1"/>
          <w:cols w:space="708"/>
        </w:sectPr>
      </w:pPr>
      <w:r w:rsidRPr="00223C6E">
        <w:rPr>
          <w:rFonts w:ascii="Times New Roman" w:eastAsia="Times New Roman" w:hAnsi="Times New Roman" w:cs="Times New Roman"/>
        </w:rPr>
        <w:t xml:space="preserve">dx.: </w:t>
      </w:r>
      <w:proofErr w:type="gramStart"/>
      <w:r w:rsidRPr="00223C6E">
        <w:rPr>
          <w:rFonts w:ascii="Times New Roman" w:eastAsia="Times New Roman" w:hAnsi="Times New Roman" w:cs="Times New Roman"/>
        </w:rPr>
        <w:t>diagnosis,  ev</w:t>
      </w:r>
      <w:proofErr w:type="gramEnd"/>
      <w:r w:rsidRPr="00223C6E">
        <w:rPr>
          <w:rFonts w:ascii="Times New Roman" w:eastAsia="Times New Roman" w:hAnsi="Times New Roman" w:cs="Times New Roman"/>
        </w:rPr>
        <w:t>.: evaluation, KF: Kidney failure, RRT: Renal Replacement therapy, HSM: Hepatosplenomegaly, m: month(s), y: year(s)</w:t>
      </w:r>
    </w:p>
    <w:p w14:paraId="2AD21410" w14:textId="77777777" w:rsidR="00AF7703" w:rsidRPr="00223C6E" w:rsidRDefault="00AF7703">
      <w:pPr>
        <w:spacing w:line="480" w:lineRule="auto"/>
        <w:jc w:val="both"/>
        <w:rPr>
          <w:rFonts w:ascii="Times New Roman" w:eastAsia="Times New Roman" w:hAnsi="Times New Roman" w:cs="Times New Roman"/>
          <w:b/>
          <w:sz w:val="24"/>
          <w:szCs w:val="24"/>
        </w:rPr>
      </w:pPr>
    </w:p>
    <w:p w14:paraId="5858689A" w14:textId="2C6A6BF6" w:rsidR="00AF7703" w:rsidRPr="00223C6E" w:rsidRDefault="00000000">
      <w:pPr>
        <w:spacing w:line="480" w:lineRule="auto"/>
        <w:jc w:val="both"/>
        <w:rPr>
          <w:rFonts w:ascii="Times New Roman" w:eastAsia="Times New Roman" w:hAnsi="Times New Roman" w:cs="Times New Roman"/>
          <w:sz w:val="24"/>
          <w:szCs w:val="24"/>
        </w:rPr>
      </w:pPr>
      <w:bookmarkStart w:id="5" w:name="_heading=h.1s457o2k24my" w:colFirst="0" w:colLast="0"/>
      <w:bookmarkEnd w:id="5"/>
      <w:r w:rsidRPr="00223C6E">
        <w:rPr>
          <w:rFonts w:ascii="Times New Roman" w:eastAsia="Times New Roman" w:hAnsi="Times New Roman" w:cs="Times New Roman"/>
          <w:b/>
          <w:sz w:val="24"/>
          <w:szCs w:val="24"/>
        </w:rPr>
        <w:t>Table S2:</w:t>
      </w:r>
      <w:r w:rsidRPr="00223C6E">
        <w:rPr>
          <w:rFonts w:ascii="Times New Roman" w:eastAsia="Times New Roman" w:hAnsi="Times New Roman" w:cs="Times New Roman"/>
          <w:sz w:val="24"/>
          <w:szCs w:val="24"/>
        </w:rPr>
        <w:t xml:space="preserve"> Haplotype with common SNPs within a 40.5 Mb region surrounding the </w:t>
      </w:r>
      <w:r w:rsidRPr="00223C6E">
        <w:rPr>
          <w:rFonts w:ascii="Times New Roman" w:eastAsia="Times New Roman" w:hAnsi="Times New Roman" w:cs="Times New Roman"/>
          <w:i/>
          <w:sz w:val="24"/>
          <w:szCs w:val="24"/>
        </w:rPr>
        <w:t>CILK1</w:t>
      </w:r>
      <w:r w:rsidRPr="00223C6E">
        <w:rPr>
          <w:rFonts w:ascii="Times New Roman" w:eastAsia="Times New Roman" w:hAnsi="Times New Roman" w:cs="Times New Roman"/>
          <w:sz w:val="24"/>
          <w:szCs w:val="24"/>
        </w:rPr>
        <w:t xml:space="preserve"> gene is shown. The shaded regio</w:t>
      </w:r>
      <w:r w:rsidR="009D1AAC" w:rsidRPr="00223C6E">
        <w:rPr>
          <w:rFonts w:ascii="Times New Roman" w:eastAsia="Times New Roman" w:hAnsi="Times New Roman" w:cs="Times New Roman"/>
          <w:sz w:val="24"/>
          <w:szCs w:val="24"/>
        </w:rPr>
        <w:t>n</w:t>
      </w:r>
      <w:r w:rsidRPr="00223C6E">
        <w:rPr>
          <w:rFonts w:ascii="Times New Roman" w:eastAsia="Times New Roman" w:hAnsi="Times New Roman" w:cs="Times New Roman"/>
          <w:sz w:val="24"/>
          <w:szCs w:val="24"/>
        </w:rPr>
        <w:t xml:space="preserve"> indicates the shared haplotype. The row with red </w:t>
      </w:r>
      <w:proofErr w:type="gramStart"/>
      <w:r w:rsidRPr="00223C6E">
        <w:rPr>
          <w:rFonts w:ascii="Times New Roman" w:eastAsia="Times New Roman" w:hAnsi="Times New Roman" w:cs="Times New Roman"/>
          <w:sz w:val="24"/>
          <w:szCs w:val="24"/>
        </w:rPr>
        <w:t>font color</w:t>
      </w:r>
      <w:proofErr w:type="gramEnd"/>
      <w:r w:rsidRPr="00223C6E">
        <w:rPr>
          <w:rFonts w:ascii="Times New Roman" w:eastAsia="Times New Roman" w:hAnsi="Times New Roman" w:cs="Times New Roman"/>
          <w:sz w:val="24"/>
          <w:szCs w:val="24"/>
        </w:rPr>
        <w:t xml:space="preserve"> represents the pathogenic variant in the </w:t>
      </w:r>
      <w:r w:rsidRPr="00223C6E">
        <w:rPr>
          <w:rFonts w:ascii="Times New Roman" w:eastAsia="Times New Roman" w:hAnsi="Times New Roman" w:cs="Times New Roman"/>
          <w:i/>
          <w:sz w:val="24"/>
          <w:szCs w:val="24"/>
        </w:rPr>
        <w:t>CILK1</w:t>
      </w:r>
      <w:r w:rsidRPr="00223C6E">
        <w:rPr>
          <w:rFonts w:ascii="Times New Roman" w:eastAsia="Times New Roman" w:hAnsi="Times New Roman" w:cs="Times New Roman"/>
          <w:sz w:val="24"/>
          <w:szCs w:val="24"/>
        </w:rPr>
        <w:t xml:space="preserve"> gene. The table is presented in a spreadsheet document.</w:t>
      </w:r>
    </w:p>
    <w:p w14:paraId="52B1BE07" w14:textId="77777777" w:rsidR="00AF7703" w:rsidRPr="00223C6E" w:rsidRDefault="00AF7703">
      <w:pPr>
        <w:spacing w:line="480" w:lineRule="auto"/>
        <w:jc w:val="both"/>
        <w:rPr>
          <w:rFonts w:ascii="Times New Roman" w:eastAsia="Times New Roman" w:hAnsi="Times New Roman" w:cs="Times New Roman"/>
          <w:sz w:val="24"/>
          <w:szCs w:val="24"/>
        </w:rPr>
      </w:pPr>
    </w:p>
    <w:p w14:paraId="07D3E378" w14:textId="77777777" w:rsidR="00AF7703" w:rsidRPr="00223C6E" w:rsidRDefault="00AF7703">
      <w:pPr>
        <w:spacing w:line="480" w:lineRule="auto"/>
        <w:jc w:val="both"/>
        <w:rPr>
          <w:rFonts w:ascii="Times New Roman" w:eastAsia="Times New Roman" w:hAnsi="Times New Roman" w:cs="Times New Roman"/>
          <w:sz w:val="24"/>
          <w:szCs w:val="24"/>
        </w:rPr>
      </w:pPr>
    </w:p>
    <w:sectPr w:rsidR="00AF7703" w:rsidRPr="00223C6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embedRegular r:id="rId1" w:fontKey="{A52AAC55-73FD-4987-8006-14B63582869F}"/>
  </w:font>
  <w:font w:name="Arial Unicode MS">
    <w:panose1 w:val="020B0604020202020204"/>
    <w:charset w:val="80"/>
    <w:family w:val="swiss"/>
    <w:pitch w:val="variable"/>
    <w:sig w:usb0="F7FFAFFF" w:usb1="E9DFFFFF" w:usb2="0000003F" w:usb3="00000000" w:csb0="003F01FF" w:csb1="00000000"/>
  </w:font>
  <w:font w:name="Roboto Mono">
    <w:charset w:val="00"/>
    <w:family w:val="modern"/>
    <w:pitch w:val="fixed"/>
    <w:sig w:usb0="E00002FF" w:usb1="1000205B" w:usb2="00000020" w:usb3="00000000" w:csb0="0000019F" w:csb1="00000000"/>
    <w:embedRegular r:id="rId2" w:fontKey="{86C0546C-26E4-47F9-A783-81A9847E56B9}"/>
  </w:font>
  <w:font w:name="Calibri">
    <w:panose1 w:val="020F0502020204030204"/>
    <w:charset w:val="A2"/>
    <w:family w:val="swiss"/>
    <w:pitch w:val="variable"/>
    <w:sig w:usb0="E4002EFF" w:usb1="C200247B" w:usb2="00000009" w:usb3="00000000" w:csb0="000001FF" w:csb1="00000000"/>
    <w:embedRegular r:id="rId3" w:fontKey="{89F589D3-453D-4948-9946-349F0CDCA38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881"/>
    <w:multiLevelType w:val="multilevel"/>
    <w:tmpl w:val="83B09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F74328"/>
    <w:multiLevelType w:val="multilevel"/>
    <w:tmpl w:val="3CDC3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D86B37"/>
    <w:multiLevelType w:val="multilevel"/>
    <w:tmpl w:val="DF66E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F60A17"/>
    <w:multiLevelType w:val="multilevel"/>
    <w:tmpl w:val="A498F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13E7783"/>
    <w:multiLevelType w:val="multilevel"/>
    <w:tmpl w:val="636A6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0E68A2"/>
    <w:multiLevelType w:val="multilevel"/>
    <w:tmpl w:val="CF9AE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A53C81"/>
    <w:multiLevelType w:val="multilevel"/>
    <w:tmpl w:val="C848E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6F6756"/>
    <w:multiLevelType w:val="multilevel"/>
    <w:tmpl w:val="278A3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4517440">
    <w:abstractNumId w:val="3"/>
  </w:num>
  <w:num w:numId="2" w16cid:durableId="807287165">
    <w:abstractNumId w:val="7"/>
  </w:num>
  <w:num w:numId="3" w16cid:durableId="183714735">
    <w:abstractNumId w:val="1"/>
  </w:num>
  <w:num w:numId="4" w16cid:durableId="1318799205">
    <w:abstractNumId w:val="6"/>
  </w:num>
  <w:num w:numId="5" w16cid:durableId="633759791">
    <w:abstractNumId w:val="5"/>
  </w:num>
  <w:num w:numId="6" w16cid:durableId="1857957306">
    <w:abstractNumId w:val="4"/>
  </w:num>
  <w:num w:numId="7" w16cid:durableId="91241307">
    <w:abstractNumId w:val="0"/>
  </w:num>
  <w:num w:numId="8" w16cid:durableId="313995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703"/>
    <w:rsid w:val="00223C6E"/>
    <w:rsid w:val="005B4A5B"/>
    <w:rsid w:val="00934038"/>
    <w:rsid w:val="009D1AAC"/>
    <w:rsid w:val="00AF7703"/>
    <w:rsid w:val="00D166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C5C9"/>
  <w15:docId w15:val="{8A39C2EE-98C1-4E64-BE15-52E95BE9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B4577"/>
    <w:pPr>
      <w:ind w:left="720"/>
      <w:contextualSpacing/>
    </w:pPr>
  </w:style>
  <w:style w:type="table" w:customStyle="1" w:styleId="1">
    <w:name w:val="1"/>
    <w:basedOn w:val="TableNormal"/>
    <w:rsid w:val="00D16C0C"/>
    <w:rPr>
      <w:lang w:eastAsia="en-GB"/>
    </w:rPr>
    <w:tblPr>
      <w:tblStyleRowBandSize w:val="1"/>
      <w:tblStyleColBandSize w:val="1"/>
      <w:tblInd w:w="0" w:type="nil"/>
      <w:tblCellMar>
        <w:top w:w="100" w:type="dxa"/>
        <w:left w:w="100" w:type="dxa"/>
        <w:bottom w:w="100" w:type="dxa"/>
        <w:right w:w="100" w:type="dxa"/>
      </w:tblCellMar>
    </w:tblPr>
  </w:style>
  <w:style w:type="table" w:styleId="TableGrid">
    <w:name w:val="Table Grid"/>
    <w:basedOn w:val="TableNormal"/>
    <w:uiPriority w:val="39"/>
    <w:rsid w:val="00C34728"/>
    <w:pPr>
      <w:spacing w:line="240" w:lineRule="auto"/>
    </w:pPr>
    <w:rPr>
      <w:rFonts w:asciiTheme="minorHAnsi" w:eastAsiaTheme="minorHAnsi" w:hAnsiTheme="minorHAnsi" w:cstheme="minorBidi"/>
      <w:lang w:val="tr-T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
    <w:pPr>
      <w:spacing w:line="240" w:lineRule="auto"/>
    </w:pPr>
    <w:rPr>
      <w:rFonts w:ascii="Cambria" w:eastAsia="Cambria" w:hAnsi="Cambria" w:cs="Cambri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bi.ac.uk/jdispatcher/m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bi.ac.uk/jdispatcher/ms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1fhYoHpglrhTXo9oBq2C8QZbAQ==">CgMxLjAaHQoBMBIYChYIB0ISEhBBcmlhbCBVbmljb2RlIE1TMg5oLmd1YXNoZGQ3bTBsOTIOaC5tNmpqbHM2Z24zY3MyDmgubTZqamxzNmduM2NzMg5oLmlpcTV4MGFpb3hxNjIOaC5paXE1eDBhaW94cTYyDmguaWlxNXgwYWlveHE2Mg5oLnNqOWE2b2M2aWRnZTIOaC5zajlhNm9jNmlkZ2UyDmguc2o5YTZvYzZpZGdlMg5oLnNqOWE2b2M2aWRnZTIOaC5zajlhNm9jNmlkZ2UyDmguc2o5YTZvYzZpZGdlMg5oLnNqOWE2b2M2aWRnZTIOaC5zajlhNm9jNmlkZ2UyCGguZ2pkZ3hzMg5oLjFzNDU3bzJrMjRteTgAciExWXFSWnlGczI4MnhUcF9Hc195R1hqTkpTcW1MaU5Md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4110</Words>
  <Characters>23433</Characters>
  <Application>Microsoft Office Word</Application>
  <DocSecurity>0</DocSecurity>
  <Lines>195</Lines>
  <Paragraphs>54</Paragraphs>
  <ScaleCrop>false</ScaleCrop>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cp:lastModifiedBy>
  <cp:revision>4</cp:revision>
  <dcterms:created xsi:type="dcterms:W3CDTF">2024-10-04T22:37:00Z</dcterms:created>
  <dcterms:modified xsi:type="dcterms:W3CDTF">2025-05-21T00:31:00Z</dcterms:modified>
</cp:coreProperties>
</file>