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E6909" w14:textId="77777777" w:rsidR="00F125EE" w:rsidRPr="00A3107C" w:rsidRDefault="00F125EE" w:rsidP="00BF46AA">
      <w:pPr>
        <w:rPr>
          <w:sz w:val="32"/>
          <w:szCs w:val="32"/>
        </w:rPr>
        <w:sectPr w:rsidR="00F125EE" w:rsidRPr="00A3107C" w:rsidSect="00E853D5">
          <w:headerReference w:type="default" r:id="rId11"/>
          <w:footerReference w:type="default" r:id="rId12"/>
          <w:pgSz w:w="12240" w:h="15840"/>
          <w:pgMar w:top="1440" w:right="1440" w:bottom="1440" w:left="1440" w:header="720" w:footer="720" w:gutter="0"/>
          <w:pgNumType w:start="1"/>
          <w:cols w:space="720"/>
          <w:docGrid w:linePitch="360"/>
        </w:sectPr>
      </w:pPr>
    </w:p>
    <w:p w14:paraId="14C05F61" w14:textId="62274319" w:rsidR="00FA1481" w:rsidRPr="00A3107C" w:rsidRDefault="00FA1481" w:rsidP="00AA1310">
      <w:pPr>
        <w:rPr>
          <w:sz w:val="32"/>
          <w:szCs w:val="32"/>
        </w:rPr>
      </w:pPr>
    </w:p>
    <w:p w14:paraId="3317CF4D" w14:textId="77777777" w:rsidR="00EC7C85" w:rsidRPr="00A3107C" w:rsidRDefault="00EC7C85" w:rsidP="00F125EE">
      <w:pPr>
        <w:rPr>
          <w:sz w:val="32"/>
          <w:szCs w:val="32"/>
        </w:rPr>
      </w:pPr>
    </w:p>
    <w:p w14:paraId="53B0A160" w14:textId="77777777" w:rsidR="00393BAB" w:rsidRPr="00A3107C" w:rsidRDefault="00393BAB" w:rsidP="00FA1481">
      <w:pPr>
        <w:jc w:val="center"/>
        <w:rPr>
          <w:sz w:val="32"/>
          <w:szCs w:val="32"/>
        </w:rPr>
      </w:pPr>
    </w:p>
    <w:p w14:paraId="31C337D1" w14:textId="77777777" w:rsidR="00D04BCF" w:rsidRPr="00A3107C" w:rsidRDefault="00BB2D2A" w:rsidP="00FA1481">
      <w:pPr>
        <w:jc w:val="center"/>
        <w:rPr>
          <w:sz w:val="32"/>
          <w:szCs w:val="32"/>
        </w:rPr>
      </w:pPr>
      <w:r w:rsidRPr="00A3107C">
        <w:rPr>
          <w:sz w:val="32"/>
          <w:szCs w:val="32"/>
        </w:rPr>
        <w:t>Supplementary Materials</w:t>
      </w:r>
      <w:r w:rsidR="009743A9" w:rsidRPr="00A3107C">
        <w:rPr>
          <w:sz w:val="32"/>
          <w:szCs w:val="32"/>
        </w:rPr>
        <w:t xml:space="preserve"> for</w:t>
      </w:r>
    </w:p>
    <w:p w14:paraId="29411C5A" w14:textId="77777777" w:rsidR="005001AC" w:rsidRPr="00A3107C" w:rsidRDefault="005001AC">
      <w:pPr>
        <w:rPr>
          <w:sz w:val="22"/>
          <w:szCs w:val="18"/>
        </w:rPr>
      </w:pPr>
    </w:p>
    <w:p w14:paraId="339B31F7" w14:textId="655BAA8A" w:rsidR="00015F74" w:rsidRPr="00A3107C" w:rsidRDefault="00CE5539" w:rsidP="003B40E6">
      <w:pPr>
        <w:jc w:val="center"/>
        <w:rPr>
          <w:szCs w:val="24"/>
        </w:rPr>
      </w:pPr>
      <w:r w:rsidRPr="00A3107C">
        <w:rPr>
          <w:b/>
          <w:bCs/>
          <w:szCs w:val="24"/>
        </w:rPr>
        <w:t>Machine Learning Predicts Biologically Distinct Subpopulations of Amyotrophic Lateral Sclerosis</w:t>
      </w:r>
    </w:p>
    <w:p w14:paraId="6665D463" w14:textId="11A89ADB" w:rsidR="007C45B3" w:rsidRPr="00A3107C" w:rsidRDefault="00CE5539" w:rsidP="005001AC">
      <w:pPr>
        <w:jc w:val="center"/>
        <w:rPr>
          <w:i/>
          <w:iCs/>
          <w:sz w:val="22"/>
          <w:szCs w:val="22"/>
        </w:rPr>
      </w:pPr>
      <w:r w:rsidRPr="00A3107C">
        <w:rPr>
          <w:sz w:val="22"/>
          <w:szCs w:val="22"/>
        </w:rPr>
        <w:t>Nicholas Pasternack</w:t>
      </w:r>
      <w:r w:rsidR="007C45B3" w:rsidRPr="00A3107C">
        <w:rPr>
          <w:sz w:val="22"/>
          <w:szCs w:val="22"/>
        </w:rPr>
        <w:t xml:space="preserve"> </w:t>
      </w:r>
      <w:r w:rsidR="007C45B3" w:rsidRPr="00A3107C">
        <w:rPr>
          <w:i/>
          <w:iCs/>
          <w:sz w:val="22"/>
          <w:szCs w:val="22"/>
        </w:rPr>
        <w:t>et al.</w:t>
      </w:r>
    </w:p>
    <w:p w14:paraId="0648E06D" w14:textId="77777777" w:rsidR="000F0DCE" w:rsidRPr="00A3107C" w:rsidRDefault="000F0DCE" w:rsidP="005001AC">
      <w:pPr>
        <w:jc w:val="center"/>
        <w:rPr>
          <w:sz w:val="22"/>
          <w:szCs w:val="22"/>
        </w:rPr>
      </w:pPr>
    </w:p>
    <w:p w14:paraId="34D67477" w14:textId="3B0D9827" w:rsidR="004779CB" w:rsidRPr="00A3107C" w:rsidRDefault="00533910" w:rsidP="005001AC">
      <w:pPr>
        <w:jc w:val="center"/>
        <w:rPr>
          <w:sz w:val="18"/>
          <w:szCs w:val="18"/>
        </w:rPr>
      </w:pPr>
      <w:r w:rsidRPr="00A3107C">
        <w:rPr>
          <w:sz w:val="18"/>
          <w:szCs w:val="18"/>
        </w:rPr>
        <w:t>*</w:t>
      </w:r>
      <w:r w:rsidR="00CE5539" w:rsidRPr="00A3107C">
        <w:rPr>
          <w:sz w:val="18"/>
          <w:szCs w:val="18"/>
        </w:rPr>
        <w:t>Avindra Nath</w:t>
      </w:r>
      <w:r w:rsidR="00392402" w:rsidRPr="00A3107C">
        <w:rPr>
          <w:sz w:val="18"/>
          <w:szCs w:val="18"/>
        </w:rPr>
        <w:t>. Email</w:t>
      </w:r>
      <w:r w:rsidR="004779CB" w:rsidRPr="00A3107C">
        <w:rPr>
          <w:sz w:val="18"/>
          <w:szCs w:val="18"/>
        </w:rPr>
        <w:t>:</w:t>
      </w:r>
      <w:r w:rsidR="00BC3E04" w:rsidRPr="00A3107C">
        <w:rPr>
          <w:sz w:val="18"/>
          <w:szCs w:val="18"/>
        </w:rPr>
        <w:t xml:space="preserve"> </w:t>
      </w:r>
      <w:r w:rsidR="00CE5539" w:rsidRPr="00A3107C">
        <w:rPr>
          <w:sz w:val="22"/>
          <w:szCs w:val="18"/>
        </w:rPr>
        <w:t>avindra.nath@nih.gov</w:t>
      </w:r>
    </w:p>
    <w:p w14:paraId="050BA42C" w14:textId="77777777" w:rsidR="00ED2CBE" w:rsidRPr="00A3107C" w:rsidRDefault="00ED2CBE" w:rsidP="00533910">
      <w:pPr>
        <w:pStyle w:val="PubInfo"/>
        <w:rPr>
          <w:sz w:val="18"/>
          <w:szCs w:val="18"/>
        </w:rPr>
      </w:pPr>
    </w:p>
    <w:p w14:paraId="71939F02" w14:textId="77777777" w:rsidR="00533910" w:rsidRPr="00A3107C" w:rsidRDefault="00533910" w:rsidP="00533910">
      <w:pPr>
        <w:jc w:val="center"/>
        <w:rPr>
          <w:sz w:val="22"/>
          <w:szCs w:val="18"/>
        </w:rPr>
      </w:pPr>
    </w:p>
    <w:p w14:paraId="3A1047ED" w14:textId="77777777" w:rsidR="00533910" w:rsidRPr="00A3107C" w:rsidRDefault="00533910" w:rsidP="005001AC">
      <w:pPr>
        <w:jc w:val="center"/>
        <w:rPr>
          <w:sz w:val="22"/>
          <w:szCs w:val="22"/>
        </w:rPr>
      </w:pPr>
    </w:p>
    <w:p w14:paraId="223EBBEB" w14:textId="77777777" w:rsidR="002C030F" w:rsidRPr="00A3107C" w:rsidRDefault="002C030F">
      <w:pPr>
        <w:rPr>
          <w:sz w:val="22"/>
          <w:szCs w:val="18"/>
        </w:rPr>
      </w:pPr>
    </w:p>
    <w:p w14:paraId="5BBBF32C" w14:textId="77777777" w:rsidR="00015F74" w:rsidRPr="00A3107C" w:rsidRDefault="00015F74">
      <w:pPr>
        <w:rPr>
          <w:b/>
          <w:sz w:val="22"/>
          <w:szCs w:val="18"/>
        </w:rPr>
      </w:pPr>
    </w:p>
    <w:p w14:paraId="546CBFCA" w14:textId="77777777" w:rsidR="002C030F" w:rsidRPr="00A3107C" w:rsidRDefault="009743A9">
      <w:pPr>
        <w:rPr>
          <w:b/>
          <w:sz w:val="22"/>
          <w:szCs w:val="18"/>
        </w:rPr>
      </w:pPr>
      <w:r w:rsidRPr="00A3107C">
        <w:rPr>
          <w:b/>
          <w:sz w:val="22"/>
          <w:szCs w:val="18"/>
        </w:rPr>
        <w:t xml:space="preserve">This PDF file </w:t>
      </w:r>
      <w:r w:rsidR="002C030F" w:rsidRPr="00A3107C">
        <w:rPr>
          <w:b/>
          <w:sz w:val="22"/>
          <w:szCs w:val="18"/>
        </w:rPr>
        <w:t>includes:</w:t>
      </w:r>
    </w:p>
    <w:p w14:paraId="6B069C4B" w14:textId="77777777" w:rsidR="002C030F" w:rsidRPr="00A3107C" w:rsidRDefault="002C030F">
      <w:pPr>
        <w:rPr>
          <w:sz w:val="22"/>
          <w:szCs w:val="18"/>
        </w:rPr>
      </w:pPr>
    </w:p>
    <w:p w14:paraId="5953D2BA" w14:textId="7FBE12F7" w:rsidR="002C030F" w:rsidRPr="00A3107C" w:rsidRDefault="00BB2D2A" w:rsidP="00262D72">
      <w:pPr>
        <w:ind w:left="720"/>
        <w:rPr>
          <w:sz w:val="22"/>
          <w:szCs w:val="18"/>
        </w:rPr>
      </w:pPr>
      <w:r w:rsidRPr="00A3107C">
        <w:rPr>
          <w:sz w:val="22"/>
          <w:szCs w:val="18"/>
        </w:rPr>
        <w:t>Supplementary</w:t>
      </w:r>
      <w:r w:rsidR="00AB399E" w:rsidRPr="00A3107C">
        <w:rPr>
          <w:sz w:val="22"/>
          <w:szCs w:val="18"/>
        </w:rPr>
        <w:t xml:space="preserve"> </w:t>
      </w:r>
      <w:r w:rsidR="00205365" w:rsidRPr="00A3107C">
        <w:rPr>
          <w:sz w:val="22"/>
          <w:szCs w:val="18"/>
        </w:rPr>
        <w:t>Methods</w:t>
      </w:r>
    </w:p>
    <w:p w14:paraId="7FC81517" w14:textId="621566B0" w:rsidR="002C030F" w:rsidRPr="00A3107C" w:rsidRDefault="00205365" w:rsidP="00262D72">
      <w:pPr>
        <w:ind w:left="720"/>
        <w:rPr>
          <w:sz w:val="22"/>
          <w:szCs w:val="18"/>
        </w:rPr>
      </w:pPr>
      <w:r w:rsidRPr="00A3107C">
        <w:rPr>
          <w:sz w:val="22"/>
          <w:szCs w:val="18"/>
        </w:rPr>
        <w:t>Supplementary Figures 1-8</w:t>
      </w:r>
    </w:p>
    <w:p w14:paraId="39DE064C" w14:textId="7727A31E" w:rsidR="002C030F" w:rsidRPr="00A3107C" w:rsidRDefault="00205365" w:rsidP="00262D72">
      <w:pPr>
        <w:ind w:left="720"/>
        <w:rPr>
          <w:sz w:val="22"/>
          <w:szCs w:val="18"/>
        </w:rPr>
      </w:pPr>
      <w:r w:rsidRPr="00A3107C">
        <w:rPr>
          <w:sz w:val="22"/>
          <w:szCs w:val="18"/>
        </w:rPr>
        <w:t>Supplementary Tables 1-3</w:t>
      </w:r>
    </w:p>
    <w:p w14:paraId="74A1DCCF" w14:textId="0B2EBE75" w:rsidR="00205365" w:rsidRPr="00A3107C" w:rsidRDefault="00205365" w:rsidP="00262D72">
      <w:pPr>
        <w:ind w:left="720"/>
        <w:rPr>
          <w:sz w:val="22"/>
          <w:szCs w:val="18"/>
        </w:rPr>
      </w:pPr>
      <w:r w:rsidRPr="00A3107C">
        <w:rPr>
          <w:sz w:val="22"/>
          <w:szCs w:val="18"/>
        </w:rPr>
        <w:t>Supplementary Acknowledgements</w:t>
      </w:r>
    </w:p>
    <w:p w14:paraId="4B448789" w14:textId="77777777" w:rsidR="002C030F" w:rsidRPr="00A3107C" w:rsidRDefault="002C030F">
      <w:pPr>
        <w:rPr>
          <w:sz w:val="22"/>
          <w:szCs w:val="18"/>
        </w:rPr>
      </w:pPr>
    </w:p>
    <w:p w14:paraId="1F1080B1" w14:textId="64A22570" w:rsidR="00065EBD" w:rsidRPr="00A3107C" w:rsidRDefault="002C030F" w:rsidP="00015F74">
      <w:pPr>
        <w:rPr>
          <w:sz w:val="22"/>
          <w:szCs w:val="18"/>
        </w:rPr>
      </w:pPr>
      <w:r w:rsidRPr="00A3107C">
        <w:rPr>
          <w:b/>
          <w:sz w:val="22"/>
          <w:szCs w:val="18"/>
        </w:rPr>
        <w:t>Other Sup</w:t>
      </w:r>
      <w:r w:rsidR="00B77B2A" w:rsidRPr="00A3107C">
        <w:rPr>
          <w:b/>
          <w:sz w:val="22"/>
          <w:szCs w:val="18"/>
        </w:rPr>
        <w:t>p</w:t>
      </w:r>
      <w:r w:rsidR="00BB2D2A" w:rsidRPr="00A3107C">
        <w:rPr>
          <w:b/>
          <w:sz w:val="22"/>
          <w:szCs w:val="18"/>
        </w:rPr>
        <w:t>lementary</w:t>
      </w:r>
      <w:r w:rsidRPr="00A3107C">
        <w:rPr>
          <w:b/>
          <w:sz w:val="22"/>
          <w:szCs w:val="18"/>
        </w:rPr>
        <w:t xml:space="preserve"> Material</w:t>
      </w:r>
      <w:r w:rsidR="00BB2D2A" w:rsidRPr="00A3107C">
        <w:rPr>
          <w:b/>
          <w:sz w:val="22"/>
          <w:szCs w:val="18"/>
        </w:rPr>
        <w:t>s</w:t>
      </w:r>
      <w:r w:rsidRPr="00A3107C">
        <w:rPr>
          <w:b/>
          <w:sz w:val="22"/>
          <w:szCs w:val="18"/>
        </w:rPr>
        <w:t xml:space="preserve"> </w:t>
      </w:r>
      <w:r w:rsidR="009743A9" w:rsidRPr="00A3107C">
        <w:rPr>
          <w:b/>
          <w:sz w:val="22"/>
          <w:szCs w:val="18"/>
        </w:rPr>
        <w:t xml:space="preserve">for this manuscript </w:t>
      </w:r>
      <w:r w:rsidRPr="00A3107C">
        <w:rPr>
          <w:b/>
          <w:sz w:val="22"/>
          <w:szCs w:val="18"/>
        </w:rPr>
        <w:t>include the following</w:t>
      </w:r>
      <w:r w:rsidR="00B57F00" w:rsidRPr="00A3107C">
        <w:rPr>
          <w:b/>
          <w:sz w:val="22"/>
          <w:szCs w:val="18"/>
        </w:rPr>
        <w:t xml:space="preserve">: </w:t>
      </w:r>
    </w:p>
    <w:p w14:paraId="0A5134F4" w14:textId="5BDA8DF0" w:rsidR="002C030F" w:rsidRPr="00A3107C" w:rsidRDefault="00205365" w:rsidP="00262D72">
      <w:pPr>
        <w:ind w:left="720"/>
        <w:rPr>
          <w:sz w:val="22"/>
          <w:szCs w:val="18"/>
        </w:rPr>
      </w:pPr>
      <w:r w:rsidRPr="00A3107C">
        <w:rPr>
          <w:sz w:val="22"/>
          <w:szCs w:val="18"/>
        </w:rPr>
        <w:t>Supplementary Data 1-4</w:t>
      </w:r>
    </w:p>
    <w:p w14:paraId="68691C5A" w14:textId="77777777" w:rsidR="00065EBD" w:rsidRPr="00A3107C" w:rsidRDefault="00065EBD" w:rsidP="00262D72">
      <w:pPr>
        <w:ind w:left="720"/>
        <w:rPr>
          <w:sz w:val="22"/>
          <w:szCs w:val="18"/>
        </w:rPr>
      </w:pPr>
    </w:p>
    <w:p w14:paraId="23718CE0" w14:textId="77777777" w:rsidR="00015F74" w:rsidRPr="00A3107C" w:rsidRDefault="00015F74" w:rsidP="00262D72">
      <w:pPr>
        <w:ind w:left="720"/>
        <w:rPr>
          <w:sz w:val="22"/>
          <w:szCs w:val="18"/>
        </w:rPr>
      </w:pPr>
      <w:r w:rsidRPr="00A3107C">
        <w:rPr>
          <w:sz w:val="22"/>
          <w:szCs w:val="18"/>
        </w:rPr>
        <w:br/>
      </w:r>
    </w:p>
    <w:p w14:paraId="7F6E0C41" w14:textId="03BC466D" w:rsidR="00355362" w:rsidRPr="00A3107C" w:rsidRDefault="00015F74" w:rsidP="009A7C5F">
      <w:pPr>
        <w:pStyle w:val="SMHeading"/>
        <w:rPr>
          <w:sz w:val="22"/>
          <w:szCs w:val="22"/>
        </w:rPr>
      </w:pPr>
      <w:r w:rsidRPr="00A3107C">
        <w:rPr>
          <w:sz w:val="22"/>
          <w:szCs w:val="22"/>
        </w:rPr>
        <w:br w:type="page"/>
      </w:r>
      <w:bookmarkStart w:id="0" w:name="Tables"/>
      <w:bookmarkStart w:id="1" w:name="MaterialsMethods"/>
      <w:bookmarkEnd w:id="0"/>
      <w:bookmarkEnd w:id="1"/>
    </w:p>
    <w:p w14:paraId="56F29DC2" w14:textId="77777777" w:rsidR="008218C4" w:rsidRPr="00A3107C" w:rsidRDefault="008218C4" w:rsidP="009A5287">
      <w:pPr>
        <w:pStyle w:val="SMText"/>
        <w:ind w:firstLine="0"/>
        <w:rPr>
          <w:sz w:val="22"/>
          <w:szCs w:val="18"/>
        </w:rPr>
      </w:pPr>
    </w:p>
    <w:p w14:paraId="12923ABF" w14:textId="12900833" w:rsidR="00015F74" w:rsidRPr="00A3107C" w:rsidRDefault="00BB2D2A" w:rsidP="00BF46AA">
      <w:pPr>
        <w:pStyle w:val="SMHeading"/>
        <w:rPr>
          <w:sz w:val="22"/>
          <w:szCs w:val="22"/>
        </w:rPr>
      </w:pPr>
      <w:r w:rsidRPr="00A3107C">
        <w:rPr>
          <w:sz w:val="22"/>
          <w:szCs w:val="22"/>
        </w:rPr>
        <w:t>Supplementary</w:t>
      </w:r>
      <w:r w:rsidR="00015F74" w:rsidRPr="00A3107C">
        <w:rPr>
          <w:sz w:val="22"/>
          <w:szCs w:val="22"/>
        </w:rPr>
        <w:t xml:space="preserve"> </w:t>
      </w:r>
      <w:r w:rsidR="00205365" w:rsidRPr="00A3107C">
        <w:rPr>
          <w:sz w:val="22"/>
          <w:szCs w:val="22"/>
        </w:rPr>
        <w:t>Methods</w:t>
      </w:r>
    </w:p>
    <w:p w14:paraId="70B30890" w14:textId="77777777" w:rsidR="00205365" w:rsidRPr="00A3107C" w:rsidRDefault="00205365" w:rsidP="00BF46AA">
      <w:pPr>
        <w:rPr>
          <w:color w:val="000000"/>
          <w:sz w:val="22"/>
          <w:szCs w:val="22"/>
        </w:rPr>
      </w:pPr>
      <w:r w:rsidRPr="00A3107C">
        <w:rPr>
          <w:color w:val="000000"/>
          <w:sz w:val="22"/>
          <w:szCs w:val="22"/>
        </w:rPr>
        <w:t>NMF Input</w:t>
      </w:r>
    </w:p>
    <w:p w14:paraId="1F5C82F6" w14:textId="77777777" w:rsidR="00205365" w:rsidRPr="00A3107C" w:rsidRDefault="00205365" w:rsidP="00BF46AA">
      <w:pPr>
        <w:rPr>
          <w:color w:val="000000"/>
          <w:sz w:val="22"/>
          <w:szCs w:val="22"/>
        </w:rPr>
      </w:pPr>
      <w:r w:rsidRPr="00A3107C">
        <w:rPr>
          <w:color w:val="000000"/>
          <w:sz w:val="22"/>
          <w:szCs w:val="22"/>
        </w:rPr>
        <w:t xml:space="preserve">To determine whether there were any associations between NMF cluster designation and metadata variable, Kendall’s </w:t>
      </w:r>
      <w:r w:rsidRPr="00A3107C">
        <w:rPr>
          <w:color w:val="000000"/>
          <w:sz w:val="22"/>
          <w:szCs w:val="22"/>
          <w:lang w:val="el-GR"/>
        </w:rPr>
        <w:t>τ</w:t>
      </w:r>
      <w:r w:rsidRPr="00A3107C">
        <w:rPr>
          <w:color w:val="000000"/>
          <w:sz w:val="22"/>
          <w:szCs w:val="22"/>
        </w:rPr>
        <w:t xml:space="preserve"> was calculated for relevant metadata variables and NMF cluster designations. Kendall’s </w:t>
      </w:r>
      <w:r w:rsidRPr="00A3107C">
        <w:rPr>
          <w:color w:val="000000"/>
          <w:sz w:val="22"/>
          <w:szCs w:val="22"/>
          <w:lang w:val="el-GR"/>
        </w:rPr>
        <w:t>τ</w:t>
      </w:r>
      <w:r w:rsidRPr="00A3107C">
        <w:rPr>
          <w:color w:val="000000"/>
          <w:sz w:val="22"/>
          <w:szCs w:val="22"/>
        </w:rPr>
        <w:t xml:space="preserve"> was used because of the variability in the scale of variable encoding. The most significant association was between the participating site “academic medical center” and SC_ALSC NMF subgroup (</w:t>
      </w:r>
      <w:r w:rsidRPr="00A3107C">
        <w:rPr>
          <w:color w:val="000000"/>
          <w:sz w:val="22"/>
          <w:szCs w:val="22"/>
          <w:lang w:val="el-GR"/>
        </w:rPr>
        <w:t>τ</w:t>
      </w:r>
      <w:r w:rsidRPr="00A3107C">
        <w:rPr>
          <w:color w:val="000000"/>
          <w:sz w:val="22"/>
          <w:szCs w:val="22"/>
        </w:rPr>
        <w:t xml:space="preserve"> = 0.33, p-adj = 1.3E-12). All other associations had an effect size ~ 0.2 or less. It was decided not to remove features associated with site or RIN due to the variability in how these features were represented on the metadata file, low effect size of the associations, associations of these features with each other, and to keep the input to NMF as unbiased as possible.</w:t>
      </w:r>
    </w:p>
    <w:p w14:paraId="3B18DA94" w14:textId="77777777" w:rsidR="00205365" w:rsidRPr="00A3107C" w:rsidRDefault="00205365" w:rsidP="00BF46AA">
      <w:pPr>
        <w:rPr>
          <w:color w:val="000000"/>
          <w:sz w:val="22"/>
          <w:szCs w:val="22"/>
        </w:rPr>
      </w:pPr>
    </w:p>
    <w:p w14:paraId="438636FB" w14:textId="77777777" w:rsidR="00205365" w:rsidRPr="00A3107C" w:rsidRDefault="00205365" w:rsidP="00BF46AA">
      <w:pPr>
        <w:rPr>
          <w:color w:val="000000"/>
          <w:sz w:val="22"/>
          <w:szCs w:val="22"/>
        </w:rPr>
      </w:pPr>
      <w:r w:rsidRPr="00A3107C">
        <w:rPr>
          <w:color w:val="000000"/>
          <w:sz w:val="22"/>
          <w:szCs w:val="22"/>
          <w:lang w:val="en-GB"/>
        </w:rPr>
        <w:t>For the estimation process, 10 runs per cluster (k) from k = 2 through k = 10 were performed setting the random seed to 123211. For the actual clustering, the value of k was set to the optimum value as described above and 500 runs were performed with the random seed set to 123211.</w:t>
      </w:r>
    </w:p>
    <w:p w14:paraId="0EF82583" w14:textId="77777777" w:rsidR="00205365" w:rsidRPr="00A3107C" w:rsidRDefault="00205365" w:rsidP="00BF46AA">
      <w:pPr>
        <w:rPr>
          <w:color w:val="000000"/>
          <w:sz w:val="22"/>
          <w:szCs w:val="22"/>
        </w:rPr>
      </w:pPr>
    </w:p>
    <w:p w14:paraId="60C3BC66" w14:textId="77777777" w:rsidR="00205365" w:rsidRPr="00A3107C" w:rsidRDefault="00205365" w:rsidP="00BF46AA">
      <w:pPr>
        <w:rPr>
          <w:color w:val="000000"/>
          <w:sz w:val="22"/>
          <w:szCs w:val="22"/>
        </w:rPr>
      </w:pPr>
      <w:r w:rsidRPr="00A3107C">
        <w:rPr>
          <w:sz w:val="22"/>
          <w:szCs w:val="22"/>
        </w:rPr>
        <w:t xml:space="preserve">Random Forest Classification </w:t>
      </w:r>
    </w:p>
    <w:p w14:paraId="501F7C88" w14:textId="77777777" w:rsidR="00205365" w:rsidRPr="00A3107C" w:rsidRDefault="00205365" w:rsidP="00BF46AA">
      <w:pPr>
        <w:rPr>
          <w:sz w:val="22"/>
          <w:szCs w:val="22"/>
          <w:lang w:val="en-GB"/>
        </w:rPr>
      </w:pPr>
      <w:r w:rsidRPr="00A3107C">
        <w:rPr>
          <w:sz w:val="22"/>
          <w:szCs w:val="22"/>
          <w:lang w:val="en-GB"/>
        </w:rPr>
        <w:t xml:space="preserve">Since the metadata features were mostly categorical and not continuous, they were one-hot encoded using the Caret “dummyVars” function in R. For example, the categorical variable of biological sex (Male or Female) was converted to two variables (Sex_Male and Sex_Female) with a value of 0 (False), and 1 (True). The data was scaled using a MinMax scaler from scikit learn so all features, including continuous ones, were on a scale of 0 to 1. </w:t>
      </w:r>
    </w:p>
    <w:p w14:paraId="62F94153" w14:textId="77777777" w:rsidR="00205365" w:rsidRPr="00A3107C" w:rsidRDefault="00205365" w:rsidP="00BF46AA">
      <w:pPr>
        <w:rPr>
          <w:sz w:val="22"/>
          <w:szCs w:val="22"/>
          <w:lang w:val="en-GB"/>
        </w:rPr>
      </w:pPr>
    </w:p>
    <w:p w14:paraId="0F4BF7C7" w14:textId="77777777" w:rsidR="00205365" w:rsidRPr="00A3107C" w:rsidRDefault="00205365" w:rsidP="00BF46AA">
      <w:pPr>
        <w:rPr>
          <w:sz w:val="22"/>
          <w:szCs w:val="22"/>
          <w:lang w:val="en-GB"/>
        </w:rPr>
      </w:pPr>
      <w:r w:rsidRPr="00A3107C">
        <w:rPr>
          <w:sz w:val="22"/>
          <w:szCs w:val="22"/>
          <w:lang w:val="en-GB"/>
        </w:rPr>
        <w:t>Since there are multiple NMF classes (three in ALS and four in ALSC analyses), RFC was applied in the context of a One-vs-Rest (OvR) strategy. Essentially, one classifier is fitted per class (e.g. NMF1 vs other three NMF’s). Unless otherwise noted, performance metrics were averaged using the “micro” method (i.e. calculate overall performance metrics using values from all classes such as total TP’s, TN’s, etc.). Feature importance was calculated using the permutation method, with 10 repetitions. The equation for permutation importance where i is feature importance, f is feature, s is score, and R is repetition is:</w:t>
      </w:r>
    </w:p>
    <w:p w14:paraId="706D52F9" w14:textId="77777777" w:rsidR="00205365" w:rsidRPr="00A3107C" w:rsidRDefault="00000000" w:rsidP="00BF46AA">
      <w:pPr>
        <w:rPr>
          <w:sz w:val="22"/>
          <w:szCs w:val="22"/>
          <w:lang w:val="en-GB"/>
        </w:rPr>
      </w:pPr>
      <m:oMathPara>
        <m:oMath>
          <m:sSub>
            <m:sSubPr>
              <m:ctrlPr>
                <w:rPr>
                  <w:rFonts w:ascii="Cambria Math" w:hAnsi="Cambria Math"/>
                  <w:i/>
                  <w:sz w:val="22"/>
                  <w:szCs w:val="22"/>
                  <w:lang w:val="en-GB"/>
                </w:rPr>
              </m:ctrlPr>
            </m:sSubPr>
            <m:e>
              <m:r>
                <w:rPr>
                  <w:rFonts w:ascii="Cambria Math" w:hAnsi="Cambria Math"/>
                  <w:sz w:val="22"/>
                  <w:szCs w:val="22"/>
                  <w:lang w:val="en-GB"/>
                </w:rPr>
                <m:t>i</m:t>
              </m:r>
            </m:e>
            <m:sub>
              <m:r>
                <w:rPr>
                  <w:rFonts w:ascii="Cambria Math" w:hAnsi="Cambria Math"/>
                  <w:sz w:val="22"/>
                  <w:szCs w:val="22"/>
                  <w:lang w:val="en-GB"/>
                </w:rPr>
                <m:t>f</m:t>
              </m:r>
            </m:sub>
          </m:sSub>
          <m:r>
            <w:rPr>
              <w:rFonts w:ascii="Cambria Math" w:hAnsi="Cambria Math"/>
              <w:sz w:val="22"/>
              <w:szCs w:val="22"/>
              <w:lang w:val="en-GB"/>
            </w:rPr>
            <m:t>=s-(</m:t>
          </m:r>
          <m:f>
            <m:fPr>
              <m:ctrlPr>
                <w:rPr>
                  <w:rFonts w:ascii="Cambria Math" w:hAnsi="Cambria Math"/>
                  <w:i/>
                  <w:sz w:val="22"/>
                  <w:szCs w:val="22"/>
                  <w:lang w:val="en-GB"/>
                </w:rPr>
              </m:ctrlPr>
            </m:fPr>
            <m:num>
              <m:nary>
                <m:naryPr>
                  <m:chr m:val="∑"/>
                  <m:limLoc m:val="undOvr"/>
                  <m:ctrlPr>
                    <w:rPr>
                      <w:rFonts w:ascii="Cambria Math" w:hAnsi="Cambria Math"/>
                      <w:i/>
                      <w:sz w:val="22"/>
                      <w:szCs w:val="22"/>
                      <w:lang w:val="en-GB"/>
                    </w:rPr>
                  </m:ctrlPr>
                </m:naryPr>
                <m:sub>
                  <m:r>
                    <w:rPr>
                      <w:rFonts w:ascii="Cambria Math" w:hAnsi="Cambria Math"/>
                      <w:sz w:val="22"/>
                      <w:szCs w:val="22"/>
                      <w:lang w:val="en-GB"/>
                    </w:rPr>
                    <m:t>R=1</m:t>
                  </m:r>
                </m:sub>
                <m:sup>
                  <m:r>
                    <w:rPr>
                      <w:rFonts w:ascii="Cambria Math" w:hAnsi="Cambria Math"/>
                      <w:sz w:val="22"/>
                      <w:szCs w:val="22"/>
                      <w:lang w:val="en-GB"/>
                    </w:rPr>
                    <m:t>R</m:t>
                  </m:r>
                </m:sup>
                <m:e>
                  <m:sSub>
                    <m:sSubPr>
                      <m:ctrlPr>
                        <w:rPr>
                          <w:rFonts w:ascii="Cambria Math" w:hAnsi="Cambria Math"/>
                          <w:i/>
                          <w:sz w:val="22"/>
                          <w:szCs w:val="22"/>
                          <w:lang w:val="en-GB"/>
                        </w:rPr>
                      </m:ctrlPr>
                    </m:sSubPr>
                    <m:e>
                      <m:r>
                        <w:rPr>
                          <w:rFonts w:ascii="Cambria Math" w:hAnsi="Cambria Math"/>
                          <w:sz w:val="22"/>
                          <w:szCs w:val="22"/>
                          <w:lang w:val="en-GB"/>
                        </w:rPr>
                        <m:t>s</m:t>
                      </m:r>
                    </m:e>
                    <m:sub>
                      <m:r>
                        <w:rPr>
                          <w:rFonts w:ascii="Cambria Math" w:hAnsi="Cambria Math"/>
                          <w:sz w:val="22"/>
                          <w:szCs w:val="22"/>
                          <w:lang w:val="en-GB"/>
                        </w:rPr>
                        <m:t>R,f</m:t>
                      </m:r>
                    </m:sub>
                  </m:sSub>
                </m:e>
              </m:nary>
            </m:num>
            <m:den>
              <m:r>
                <w:rPr>
                  <w:rFonts w:ascii="Cambria Math" w:hAnsi="Cambria Math"/>
                  <w:sz w:val="22"/>
                  <w:szCs w:val="22"/>
                  <w:lang w:val="en-GB"/>
                </w:rPr>
                <m:t>R</m:t>
              </m:r>
            </m:den>
          </m:f>
          <m:r>
            <w:rPr>
              <w:rFonts w:ascii="Cambria Math" w:hAnsi="Cambria Math"/>
              <w:sz w:val="22"/>
              <w:szCs w:val="22"/>
              <w:lang w:val="en-GB"/>
            </w:rPr>
            <m:t>)</m:t>
          </m:r>
        </m:oMath>
      </m:oMathPara>
    </w:p>
    <w:p w14:paraId="2D1517D0" w14:textId="77777777" w:rsidR="00205365" w:rsidRPr="00A3107C" w:rsidRDefault="00205365" w:rsidP="00BF46AA">
      <w:pPr>
        <w:rPr>
          <w:sz w:val="22"/>
          <w:szCs w:val="22"/>
          <w:lang w:val="en-GB"/>
        </w:rPr>
      </w:pPr>
    </w:p>
    <w:p w14:paraId="0065B712" w14:textId="77777777" w:rsidR="00BF46AA" w:rsidRPr="00A3107C" w:rsidRDefault="00BF46AA" w:rsidP="00BF46AA">
      <w:pPr>
        <w:rPr>
          <w:sz w:val="22"/>
          <w:szCs w:val="22"/>
          <w:lang w:val="en-GB"/>
        </w:rPr>
      </w:pPr>
    </w:p>
    <w:p w14:paraId="287976DF" w14:textId="77777777" w:rsidR="00BF46AA" w:rsidRPr="00A3107C" w:rsidRDefault="00BF46AA" w:rsidP="00BF46AA">
      <w:pPr>
        <w:rPr>
          <w:sz w:val="22"/>
          <w:szCs w:val="22"/>
          <w:lang w:val="en-GB"/>
        </w:rPr>
      </w:pPr>
    </w:p>
    <w:p w14:paraId="5450F0BB" w14:textId="77777777" w:rsidR="00BF46AA" w:rsidRPr="00A3107C" w:rsidRDefault="00BF46AA" w:rsidP="00BF46AA">
      <w:pPr>
        <w:rPr>
          <w:sz w:val="22"/>
          <w:szCs w:val="22"/>
          <w:lang w:val="en-GB"/>
        </w:rPr>
      </w:pPr>
    </w:p>
    <w:p w14:paraId="1191914F" w14:textId="77777777" w:rsidR="00BF46AA" w:rsidRPr="00A3107C" w:rsidRDefault="00BF46AA" w:rsidP="00BF46AA">
      <w:pPr>
        <w:rPr>
          <w:sz w:val="22"/>
          <w:szCs w:val="22"/>
          <w:lang w:val="en-GB"/>
        </w:rPr>
      </w:pPr>
    </w:p>
    <w:p w14:paraId="09C60B8A" w14:textId="77777777" w:rsidR="00BF46AA" w:rsidRPr="00A3107C" w:rsidRDefault="00BF46AA" w:rsidP="00BF46AA">
      <w:pPr>
        <w:rPr>
          <w:sz w:val="22"/>
          <w:szCs w:val="22"/>
          <w:lang w:val="en-GB"/>
        </w:rPr>
      </w:pPr>
    </w:p>
    <w:p w14:paraId="04AF36AC" w14:textId="77777777" w:rsidR="00BF46AA" w:rsidRPr="00A3107C" w:rsidRDefault="00BF46AA" w:rsidP="00BF46AA">
      <w:pPr>
        <w:rPr>
          <w:sz w:val="22"/>
          <w:szCs w:val="22"/>
          <w:lang w:val="en-GB"/>
        </w:rPr>
      </w:pPr>
    </w:p>
    <w:p w14:paraId="00910A0B" w14:textId="77777777" w:rsidR="00BF46AA" w:rsidRPr="00A3107C" w:rsidRDefault="00BF46AA" w:rsidP="00BF46AA">
      <w:pPr>
        <w:rPr>
          <w:sz w:val="22"/>
          <w:szCs w:val="22"/>
          <w:lang w:val="en-GB"/>
        </w:rPr>
      </w:pPr>
    </w:p>
    <w:p w14:paraId="0CBCE369" w14:textId="77777777" w:rsidR="00BF46AA" w:rsidRDefault="00BF46AA" w:rsidP="00BF46AA">
      <w:pPr>
        <w:rPr>
          <w:sz w:val="22"/>
          <w:szCs w:val="22"/>
          <w:lang w:val="en-GB"/>
        </w:rPr>
      </w:pPr>
    </w:p>
    <w:p w14:paraId="5E3D8325" w14:textId="77777777" w:rsidR="007D6A5D" w:rsidRDefault="007D6A5D" w:rsidP="00BF46AA">
      <w:pPr>
        <w:rPr>
          <w:sz w:val="22"/>
          <w:szCs w:val="22"/>
          <w:lang w:val="en-GB"/>
        </w:rPr>
      </w:pPr>
    </w:p>
    <w:p w14:paraId="5156E15C" w14:textId="77777777" w:rsidR="007D6A5D" w:rsidRDefault="007D6A5D" w:rsidP="00BF46AA">
      <w:pPr>
        <w:rPr>
          <w:sz w:val="22"/>
          <w:szCs w:val="22"/>
          <w:lang w:val="en-GB"/>
        </w:rPr>
      </w:pPr>
    </w:p>
    <w:p w14:paraId="4BD61325" w14:textId="77777777" w:rsidR="007D6A5D" w:rsidRDefault="007D6A5D" w:rsidP="00BF46AA">
      <w:pPr>
        <w:rPr>
          <w:sz w:val="22"/>
          <w:szCs w:val="22"/>
          <w:lang w:val="en-GB"/>
        </w:rPr>
      </w:pPr>
    </w:p>
    <w:p w14:paraId="701F74FB" w14:textId="77777777" w:rsidR="007D6A5D" w:rsidRDefault="007D6A5D" w:rsidP="00BF46AA">
      <w:pPr>
        <w:rPr>
          <w:sz w:val="22"/>
          <w:szCs w:val="22"/>
          <w:lang w:val="en-GB"/>
        </w:rPr>
      </w:pPr>
    </w:p>
    <w:p w14:paraId="4AFADD8B" w14:textId="77777777" w:rsidR="007D6A5D" w:rsidRDefault="007D6A5D" w:rsidP="00BF46AA">
      <w:pPr>
        <w:rPr>
          <w:sz w:val="22"/>
          <w:szCs w:val="22"/>
          <w:lang w:val="en-GB"/>
        </w:rPr>
      </w:pPr>
    </w:p>
    <w:p w14:paraId="6C1CB47E" w14:textId="77777777" w:rsidR="007D6A5D" w:rsidRDefault="007D6A5D" w:rsidP="00BF46AA">
      <w:pPr>
        <w:rPr>
          <w:sz w:val="22"/>
          <w:szCs w:val="22"/>
          <w:lang w:val="en-GB"/>
        </w:rPr>
      </w:pPr>
    </w:p>
    <w:p w14:paraId="10C85780" w14:textId="77777777" w:rsidR="007D6A5D" w:rsidRPr="00A3107C" w:rsidRDefault="007D6A5D" w:rsidP="00BF46AA">
      <w:pPr>
        <w:rPr>
          <w:sz w:val="22"/>
          <w:szCs w:val="22"/>
          <w:lang w:val="en-GB"/>
        </w:rPr>
      </w:pPr>
    </w:p>
    <w:p w14:paraId="7D7397F5" w14:textId="77777777" w:rsidR="00BF46AA" w:rsidRPr="00A3107C" w:rsidRDefault="00BF46AA" w:rsidP="00BF46AA">
      <w:pPr>
        <w:rPr>
          <w:sz w:val="22"/>
          <w:szCs w:val="22"/>
          <w:lang w:val="en-GB"/>
        </w:rPr>
      </w:pPr>
    </w:p>
    <w:p w14:paraId="5B17FDC2" w14:textId="77777777" w:rsidR="00BF46AA" w:rsidRPr="00A3107C" w:rsidRDefault="00BF46AA" w:rsidP="00BF46AA">
      <w:pPr>
        <w:rPr>
          <w:sz w:val="22"/>
          <w:szCs w:val="22"/>
          <w:lang w:val="en-GB"/>
        </w:rPr>
      </w:pPr>
    </w:p>
    <w:p w14:paraId="328F22FD" w14:textId="77777777" w:rsidR="00205365" w:rsidRPr="00A3107C" w:rsidRDefault="00205365" w:rsidP="00BF46AA">
      <w:pPr>
        <w:rPr>
          <w:b/>
          <w:bCs/>
          <w:sz w:val="22"/>
          <w:szCs w:val="22"/>
        </w:rPr>
      </w:pPr>
      <w:r w:rsidRPr="00A3107C">
        <w:rPr>
          <w:b/>
          <w:bCs/>
          <w:sz w:val="22"/>
          <w:szCs w:val="22"/>
        </w:rPr>
        <w:lastRenderedPageBreak/>
        <w:t>SUPPLEMENTARY RESULTS</w:t>
      </w:r>
    </w:p>
    <w:p w14:paraId="383E1283" w14:textId="77777777" w:rsidR="00205365" w:rsidRPr="00A3107C" w:rsidRDefault="00205365" w:rsidP="00BF46AA">
      <w:pPr>
        <w:rPr>
          <w:b/>
          <w:bCs/>
          <w:sz w:val="22"/>
          <w:szCs w:val="22"/>
        </w:rPr>
      </w:pPr>
    </w:p>
    <w:p w14:paraId="4058F3D2" w14:textId="77777777" w:rsidR="00205365" w:rsidRPr="00A3107C" w:rsidRDefault="00205365" w:rsidP="00BF46AA">
      <w:pPr>
        <w:keepNext/>
        <w:rPr>
          <w:sz w:val="22"/>
          <w:szCs w:val="22"/>
          <w:lang w:val="en-GB"/>
        </w:rPr>
      </w:pPr>
      <w:r w:rsidRPr="00A3107C">
        <w:rPr>
          <w:noProof/>
          <w:color w:val="000000"/>
          <w:sz w:val="22"/>
          <w:szCs w:val="22"/>
          <w:lang w:val="en-GB"/>
        </w:rPr>
        <w:drawing>
          <wp:inline distT="0" distB="0" distL="0" distR="0" wp14:anchorId="19FCCFDF" wp14:editId="12BF70E3">
            <wp:extent cx="5338763" cy="7516884"/>
            <wp:effectExtent l="0" t="0" r="0" b="8255"/>
            <wp:docPr id="12979761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976171" name="Picture 1297976171"/>
                    <pic:cNvPicPr/>
                  </pic:nvPicPr>
                  <pic:blipFill>
                    <a:blip r:embed="rId13">
                      <a:extLst>
                        <a:ext uri="{28A0092B-C50C-407E-A947-70E740481C1C}">
                          <a14:useLocalDpi xmlns:a14="http://schemas.microsoft.com/office/drawing/2010/main" val="0"/>
                        </a:ext>
                      </a:extLst>
                    </a:blip>
                    <a:stretch>
                      <a:fillRect/>
                    </a:stretch>
                  </pic:blipFill>
                  <pic:spPr>
                    <a:xfrm>
                      <a:off x="0" y="0"/>
                      <a:ext cx="5358587" cy="7544796"/>
                    </a:xfrm>
                    <a:prstGeom prst="rect">
                      <a:avLst/>
                    </a:prstGeom>
                  </pic:spPr>
                </pic:pic>
              </a:graphicData>
            </a:graphic>
          </wp:inline>
        </w:drawing>
      </w:r>
    </w:p>
    <w:p w14:paraId="2F8E9D07" w14:textId="77777777" w:rsidR="00205365" w:rsidRPr="00A3107C" w:rsidRDefault="00205365" w:rsidP="00BF46AA">
      <w:pPr>
        <w:pStyle w:val="Caption"/>
        <w:rPr>
          <w:sz w:val="22"/>
          <w:szCs w:val="22"/>
        </w:rPr>
      </w:pPr>
    </w:p>
    <w:p w14:paraId="322DE843" w14:textId="77777777" w:rsidR="00BF46AA" w:rsidRPr="00A3107C" w:rsidRDefault="00BF46AA" w:rsidP="00BF46AA">
      <w:pPr>
        <w:pStyle w:val="Caption"/>
        <w:rPr>
          <w:sz w:val="22"/>
          <w:szCs w:val="22"/>
        </w:rPr>
      </w:pPr>
    </w:p>
    <w:p w14:paraId="0D2AD1F0" w14:textId="263418C6" w:rsidR="00205365" w:rsidRPr="00A3107C" w:rsidRDefault="00205365" w:rsidP="00BF46AA">
      <w:pPr>
        <w:pStyle w:val="Caption"/>
        <w:rPr>
          <w:b w:val="0"/>
          <w:bCs w:val="0"/>
          <w:sz w:val="18"/>
          <w:szCs w:val="18"/>
          <w:u w:val="single"/>
        </w:rPr>
      </w:pPr>
      <w:r w:rsidRPr="00A3107C">
        <w:rPr>
          <w:sz w:val="18"/>
          <w:szCs w:val="18"/>
        </w:rPr>
        <w:lastRenderedPageBreak/>
        <w:t>&lt;-</w:t>
      </w:r>
      <w:bookmarkStart w:id="2" w:name="_Toc141189374"/>
      <w:r w:rsidR="00BF46AA" w:rsidRPr="00A3107C">
        <w:rPr>
          <w:sz w:val="18"/>
          <w:szCs w:val="18"/>
        </w:rPr>
        <w:t xml:space="preserve"> </w:t>
      </w:r>
      <w:r w:rsidRPr="00A3107C">
        <w:rPr>
          <w:sz w:val="18"/>
          <w:szCs w:val="18"/>
        </w:rPr>
        <w:t xml:space="preserve">Supplementary Figure 1. </w:t>
      </w:r>
      <w:r w:rsidRPr="00A3107C">
        <w:rPr>
          <w:b w:val="0"/>
          <w:bCs w:val="0"/>
          <w:sz w:val="18"/>
          <w:szCs w:val="18"/>
          <w:u w:val="single"/>
        </w:rPr>
        <w:t>Determination of NMF cluster number.</w:t>
      </w:r>
      <w:bookmarkEnd w:id="2"/>
    </w:p>
    <w:p w14:paraId="3EC4A719" w14:textId="77777777" w:rsidR="00205365" w:rsidRPr="00A3107C" w:rsidRDefault="00205365" w:rsidP="00BF46AA">
      <w:pPr>
        <w:rPr>
          <w:sz w:val="18"/>
          <w:szCs w:val="18"/>
        </w:rPr>
      </w:pPr>
    </w:p>
    <w:p w14:paraId="194B4BCB" w14:textId="77777777" w:rsidR="00205365" w:rsidRPr="00A3107C" w:rsidRDefault="00205365" w:rsidP="00BF46AA">
      <w:pPr>
        <w:pStyle w:val="Caption"/>
        <w:rPr>
          <w:b w:val="0"/>
          <w:bCs w:val="0"/>
          <w:sz w:val="18"/>
          <w:szCs w:val="18"/>
        </w:rPr>
      </w:pPr>
      <w:r w:rsidRPr="00A3107C">
        <w:rPr>
          <w:b w:val="0"/>
          <w:bCs w:val="0"/>
          <w:sz w:val="18"/>
          <w:szCs w:val="18"/>
        </w:rPr>
        <w:t>Data from this figure is based on the ALS patients only NMF in the cortex. The top 5,000 features based on median absolute deviation (MAD) were selected and the variance-stabilizing transformed (VST) abundances of those features were used to cluster the samples. The first metric used to estimate the optimal cluster number is the cophenetic coefficient (A) which relates to the dispersion of the consensus matrix. The local maximum is selected (k = 3 in this case) which is indicated by the arrow. The next method used was the silhouette width, which has a similar interpretation to the cophenetic coefficient, and was plotted for a few different metrics (B). In this case, one might have chosen k = 2 based solely on the silhouette width for the basis metric; however, the other metrics all indicate the optimal number of clusters is k = 3. This can be confirmed by looking at the consensus matrix (C) which shows three distinct clusters. The main area of the consensus matrix represents whether samples are highly distinct (blue) or highly connected (red) based on the clustering with column annotations for basis (the feature matrix, F, which relates to transcript expression), consensus clustering, and silhouette width.</w:t>
      </w:r>
    </w:p>
    <w:p w14:paraId="78A758D3" w14:textId="77777777" w:rsidR="00205365" w:rsidRPr="00A3107C" w:rsidRDefault="00205365" w:rsidP="00BF46AA">
      <w:pPr>
        <w:rPr>
          <w:sz w:val="18"/>
          <w:szCs w:val="18"/>
          <w:lang w:val="en-GB"/>
        </w:rPr>
      </w:pPr>
    </w:p>
    <w:p w14:paraId="47078BB1" w14:textId="77777777" w:rsidR="00205365" w:rsidRPr="00A3107C" w:rsidRDefault="00205365" w:rsidP="00BF46AA">
      <w:pPr>
        <w:rPr>
          <w:color w:val="000000"/>
          <w:sz w:val="18"/>
          <w:szCs w:val="18"/>
          <w:lang w:val="en-GB"/>
        </w:rPr>
      </w:pPr>
    </w:p>
    <w:p w14:paraId="0786D4A7" w14:textId="77777777" w:rsidR="00205365" w:rsidRPr="00A3107C" w:rsidRDefault="00205365" w:rsidP="00BF46AA">
      <w:pPr>
        <w:rPr>
          <w:color w:val="000000"/>
          <w:sz w:val="18"/>
          <w:szCs w:val="18"/>
          <w:lang w:val="en-GB"/>
        </w:rPr>
      </w:pPr>
      <w:r w:rsidRPr="00A3107C">
        <w:rPr>
          <w:noProof/>
          <w:sz w:val="18"/>
          <w:szCs w:val="18"/>
        </w:rPr>
        <w:lastRenderedPageBreak/>
        <w:drawing>
          <wp:inline distT="0" distB="0" distL="0" distR="0" wp14:anchorId="555A63E5" wp14:editId="07B72136">
            <wp:extent cx="5943600" cy="7691755"/>
            <wp:effectExtent l="0" t="0" r="0" b="4445"/>
            <wp:docPr id="2203212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21219"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5943600" cy="7691755"/>
                    </a:xfrm>
                    <a:prstGeom prst="rect">
                      <a:avLst/>
                    </a:prstGeom>
                  </pic:spPr>
                </pic:pic>
              </a:graphicData>
            </a:graphic>
          </wp:inline>
        </w:drawing>
      </w:r>
    </w:p>
    <w:p w14:paraId="5A98CBDB" w14:textId="77777777" w:rsidR="00205365" w:rsidRPr="00A3107C" w:rsidRDefault="00205365" w:rsidP="00BF46AA">
      <w:pPr>
        <w:rPr>
          <w:color w:val="000000"/>
          <w:sz w:val="18"/>
          <w:szCs w:val="18"/>
        </w:rPr>
      </w:pPr>
    </w:p>
    <w:p w14:paraId="32D16B73" w14:textId="77777777" w:rsidR="00205365" w:rsidRDefault="00205365" w:rsidP="00BF46AA">
      <w:pPr>
        <w:rPr>
          <w:color w:val="000000"/>
          <w:sz w:val="18"/>
          <w:szCs w:val="18"/>
        </w:rPr>
      </w:pPr>
    </w:p>
    <w:p w14:paraId="324C569E" w14:textId="77777777" w:rsidR="007D6A5D" w:rsidRPr="00A3107C" w:rsidRDefault="007D6A5D" w:rsidP="00BF46AA">
      <w:pPr>
        <w:rPr>
          <w:color w:val="000000"/>
          <w:sz w:val="18"/>
          <w:szCs w:val="18"/>
        </w:rPr>
      </w:pPr>
    </w:p>
    <w:p w14:paraId="2713DAEB" w14:textId="77777777" w:rsidR="00205365" w:rsidRPr="00A3107C" w:rsidRDefault="00205365" w:rsidP="00BF46AA">
      <w:pPr>
        <w:rPr>
          <w:color w:val="000000"/>
          <w:sz w:val="18"/>
          <w:szCs w:val="18"/>
        </w:rPr>
      </w:pPr>
    </w:p>
    <w:p w14:paraId="3FC22F6E" w14:textId="77777777" w:rsidR="00205365" w:rsidRPr="00A3107C" w:rsidRDefault="00205365" w:rsidP="00BF46AA">
      <w:pPr>
        <w:rPr>
          <w:color w:val="000000"/>
          <w:sz w:val="18"/>
          <w:szCs w:val="18"/>
          <w:u w:val="single"/>
        </w:rPr>
      </w:pPr>
      <w:r w:rsidRPr="00A3107C">
        <w:rPr>
          <w:color w:val="000000"/>
          <w:sz w:val="18"/>
          <w:szCs w:val="18"/>
        </w:rPr>
        <w:lastRenderedPageBreak/>
        <w:t xml:space="preserve">&lt;- </w:t>
      </w:r>
      <w:r w:rsidRPr="00A3107C">
        <w:rPr>
          <w:b/>
          <w:bCs/>
          <w:color w:val="000000"/>
          <w:sz w:val="18"/>
          <w:szCs w:val="18"/>
        </w:rPr>
        <w:t>Supplementary Figure 2.</w:t>
      </w:r>
      <w:r w:rsidRPr="00A3107C">
        <w:rPr>
          <w:color w:val="000000"/>
          <w:sz w:val="18"/>
          <w:szCs w:val="18"/>
        </w:rPr>
        <w:t xml:space="preserve">  </w:t>
      </w:r>
      <w:r w:rsidRPr="00A3107C">
        <w:rPr>
          <w:color w:val="000000"/>
          <w:sz w:val="18"/>
          <w:szCs w:val="18"/>
          <w:u w:val="single"/>
        </w:rPr>
        <w:t>Stability of NMF clustering.</w:t>
      </w:r>
    </w:p>
    <w:p w14:paraId="17A2626F" w14:textId="77777777" w:rsidR="00205365" w:rsidRPr="00A3107C" w:rsidRDefault="00205365" w:rsidP="00BF46AA">
      <w:pPr>
        <w:rPr>
          <w:color w:val="000000"/>
          <w:sz w:val="18"/>
          <w:szCs w:val="18"/>
        </w:rPr>
      </w:pPr>
    </w:p>
    <w:p w14:paraId="4BA6FD23" w14:textId="77777777" w:rsidR="00205365" w:rsidRPr="00A3107C" w:rsidRDefault="00205365" w:rsidP="00BF46AA">
      <w:pPr>
        <w:rPr>
          <w:color w:val="000000"/>
          <w:sz w:val="18"/>
          <w:szCs w:val="18"/>
        </w:rPr>
      </w:pPr>
      <w:r w:rsidRPr="00A3107C">
        <w:rPr>
          <w:color w:val="000000"/>
          <w:sz w:val="18"/>
          <w:szCs w:val="18"/>
          <w:lang w:val="en-GB"/>
        </w:rPr>
        <w:t xml:space="preserve">Bar graphs show the number of samples with a given stability (x-axis) for each NMF cluster (y-axis) (left). Table shows P values from a Wilcoxon test for each cluster compared to a </w:t>
      </w:r>
      <w:r w:rsidRPr="00A3107C">
        <w:rPr>
          <w:color w:val="000000"/>
          <w:sz w:val="18"/>
          <w:szCs w:val="18"/>
          <w:lang w:val="en-GB"/>
        </w:rPr>
        <w:sym w:font="Symbol" w:char="F06D"/>
      </w:r>
      <w:r w:rsidRPr="00A3107C">
        <w:rPr>
          <w:color w:val="000000"/>
          <w:sz w:val="18"/>
          <w:szCs w:val="18"/>
          <w:lang w:val="en-GB"/>
        </w:rPr>
        <w:t xml:space="preserve"> of 1/median (right) for ALS and control (ALSC) analysis (i) and ALS only (ALS) (ii). The results for (A) cortex and (B) spinal cord are shown for both analysis types. Every NMF cluster has significantly greater stability than would be expected by chance, indicating samples from different CNS subregions from the same patient tend to cluster together.</w:t>
      </w:r>
    </w:p>
    <w:p w14:paraId="604A061F" w14:textId="77777777" w:rsidR="00205365" w:rsidRPr="00A3107C" w:rsidRDefault="00205365" w:rsidP="00BF46AA">
      <w:pPr>
        <w:rPr>
          <w:color w:val="000000"/>
          <w:sz w:val="18"/>
          <w:szCs w:val="18"/>
          <w:lang w:val="en-GB"/>
        </w:rPr>
      </w:pPr>
    </w:p>
    <w:p w14:paraId="12D9CE5F" w14:textId="77777777" w:rsidR="00205365" w:rsidRPr="00A3107C" w:rsidRDefault="00205365" w:rsidP="00BF46AA">
      <w:pPr>
        <w:rPr>
          <w:color w:val="000000"/>
          <w:sz w:val="18"/>
          <w:szCs w:val="18"/>
          <w:lang w:val="en-GB"/>
        </w:rPr>
      </w:pPr>
    </w:p>
    <w:p w14:paraId="48CED6B2" w14:textId="77777777" w:rsidR="00205365" w:rsidRPr="00A3107C" w:rsidRDefault="00205365" w:rsidP="00BF46AA">
      <w:pPr>
        <w:rPr>
          <w:color w:val="000000"/>
          <w:sz w:val="18"/>
          <w:szCs w:val="18"/>
          <w:lang w:val="en-GB"/>
        </w:rPr>
      </w:pPr>
      <w:r w:rsidRPr="00A3107C">
        <w:rPr>
          <w:noProof/>
          <w:sz w:val="18"/>
          <w:szCs w:val="18"/>
        </w:rPr>
        <w:lastRenderedPageBreak/>
        <w:drawing>
          <wp:inline distT="0" distB="0" distL="0" distR="0" wp14:anchorId="1781C001" wp14:editId="67AFA05B">
            <wp:extent cx="5943600" cy="7691755"/>
            <wp:effectExtent l="0" t="0" r="0" b="4445"/>
            <wp:docPr id="2236758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75874"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943600" cy="7691755"/>
                    </a:xfrm>
                    <a:prstGeom prst="rect">
                      <a:avLst/>
                    </a:prstGeom>
                  </pic:spPr>
                </pic:pic>
              </a:graphicData>
            </a:graphic>
          </wp:inline>
        </w:drawing>
      </w:r>
    </w:p>
    <w:p w14:paraId="420F4FBE" w14:textId="77777777" w:rsidR="00205365" w:rsidRPr="00A3107C" w:rsidRDefault="00205365" w:rsidP="00BF46AA">
      <w:pPr>
        <w:rPr>
          <w:color w:val="000000"/>
          <w:sz w:val="18"/>
          <w:szCs w:val="18"/>
          <w:lang w:val="en-GB"/>
        </w:rPr>
      </w:pPr>
    </w:p>
    <w:p w14:paraId="60730722" w14:textId="77777777" w:rsidR="00205365" w:rsidRPr="00A3107C" w:rsidRDefault="00205365" w:rsidP="00BF46AA">
      <w:pPr>
        <w:rPr>
          <w:sz w:val="18"/>
          <w:szCs w:val="18"/>
        </w:rPr>
      </w:pPr>
      <w:bookmarkStart w:id="3" w:name="_Toc136688329"/>
    </w:p>
    <w:p w14:paraId="37E59EC2" w14:textId="77777777" w:rsidR="00205365" w:rsidRDefault="00205365" w:rsidP="00BF46AA">
      <w:pPr>
        <w:rPr>
          <w:sz w:val="18"/>
          <w:szCs w:val="18"/>
        </w:rPr>
      </w:pPr>
    </w:p>
    <w:p w14:paraId="67D53B31" w14:textId="77777777" w:rsidR="007D6A5D" w:rsidRPr="00A3107C" w:rsidRDefault="007D6A5D" w:rsidP="00BF46AA">
      <w:pPr>
        <w:rPr>
          <w:sz w:val="18"/>
          <w:szCs w:val="18"/>
        </w:rPr>
      </w:pPr>
    </w:p>
    <w:p w14:paraId="7F085888" w14:textId="77777777" w:rsidR="00205365" w:rsidRPr="00A3107C" w:rsidRDefault="00205365" w:rsidP="00BF46AA">
      <w:pPr>
        <w:rPr>
          <w:sz w:val="18"/>
          <w:szCs w:val="18"/>
          <w:u w:val="single"/>
        </w:rPr>
      </w:pPr>
      <w:r w:rsidRPr="00A3107C">
        <w:rPr>
          <w:sz w:val="18"/>
          <w:szCs w:val="18"/>
        </w:rPr>
        <w:lastRenderedPageBreak/>
        <w:t xml:space="preserve">&lt;- </w:t>
      </w:r>
      <w:r w:rsidRPr="00A3107C">
        <w:rPr>
          <w:b/>
          <w:bCs/>
          <w:sz w:val="18"/>
          <w:szCs w:val="18"/>
        </w:rPr>
        <w:t>Supplementary Figure 3.</w:t>
      </w:r>
      <w:r w:rsidRPr="00A3107C">
        <w:rPr>
          <w:sz w:val="18"/>
          <w:szCs w:val="18"/>
        </w:rPr>
        <w:t xml:space="preserve"> </w:t>
      </w:r>
      <w:r w:rsidRPr="00A3107C">
        <w:rPr>
          <w:sz w:val="18"/>
          <w:szCs w:val="18"/>
          <w:u w:val="single"/>
        </w:rPr>
        <w:t>Overlap between selected features across CNS regions.</w:t>
      </w:r>
      <w:bookmarkEnd w:id="3"/>
    </w:p>
    <w:p w14:paraId="7E39545C" w14:textId="77777777" w:rsidR="00205365" w:rsidRPr="00A3107C" w:rsidRDefault="00205365" w:rsidP="00BF46AA">
      <w:pPr>
        <w:rPr>
          <w:sz w:val="18"/>
          <w:szCs w:val="18"/>
        </w:rPr>
      </w:pPr>
    </w:p>
    <w:p w14:paraId="78665078" w14:textId="77777777" w:rsidR="00205365" w:rsidRPr="00A3107C" w:rsidRDefault="00205365" w:rsidP="00BF46AA">
      <w:pPr>
        <w:rPr>
          <w:sz w:val="18"/>
          <w:szCs w:val="18"/>
        </w:rPr>
      </w:pPr>
      <w:r w:rsidRPr="00A3107C">
        <w:rPr>
          <w:sz w:val="18"/>
          <w:szCs w:val="18"/>
        </w:rPr>
        <w:t>The NMF selected features from the ALS and control (ALSC) (i) and ALS only (ALS) (ii) analyses were compared. Venn diagram showing percentage and number of overlapping and distinct selected features in cortex (CTX) and spinal cord (SC) NMF analyses (A) and spearman correlation of selected feature scores for the 48 features that overlapped (B). The selected features in the ALS analysis overlapped and their feature scores correlated significantly between the CTX and SC.</w:t>
      </w:r>
    </w:p>
    <w:p w14:paraId="0829FFF6" w14:textId="77777777" w:rsidR="00205365" w:rsidRPr="00A3107C" w:rsidRDefault="00205365" w:rsidP="00BF46AA">
      <w:pPr>
        <w:rPr>
          <w:sz w:val="18"/>
          <w:szCs w:val="18"/>
        </w:rPr>
      </w:pPr>
    </w:p>
    <w:p w14:paraId="4E4D374A" w14:textId="77777777" w:rsidR="00205365" w:rsidRPr="00A3107C" w:rsidRDefault="00205365" w:rsidP="00BF46AA">
      <w:pPr>
        <w:rPr>
          <w:sz w:val="18"/>
          <w:szCs w:val="18"/>
        </w:rPr>
      </w:pPr>
    </w:p>
    <w:p w14:paraId="034EF132" w14:textId="77777777" w:rsidR="00205365" w:rsidRPr="00A3107C" w:rsidRDefault="00205365" w:rsidP="00BF46AA">
      <w:pPr>
        <w:rPr>
          <w:sz w:val="18"/>
          <w:szCs w:val="18"/>
        </w:rPr>
      </w:pPr>
      <w:r w:rsidRPr="00A3107C">
        <w:rPr>
          <w:noProof/>
          <w:sz w:val="18"/>
          <w:szCs w:val="18"/>
        </w:rPr>
        <w:drawing>
          <wp:inline distT="0" distB="0" distL="0" distR="0" wp14:anchorId="57A7B386" wp14:editId="579F0E2B">
            <wp:extent cx="5727700" cy="4827270"/>
            <wp:effectExtent l="0" t="0" r="0" b="0"/>
            <wp:docPr id="135925456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254567" name="Picture 1359254567"/>
                    <pic:cNvPicPr/>
                  </pic:nvPicPr>
                  <pic:blipFill>
                    <a:blip r:embed="rId18">
                      <a:extLst>
                        <a:ext uri="{28A0092B-C50C-407E-A947-70E740481C1C}">
                          <a14:useLocalDpi xmlns:a14="http://schemas.microsoft.com/office/drawing/2010/main" val="0"/>
                        </a:ext>
                      </a:extLst>
                    </a:blip>
                    <a:stretch>
                      <a:fillRect/>
                    </a:stretch>
                  </pic:blipFill>
                  <pic:spPr>
                    <a:xfrm>
                      <a:off x="0" y="0"/>
                      <a:ext cx="5727700" cy="4827270"/>
                    </a:xfrm>
                    <a:prstGeom prst="rect">
                      <a:avLst/>
                    </a:prstGeom>
                  </pic:spPr>
                </pic:pic>
              </a:graphicData>
            </a:graphic>
          </wp:inline>
        </w:drawing>
      </w:r>
    </w:p>
    <w:p w14:paraId="0687C071" w14:textId="77777777" w:rsidR="00205365" w:rsidRPr="00A3107C" w:rsidRDefault="00205365" w:rsidP="00BF46AA">
      <w:pPr>
        <w:rPr>
          <w:sz w:val="18"/>
          <w:szCs w:val="18"/>
          <w:u w:val="single"/>
        </w:rPr>
      </w:pPr>
      <w:bookmarkStart w:id="4" w:name="_Toc136688332"/>
      <w:r w:rsidRPr="00A3107C">
        <w:rPr>
          <w:b/>
          <w:bCs/>
          <w:sz w:val="18"/>
          <w:szCs w:val="18"/>
        </w:rPr>
        <w:t>Supplementary Figure 4.</w:t>
      </w:r>
      <w:r w:rsidRPr="00A3107C">
        <w:rPr>
          <w:sz w:val="18"/>
          <w:szCs w:val="18"/>
        </w:rPr>
        <w:t xml:space="preserve"> </w:t>
      </w:r>
      <w:r w:rsidRPr="00A3107C">
        <w:rPr>
          <w:sz w:val="18"/>
          <w:szCs w:val="18"/>
          <w:u w:val="single"/>
        </w:rPr>
        <w:t>HERV-K coding loci in ALS and controls NMF DEA cortex.</w:t>
      </w:r>
      <w:bookmarkEnd w:id="4"/>
    </w:p>
    <w:p w14:paraId="20EE6827" w14:textId="77777777" w:rsidR="00205365" w:rsidRPr="00A3107C" w:rsidRDefault="00205365" w:rsidP="00BF46AA">
      <w:pPr>
        <w:rPr>
          <w:sz w:val="18"/>
          <w:szCs w:val="18"/>
          <w:highlight w:val="yellow"/>
        </w:rPr>
      </w:pPr>
    </w:p>
    <w:p w14:paraId="751E5402" w14:textId="77777777" w:rsidR="00205365" w:rsidRPr="00A3107C" w:rsidRDefault="00205365" w:rsidP="00BF46AA">
      <w:pPr>
        <w:rPr>
          <w:sz w:val="18"/>
          <w:szCs w:val="18"/>
        </w:rPr>
      </w:pPr>
      <w:r w:rsidRPr="00A3107C">
        <w:rPr>
          <w:sz w:val="18"/>
          <w:szCs w:val="18"/>
        </w:rPr>
        <w:t>X-axes are significant (DESeq2 FDR adjusted p-value &lt; 0.05). HERV-K genes in green can encode for partial or full-length envelope (Env) protein. Y-axes are differential expression analysis (DEA) log2FC values and color of dot indicates significance (darker is more significant). Feature plots are shown for NMF DEAs comparing NMF 1 (A), 2 (B), 3 (C), and 4 (D) to the other three NMF clusters.</w:t>
      </w:r>
    </w:p>
    <w:p w14:paraId="2789B5FE" w14:textId="77777777" w:rsidR="00205365" w:rsidRPr="00A3107C" w:rsidRDefault="00205365" w:rsidP="00BF46AA">
      <w:pPr>
        <w:rPr>
          <w:sz w:val="18"/>
          <w:szCs w:val="18"/>
        </w:rPr>
      </w:pPr>
    </w:p>
    <w:p w14:paraId="6917AAA9" w14:textId="77777777" w:rsidR="00205365" w:rsidRPr="00A3107C" w:rsidRDefault="00205365" w:rsidP="00BF46AA">
      <w:pPr>
        <w:rPr>
          <w:sz w:val="18"/>
          <w:szCs w:val="18"/>
        </w:rPr>
      </w:pPr>
      <w:r w:rsidRPr="00A3107C">
        <w:rPr>
          <w:noProof/>
          <w:sz w:val="18"/>
          <w:szCs w:val="18"/>
        </w:rPr>
        <w:lastRenderedPageBreak/>
        <w:drawing>
          <wp:inline distT="0" distB="0" distL="0" distR="0" wp14:anchorId="0BEF7672" wp14:editId="7C9F9953">
            <wp:extent cx="5727700" cy="4827270"/>
            <wp:effectExtent l="0" t="0" r="0" b="0"/>
            <wp:docPr id="25728658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286581" name="Picture 257286581"/>
                    <pic:cNvPicPr/>
                  </pic:nvPicPr>
                  <pic:blipFill>
                    <a:blip r:embed="rId19">
                      <a:extLst>
                        <a:ext uri="{28A0092B-C50C-407E-A947-70E740481C1C}">
                          <a14:useLocalDpi xmlns:a14="http://schemas.microsoft.com/office/drawing/2010/main" val="0"/>
                        </a:ext>
                      </a:extLst>
                    </a:blip>
                    <a:stretch>
                      <a:fillRect/>
                    </a:stretch>
                  </pic:blipFill>
                  <pic:spPr>
                    <a:xfrm>
                      <a:off x="0" y="0"/>
                      <a:ext cx="5727700" cy="4827270"/>
                    </a:xfrm>
                    <a:prstGeom prst="rect">
                      <a:avLst/>
                    </a:prstGeom>
                  </pic:spPr>
                </pic:pic>
              </a:graphicData>
            </a:graphic>
          </wp:inline>
        </w:drawing>
      </w:r>
    </w:p>
    <w:p w14:paraId="4BFB09FC" w14:textId="77777777" w:rsidR="00205365" w:rsidRPr="00A3107C" w:rsidRDefault="00205365" w:rsidP="00BF46AA">
      <w:pPr>
        <w:rPr>
          <w:sz w:val="18"/>
          <w:szCs w:val="18"/>
          <w:u w:val="single"/>
        </w:rPr>
      </w:pPr>
      <w:bookmarkStart w:id="5" w:name="_Toc136688333"/>
      <w:r w:rsidRPr="00A3107C">
        <w:rPr>
          <w:b/>
          <w:bCs/>
          <w:sz w:val="18"/>
          <w:szCs w:val="18"/>
        </w:rPr>
        <w:t>Supplementary Figure 5.</w:t>
      </w:r>
      <w:r w:rsidRPr="00A3107C">
        <w:rPr>
          <w:sz w:val="18"/>
          <w:szCs w:val="18"/>
        </w:rPr>
        <w:t xml:space="preserve"> </w:t>
      </w:r>
      <w:r w:rsidRPr="00A3107C">
        <w:rPr>
          <w:sz w:val="18"/>
          <w:szCs w:val="18"/>
          <w:u w:val="single"/>
        </w:rPr>
        <w:t xml:space="preserve">HERV-K coding loci </w:t>
      </w:r>
      <w:bookmarkEnd w:id="5"/>
      <w:r w:rsidRPr="00A3107C">
        <w:rPr>
          <w:sz w:val="18"/>
          <w:szCs w:val="18"/>
          <w:u w:val="single"/>
        </w:rPr>
        <w:t>in ALS and controls NMF DEA spinal cord.</w:t>
      </w:r>
    </w:p>
    <w:p w14:paraId="78BAD44C" w14:textId="77777777" w:rsidR="00205365" w:rsidRPr="00A3107C" w:rsidRDefault="00205365" w:rsidP="00BF46AA">
      <w:pPr>
        <w:rPr>
          <w:sz w:val="18"/>
          <w:szCs w:val="18"/>
          <w:highlight w:val="yellow"/>
        </w:rPr>
      </w:pPr>
    </w:p>
    <w:p w14:paraId="326F59F3" w14:textId="77777777" w:rsidR="00205365" w:rsidRPr="00A3107C" w:rsidRDefault="00205365" w:rsidP="00BF46AA">
      <w:pPr>
        <w:rPr>
          <w:sz w:val="18"/>
          <w:szCs w:val="18"/>
        </w:rPr>
      </w:pPr>
      <w:r w:rsidRPr="00A3107C">
        <w:rPr>
          <w:sz w:val="18"/>
          <w:szCs w:val="18"/>
        </w:rPr>
        <w:t>X-axes are significant (DESeq2 FDR adjusted p-value &lt; 0.05) HERV-K genes in green can encode for partial or full-length envelope (Env) protein. Y-axes are differential expression analysis (DEA) log2FC values and color of dot indicates significance (darker is more significant). Feature plots are shown for NMF DEAs comparing NMF 1 (A), 2 (B), 3 (C), and 4 (D) to the other three NMF clusters.</w:t>
      </w:r>
    </w:p>
    <w:p w14:paraId="74DAA04E" w14:textId="77777777" w:rsidR="00205365" w:rsidRPr="00A3107C" w:rsidRDefault="00205365" w:rsidP="00BF46AA">
      <w:pPr>
        <w:rPr>
          <w:b/>
          <w:bCs/>
          <w:sz w:val="18"/>
          <w:szCs w:val="18"/>
        </w:rPr>
      </w:pPr>
      <w:r w:rsidRPr="00A3107C">
        <w:rPr>
          <w:b/>
          <w:bCs/>
          <w:noProof/>
          <w:sz w:val="18"/>
          <w:szCs w:val="18"/>
        </w:rPr>
        <w:lastRenderedPageBreak/>
        <w:drawing>
          <wp:inline distT="0" distB="0" distL="0" distR="0" wp14:anchorId="11CA01E9" wp14:editId="0DB80BC2">
            <wp:extent cx="5762625" cy="6779704"/>
            <wp:effectExtent l="0" t="0" r="0" b="2540"/>
            <wp:docPr id="1420121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121979" name="Picture 1420121979"/>
                    <pic:cNvPicPr/>
                  </pic:nvPicPr>
                  <pic:blipFill>
                    <a:blip r:embed="rId20">
                      <a:extLst>
                        <a:ext uri="{28A0092B-C50C-407E-A947-70E740481C1C}">
                          <a14:useLocalDpi xmlns:a14="http://schemas.microsoft.com/office/drawing/2010/main" val="0"/>
                        </a:ext>
                      </a:extLst>
                    </a:blip>
                    <a:stretch>
                      <a:fillRect/>
                    </a:stretch>
                  </pic:blipFill>
                  <pic:spPr>
                    <a:xfrm>
                      <a:off x="0" y="0"/>
                      <a:ext cx="5768936" cy="6787128"/>
                    </a:xfrm>
                    <a:prstGeom prst="rect">
                      <a:avLst/>
                    </a:prstGeom>
                  </pic:spPr>
                </pic:pic>
              </a:graphicData>
            </a:graphic>
          </wp:inline>
        </w:drawing>
      </w:r>
    </w:p>
    <w:p w14:paraId="0244D929" w14:textId="77777777" w:rsidR="00205365" w:rsidRPr="00A3107C" w:rsidRDefault="00205365" w:rsidP="00BF46AA">
      <w:pPr>
        <w:rPr>
          <w:b/>
          <w:bCs/>
          <w:sz w:val="18"/>
          <w:szCs w:val="18"/>
        </w:rPr>
      </w:pPr>
    </w:p>
    <w:p w14:paraId="264BA115" w14:textId="77777777" w:rsidR="00205365" w:rsidRPr="00A3107C" w:rsidRDefault="00205365" w:rsidP="00BF46AA">
      <w:pPr>
        <w:rPr>
          <w:sz w:val="18"/>
          <w:szCs w:val="18"/>
          <w:u w:val="single"/>
        </w:rPr>
      </w:pPr>
      <w:r w:rsidRPr="00A3107C">
        <w:rPr>
          <w:b/>
          <w:bCs/>
          <w:sz w:val="18"/>
          <w:szCs w:val="18"/>
        </w:rPr>
        <w:t>Supplementary Figure 6.</w:t>
      </w:r>
      <w:r w:rsidRPr="00A3107C">
        <w:rPr>
          <w:sz w:val="18"/>
          <w:szCs w:val="18"/>
        </w:rPr>
        <w:t xml:space="preserve"> </w:t>
      </w:r>
      <w:r w:rsidRPr="00A3107C">
        <w:rPr>
          <w:sz w:val="18"/>
          <w:szCs w:val="18"/>
          <w:u w:val="single"/>
        </w:rPr>
        <w:t>HERV-K coding loci in ALS patients only NMF DEA cortex.</w:t>
      </w:r>
    </w:p>
    <w:p w14:paraId="3E6F7C65" w14:textId="77777777" w:rsidR="00205365" w:rsidRPr="00A3107C" w:rsidRDefault="00205365" w:rsidP="00BF46AA">
      <w:pPr>
        <w:rPr>
          <w:sz w:val="18"/>
          <w:szCs w:val="18"/>
          <w:highlight w:val="yellow"/>
        </w:rPr>
      </w:pPr>
    </w:p>
    <w:p w14:paraId="56041066" w14:textId="77777777" w:rsidR="00205365" w:rsidRPr="00A3107C" w:rsidRDefault="00205365" w:rsidP="00BF46AA">
      <w:pPr>
        <w:rPr>
          <w:sz w:val="18"/>
          <w:szCs w:val="18"/>
        </w:rPr>
      </w:pPr>
      <w:r w:rsidRPr="00A3107C">
        <w:rPr>
          <w:sz w:val="18"/>
          <w:szCs w:val="18"/>
        </w:rPr>
        <w:t>X-axes are significant (DESeq2 FDR adjusted p-value &lt; 0.05) HERV-K genes in green can encode for partial or full-length envelope (Env) protein. Y-axes are differential expression analysis (DEA)log2FC values and color of dot indicates significance (darker is more significant). Feature plots are shown for NMF DEAs comparing NMF 1 (A), 2 (B), and 3 (C) to the other three NMF clusters.</w:t>
      </w:r>
    </w:p>
    <w:p w14:paraId="74F5ED7F" w14:textId="77777777" w:rsidR="00205365" w:rsidRPr="00A3107C" w:rsidRDefault="00205365" w:rsidP="00BF46AA">
      <w:pPr>
        <w:rPr>
          <w:b/>
          <w:bCs/>
          <w:sz w:val="18"/>
          <w:szCs w:val="18"/>
        </w:rPr>
      </w:pPr>
      <w:r w:rsidRPr="00A3107C">
        <w:rPr>
          <w:b/>
          <w:bCs/>
          <w:noProof/>
          <w:sz w:val="18"/>
          <w:szCs w:val="18"/>
        </w:rPr>
        <w:lastRenderedPageBreak/>
        <w:drawing>
          <wp:inline distT="0" distB="0" distL="0" distR="0" wp14:anchorId="68A7C939" wp14:editId="07DF6EF2">
            <wp:extent cx="5791200" cy="6813322"/>
            <wp:effectExtent l="0" t="0" r="0" b="6985"/>
            <wp:docPr id="14082496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249685" name="Picture 1408249685"/>
                    <pic:cNvPicPr/>
                  </pic:nvPicPr>
                  <pic:blipFill>
                    <a:blip r:embed="rId21">
                      <a:extLst>
                        <a:ext uri="{28A0092B-C50C-407E-A947-70E740481C1C}">
                          <a14:useLocalDpi xmlns:a14="http://schemas.microsoft.com/office/drawing/2010/main" val="0"/>
                        </a:ext>
                      </a:extLst>
                    </a:blip>
                    <a:stretch>
                      <a:fillRect/>
                    </a:stretch>
                  </pic:blipFill>
                  <pic:spPr>
                    <a:xfrm>
                      <a:off x="0" y="0"/>
                      <a:ext cx="5794800" cy="6817557"/>
                    </a:xfrm>
                    <a:prstGeom prst="rect">
                      <a:avLst/>
                    </a:prstGeom>
                  </pic:spPr>
                </pic:pic>
              </a:graphicData>
            </a:graphic>
          </wp:inline>
        </w:drawing>
      </w:r>
    </w:p>
    <w:p w14:paraId="19A5162D" w14:textId="77777777" w:rsidR="00205365" w:rsidRPr="00A3107C" w:rsidRDefault="00205365" w:rsidP="00BF46AA">
      <w:pPr>
        <w:rPr>
          <w:b/>
          <w:bCs/>
          <w:sz w:val="18"/>
          <w:szCs w:val="18"/>
        </w:rPr>
      </w:pPr>
    </w:p>
    <w:p w14:paraId="6D508BB2" w14:textId="77777777" w:rsidR="00205365" w:rsidRPr="00A3107C" w:rsidRDefault="00205365" w:rsidP="00BF46AA">
      <w:pPr>
        <w:rPr>
          <w:sz w:val="18"/>
          <w:szCs w:val="18"/>
          <w:u w:val="single"/>
        </w:rPr>
      </w:pPr>
      <w:r w:rsidRPr="00A3107C">
        <w:rPr>
          <w:b/>
          <w:bCs/>
          <w:sz w:val="18"/>
          <w:szCs w:val="18"/>
        </w:rPr>
        <w:t>Supplementary Figure 7.</w:t>
      </w:r>
      <w:r w:rsidRPr="00A3107C">
        <w:rPr>
          <w:sz w:val="18"/>
          <w:szCs w:val="18"/>
        </w:rPr>
        <w:t xml:space="preserve"> </w:t>
      </w:r>
      <w:r w:rsidRPr="00A3107C">
        <w:rPr>
          <w:sz w:val="18"/>
          <w:szCs w:val="18"/>
          <w:u w:val="single"/>
        </w:rPr>
        <w:t>HERV-K coding loci in ALS patients only NMF DEA spinal cord.</w:t>
      </w:r>
    </w:p>
    <w:p w14:paraId="460C1337" w14:textId="77777777" w:rsidR="00205365" w:rsidRPr="00A3107C" w:rsidRDefault="00205365" w:rsidP="00BF46AA">
      <w:pPr>
        <w:rPr>
          <w:sz w:val="18"/>
          <w:szCs w:val="18"/>
          <w:highlight w:val="yellow"/>
        </w:rPr>
      </w:pPr>
    </w:p>
    <w:p w14:paraId="584A0004" w14:textId="77777777" w:rsidR="00205365" w:rsidRPr="00A3107C" w:rsidRDefault="00205365" w:rsidP="00BF46AA">
      <w:pPr>
        <w:rPr>
          <w:sz w:val="18"/>
          <w:szCs w:val="18"/>
        </w:rPr>
      </w:pPr>
      <w:r w:rsidRPr="00A3107C">
        <w:rPr>
          <w:sz w:val="18"/>
          <w:szCs w:val="18"/>
        </w:rPr>
        <w:t>X-axes are significant (DESeq2 FDR adjusted p-value &lt; 0.05) HERV-K genes in green can encode for partial or full-length envelope (Env) protein. Y-axes are differential expression analysis (DEA)log2FC values and color of dot indicates significance (darker is more significant). Feature plots are shown for NMF DEAs comparing NMF 1 (A), 2 (B), and 3 (C) to the other three NMF clusters.</w:t>
      </w:r>
    </w:p>
    <w:p w14:paraId="29EF8DE5" w14:textId="77777777" w:rsidR="00205365" w:rsidRPr="00A3107C" w:rsidRDefault="00205365" w:rsidP="00BF46AA">
      <w:pPr>
        <w:rPr>
          <w:sz w:val="18"/>
          <w:szCs w:val="18"/>
        </w:rPr>
      </w:pPr>
      <w:r w:rsidRPr="00A3107C">
        <w:rPr>
          <w:noProof/>
          <w:sz w:val="18"/>
          <w:szCs w:val="18"/>
        </w:rPr>
        <w:lastRenderedPageBreak/>
        <w:drawing>
          <wp:inline distT="0" distB="0" distL="0" distR="0" wp14:anchorId="21AFE839" wp14:editId="746C8FEC">
            <wp:extent cx="5943600" cy="7691755"/>
            <wp:effectExtent l="0" t="0" r="0" b="4445"/>
            <wp:docPr id="969044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04405"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5943600" cy="7691755"/>
                    </a:xfrm>
                    <a:prstGeom prst="rect">
                      <a:avLst/>
                    </a:prstGeom>
                  </pic:spPr>
                </pic:pic>
              </a:graphicData>
            </a:graphic>
          </wp:inline>
        </w:drawing>
      </w:r>
    </w:p>
    <w:p w14:paraId="66234801" w14:textId="77777777" w:rsidR="00205365" w:rsidRPr="00A3107C" w:rsidRDefault="00205365" w:rsidP="00BF46AA">
      <w:pPr>
        <w:pStyle w:val="Caption"/>
        <w:rPr>
          <w:sz w:val="18"/>
          <w:szCs w:val="18"/>
        </w:rPr>
      </w:pPr>
      <w:bookmarkStart w:id="6" w:name="_Toc141189400"/>
    </w:p>
    <w:p w14:paraId="1D7EB14F" w14:textId="77777777" w:rsidR="00532F8E" w:rsidRPr="00A3107C" w:rsidRDefault="00532F8E" w:rsidP="00532F8E">
      <w:pPr>
        <w:rPr>
          <w:sz w:val="18"/>
          <w:szCs w:val="18"/>
        </w:rPr>
      </w:pPr>
    </w:p>
    <w:p w14:paraId="728E48F1" w14:textId="77777777" w:rsidR="00205365" w:rsidRDefault="00205365" w:rsidP="00BF46AA">
      <w:pPr>
        <w:pStyle w:val="Caption"/>
        <w:rPr>
          <w:sz w:val="18"/>
          <w:szCs w:val="18"/>
        </w:rPr>
      </w:pPr>
    </w:p>
    <w:p w14:paraId="6A92F00A" w14:textId="77777777" w:rsidR="007D6A5D" w:rsidRPr="007D6A5D" w:rsidRDefault="007D6A5D" w:rsidP="007D6A5D"/>
    <w:p w14:paraId="57914C0C" w14:textId="77777777" w:rsidR="00205365" w:rsidRPr="00A3107C" w:rsidRDefault="00205365" w:rsidP="00BF46AA">
      <w:pPr>
        <w:pStyle w:val="Caption"/>
        <w:rPr>
          <w:b w:val="0"/>
          <w:bCs w:val="0"/>
          <w:sz w:val="18"/>
          <w:szCs w:val="18"/>
          <w:u w:val="single"/>
        </w:rPr>
      </w:pPr>
      <w:r w:rsidRPr="00A3107C">
        <w:rPr>
          <w:sz w:val="18"/>
          <w:szCs w:val="18"/>
        </w:rPr>
        <w:t xml:space="preserve">&lt;- Supplementary Figure 8. </w:t>
      </w:r>
      <w:r w:rsidRPr="00A3107C">
        <w:rPr>
          <w:b w:val="0"/>
          <w:bCs w:val="0"/>
          <w:sz w:val="18"/>
          <w:szCs w:val="18"/>
          <w:u w:val="single"/>
        </w:rPr>
        <w:t>GSEA for selected gene sets of NMF analyses.</w:t>
      </w:r>
      <w:bookmarkEnd w:id="6"/>
    </w:p>
    <w:p w14:paraId="7C1F43FE" w14:textId="77777777" w:rsidR="00205365" w:rsidRPr="00A3107C" w:rsidRDefault="00205365" w:rsidP="00BF46AA">
      <w:pPr>
        <w:rPr>
          <w:sz w:val="18"/>
          <w:szCs w:val="18"/>
          <w:lang w:val="en-GB"/>
        </w:rPr>
      </w:pPr>
      <w:r w:rsidRPr="00A3107C">
        <w:rPr>
          <w:sz w:val="18"/>
          <w:szCs w:val="18"/>
          <w:lang w:val="en-GB"/>
        </w:rPr>
        <w:t>Gene set enrichment analysis (GSEA) was performed for the ALS patients and control (ALSC) analysis (A) and ALS only (ALS) analysis (B). Plots show normalized enrichment score (NES) (x-axis) across NMF clusters (y-axis) in both cortex (CTX) and spinal cord (SC) (same plot) NMF analyses. Only significantly up- or down-regulated gene sets (FDR adjusted GSEA p-value &lt; 0.05) are shown. Color of bar indicates gene set studied and the outline of the bar indicates significance level (darker outline indicates higher significance). Both custom HERV-K and pre-existing GOs were used in the GSEA. Different patterns of significant up- or down-regulation of the custom all HERV-K gene set as well as inflammation- and synapse-related GO gene sets were identified across clusters in both CTX and SC.</w:t>
      </w:r>
    </w:p>
    <w:p w14:paraId="56806D18" w14:textId="77777777" w:rsidR="00205365" w:rsidRPr="00A3107C" w:rsidRDefault="00205365" w:rsidP="00BF46AA">
      <w:pPr>
        <w:rPr>
          <w:sz w:val="18"/>
          <w:szCs w:val="18"/>
        </w:rPr>
      </w:pPr>
    </w:p>
    <w:p w14:paraId="17E61B72" w14:textId="77777777" w:rsidR="00205365" w:rsidRPr="00A3107C" w:rsidRDefault="00205365" w:rsidP="00BF46AA">
      <w:pPr>
        <w:rPr>
          <w:sz w:val="18"/>
          <w:szCs w:val="18"/>
        </w:rPr>
      </w:pPr>
    </w:p>
    <w:p w14:paraId="2CFCE3F9" w14:textId="77777777" w:rsidR="00205365" w:rsidRPr="00A3107C" w:rsidRDefault="00205365" w:rsidP="00BF46AA">
      <w:pPr>
        <w:rPr>
          <w:b/>
          <w:bCs/>
          <w:sz w:val="18"/>
          <w:szCs w:val="18"/>
        </w:rPr>
      </w:pPr>
      <w:r w:rsidRPr="00A3107C">
        <w:rPr>
          <w:b/>
          <w:bCs/>
          <w:noProof/>
          <w:sz w:val="18"/>
          <w:szCs w:val="18"/>
        </w:rPr>
        <w:drawing>
          <wp:inline distT="0" distB="0" distL="0" distR="0" wp14:anchorId="03DA39F0" wp14:editId="65ED608F">
            <wp:extent cx="5943600" cy="4195445"/>
            <wp:effectExtent l="0" t="0" r="0" b="0"/>
            <wp:docPr id="403306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06325" name="Picture 403306325"/>
                    <pic:cNvPicPr/>
                  </pic:nvPicPr>
                  <pic:blipFill>
                    <a:blip r:embed="rId24">
                      <a:extLst>
                        <a:ext uri="{28A0092B-C50C-407E-A947-70E740481C1C}">
                          <a14:useLocalDpi xmlns:a14="http://schemas.microsoft.com/office/drawing/2010/main" val="0"/>
                        </a:ext>
                      </a:extLst>
                    </a:blip>
                    <a:stretch>
                      <a:fillRect/>
                    </a:stretch>
                  </pic:blipFill>
                  <pic:spPr>
                    <a:xfrm>
                      <a:off x="0" y="0"/>
                      <a:ext cx="5943600" cy="4195445"/>
                    </a:xfrm>
                    <a:prstGeom prst="rect">
                      <a:avLst/>
                    </a:prstGeom>
                  </pic:spPr>
                </pic:pic>
              </a:graphicData>
            </a:graphic>
          </wp:inline>
        </w:drawing>
      </w:r>
    </w:p>
    <w:p w14:paraId="4F2EF682" w14:textId="77777777" w:rsidR="00532F8E" w:rsidRPr="00A3107C" w:rsidRDefault="00532F8E" w:rsidP="00532F8E">
      <w:pPr>
        <w:rPr>
          <w:sz w:val="18"/>
          <w:szCs w:val="18"/>
          <w:u w:val="single"/>
        </w:rPr>
      </w:pPr>
      <w:bookmarkStart w:id="7" w:name="_Hlk172281221"/>
      <w:r w:rsidRPr="00A3107C">
        <w:rPr>
          <w:b/>
          <w:bCs/>
          <w:sz w:val="18"/>
          <w:szCs w:val="18"/>
        </w:rPr>
        <w:t>Supplementary Table 1</w:t>
      </w:r>
      <w:bookmarkEnd w:id="7"/>
      <w:r w:rsidRPr="00A3107C">
        <w:rPr>
          <w:b/>
          <w:bCs/>
          <w:sz w:val="18"/>
          <w:szCs w:val="18"/>
        </w:rPr>
        <w:t>.</w:t>
      </w:r>
      <w:r w:rsidRPr="00A3107C">
        <w:rPr>
          <w:sz w:val="18"/>
          <w:szCs w:val="18"/>
        </w:rPr>
        <w:t xml:space="preserve"> </w:t>
      </w:r>
      <w:r w:rsidRPr="00A3107C">
        <w:rPr>
          <w:sz w:val="18"/>
          <w:szCs w:val="18"/>
          <w:u w:val="single"/>
        </w:rPr>
        <w:t>Full-length HERV-K Env loci that were dysregulated in at least one of the NMF DEAs.</w:t>
      </w:r>
    </w:p>
    <w:p w14:paraId="6AC62965" w14:textId="77777777" w:rsidR="00532F8E" w:rsidRPr="00A3107C" w:rsidRDefault="00532F8E" w:rsidP="00BF46AA">
      <w:pPr>
        <w:rPr>
          <w:b/>
          <w:bCs/>
          <w:sz w:val="18"/>
          <w:szCs w:val="18"/>
        </w:rPr>
      </w:pPr>
    </w:p>
    <w:p w14:paraId="7CC29873" w14:textId="77777777" w:rsidR="00205365" w:rsidRPr="00A3107C" w:rsidRDefault="00205365" w:rsidP="00BF46AA">
      <w:pPr>
        <w:rPr>
          <w:sz w:val="18"/>
          <w:szCs w:val="18"/>
        </w:rPr>
      </w:pPr>
      <w:r w:rsidRPr="00A3107C">
        <w:rPr>
          <w:sz w:val="18"/>
          <w:szCs w:val="18"/>
        </w:rPr>
        <w:t>Footnote: Letter in parentheses after NMF cluster ID represents pathophysiological category: neuronal regeneration (R), synaptic dysfunction (SD), neuronal degeneration (D).</w:t>
      </w:r>
    </w:p>
    <w:p w14:paraId="505F818A" w14:textId="77777777" w:rsidR="00205365" w:rsidRPr="00A3107C" w:rsidRDefault="00205365" w:rsidP="00BF46AA">
      <w:pPr>
        <w:rPr>
          <w:sz w:val="18"/>
          <w:szCs w:val="18"/>
        </w:rPr>
      </w:pPr>
      <w:r w:rsidRPr="00A3107C">
        <w:rPr>
          <w:sz w:val="18"/>
          <w:szCs w:val="18"/>
        </w:rPr>
        <w:t>Additional Abbreviations: HERVd ID = ID based on HERVd database nomenclature, CTX = cortex, SC = spinal cord, ALSC = ALS and controls, ALS = ALS only, LTR = Long terminal repeat.</w:t>
      </w:r>
    </w:p>
    <w:p w14:paraId="7AF97E72" w14:textId="77777777" w:rsidR="00205365" w:rsidRPr="00A3107C" w:rsidRDefault="00205365" w:rsidP="00BF46AA">
      <w:pPr>
        <w:rPr>
          <w:color w:val="000000"/>
          <w:sz w:val="18"/>
          <w:szCs w:val="18"/>
          <w:lang w:val="en-GB"/>
        </w:rPr>
      </w:pPr>
    </w:p>
    <w:p w14:paraId="5074CA28" w14:textId="77777777" w:rsidR="00205365" w:rsidRPr="00A3107C" w:rsidRDefault="00205365" w:rsidP="00BF46AA">
      <w:pPr>
        <w:rPr>
          <w:sz w:val="18"/>
          <w:szCs w:val="18"/>
          <w:lang w:val="en-GB"/>
        </w:rPr>
      </w:pPr>
    </w:p>
    <w:p w14:paraId="2B7C4C5B" w14:textId="77777777" w:rsidR="00205365" w:rsidRPr="00A3107C" w:rsidRDefault="00205365" w:rsidP="00BF46AA">
      <w:pPr>
        <w:pStyle w:val="Caption"/>
        <w:rPr>
          <w:sz w:val="18"/>
          <w:szCs w:val="18"/>
        </w:rPr>
      </w:pPr>
    </w:p>
    <w:p w14:paraId="7B5ACA38" w14:textId="77777777" w:rsidR="00205365" w:rsidRPr="00A3107C" w:rsidRDefault="00205365" w:rsidP="00BF46AA">
      <w:pPr>
        <w:rPr>
          <w:sz w:val="18"/>
          <w:szCs w:val="18"/>
          <w:lang w:val="en-GB"/>
        </w:rPr>
      </w:pPr>
      <w:r w:rsidRPr="00A3107C">
        <w:rPr>
          <w:noProof/>
          <w:sz w:val="18"/>
          <w:szCs w:val="18"/>
          <w:lang w:val="en-GB"/>
        </w:rPr>
        <w:lastRenderedPageBreak/>
        <w:drawing>
          <wp:inline distT="0" distB="0" distL="0" distR="0" wp14:anchorId="5E9E4CE0" wp14:editId="79F82209">
            <wp:extent cx="5729605" cy="3448050"/>
            <wp:effectExtent l="0" t="0" r="4445" b="0"/>
            <wp:docPr id="19694282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9605" cy="3448050"/>
                    </a:xfrm>
                    <a:prstGeom prst="rect">
                      <a:avLst/>
                    </a:prstGeom>
                    <a:noFill/>
                    <a:ln>
                      <a:noFill/>
                    </a:ln>
                  </pic:spPr>
                </pic:pic>
              </a:graphicData>
            </a:graphic>
          </wp:inline>
        </w:drawing>
      </w:r>
    </w:p>
    <w:p w14:paraId="650CC81E" w14:textId="77777777" w:rsidR="00205365" w:rsidRPr="00A3107C" w:rsidRDefault="00205365" w:rsidP="00BF46AA">
      <w:pPr>
        <w:rPr>
          <w:sz w:val="18"/>
          <w:szCs w:val="18"/>
          <w:lang w:val="en-GB"/>
        </w:rPr>
      </w:pPr>
    </w:p>
    <w:p w14:paraId="366617D1" w14:textId="08A484B7" w:rsidR="00205365" w:rsidRPr="00A3107C" w:rsidRDefault="00532F8E" w:rsidP="00BF46AA">
      <w:pPr>
        <w:rPr>
          <w:sz w:val="18"/>
          <w:szCs w:val="18"/>
          <w:u w:val="single"/>
          <w:lang w:val="en-GB"/>
        </w:rPr>
      </w:pPr>
      <w:r w:rsidRPr="00A3107C">
        <w:rPr>
          <w:b/>
          <w:bCs/>
          <w:sz w:val="18"/>
          <w:szCs w:val="18"/>
          <w:lang w:val="en-GB"/>
        </w:rPr>
        <w:t>Supplementary Table 2.</w:t>
      </w:r>
      <w:r w:rsidRPr="00A3107C">
        <w:rPr>
          <w:sz w:val="18"/>
          <w:szCs w:val="18"/>
          <w:lang w:val="en-GB"/>
        </w:rPr>
        <w:t xml:space="preserve"> </w:t>
      </w:r>
      <w:r w:rsidRPr="00A3107C">
        <w:rPr>
          <w:sz w:val="18"/>
          <w:szCs w:val="18"/>
          <w:u w:val="single"/>
          <w:lang w:val="en-GB"/>
        </w:rPr>
        <w:t>Effect of imputation method on underlying correlations in cortex.</w:t>
      </w:r>
    </w:p>
    <w:p w14:paraId="2A659400" w14:textId="77777777" w:rsidR="00532F8E" w:rsidRPr="00A3107C" w:rsidRDefault="00532F8E" w:rsidP="00BF46AA">
      <w:pPr>
        <w:rPr>
          <w:sz w:val="18"/>
          <w:szCs w:val="18"/>
          <w:lang w:val="en-GB"/>
        </w:rPr>
      </w:pPr>
    </w:p>
    <w:p w14:paraId="05AC7C81" w14:textId="77777777" w:rsidR="00205365" w:rsidRPr="00A3107C" w:rsidRDefault="00205365" w:rsidP="00BF46AA">
      <w:pPr>
        <w:rPr>
          <w:sz w:val="18"/>
          <w:szCs w:val="18"/>
          <w:lang w:val="en-GB"/>
        </w:rPr>
      </w:pPr>
      <w:r w:rsidRPr="00A3107C">
        <w:rPr>
          <w:sz w:val="18"/>
          <w:szCs w:val="18"/>
          <w:lang w:val="en-GB"/>
        </w:rPr>
        <w:t>Footnote: Values are shown for the imputed (using predictive mean matching (PMM)) condition (left) and the original raw data condition (right). Rows are sorted based on significance in imputed condition. The values with and without PMM were identical or very similar in all cases. The only meta data variable tested with a significant association with NMF clustering was disease duration.</w:t>
      </w:r>
    </w:p>
    <w:p w14:paraId="45311098" w14:textId="77777777" w:rsidR="00205365" w:rsidRPr="00A3107C" w:rsidRDefault="00205365" w:rsidP="00BF46AA">
      <w:pPr>
        <w:rPr>
          <w:sz w:val="18"/>
          <w:szCs w:val="18"/>
          <w:lang w:val="en-GB"/>
        </w:rPr>
      </w:pPr>
    </w:p>
    <w:p w14:paraId="065665BF" w14:textId="77777777" w:rsidR="00205365" w:rsidRPr="00A3107C" w:rsidRDefault="00205365" w:rsidP="00BF46AA">
      <w:pPr>
        <w:rPr>
          <w:sz w:val="18"/>
          <w:szCs w:val="18"/>
          <w:lang w:val="en-GB"/>
        </w:rPr>
      </w:pPr>
    </w:p>
    <w:p w14:paraId="3B8A11A6" w14:textId="77777777" w:rsidR="00205365" w:rsidRPr="00A3107C" w:rsidRDefault="00205365" w:rsidP="00BF46AA">
      <w:pPr>
        <w:rPr>
          <w:sz w:val="18"/>
          <w:szCs w:val="18"/>
          <w:lang w:val="en-GB"/>
        </w:rPr>
      </w:pPr>
    </w:p>
    <w:p w14:paraId="3AD3EF29" w14:textId="77777777" w:rsidR="00205365" w:rsidRPr="00A3107C" w:rsidRDefault="00205365" w:rsidP="00BF46AA">
      <w:pPr>
        <w:rPr>
          <w:sz w:val="18"/>
          <w:szCs w:val="18"/>
          <w:lang w:val="en-GB"/>
        </w:rPr>
      </w:pPr>
    </w:p>
    <w:p w14:paraId="6F8ADA46" w14:textId="77777777" w:rsidR="00205365" w:rsidRPr="00A3107C" w:rsidRDefault="00205365" w:rsidP="00BF46AA">
      <w:pPr>
        <w:rPr>
          <w:sz w:val="18"/>
          <w:szCs w:val="18"/>
          <w:lang w:val="en-GB"/>
        </w:rPr>
      </w:pPr>
    </w:p>
    <w:p w14:paraId="3CE49C3A" w14:textId="77777777" w:rsidR="00205365" w:rsidRPr="00A3107C" w:rsidRDefault="00205365" w:rsidP="00BF46AA">
      <w:pPr>
        <w:rPr>
          <w:sz w:val="18"/>
          <w:szCs w:val="18"/>
          <w:lang w:val="en-GB"/>
        </w:rPr>
      </w:pPr>
    </w:p>
    <w:p w14:paraId="294A2D05" w14:textId="77777777" w:rsidR="00205365" w:rsidRPr="00A3107C" w:rsidRDefault="00205365" w:rsidP="00BF46AA">
      <w:pPr>
        <w:rPr>
          <w:sz w:val="18"/>
          <w:szCs w:val="18"/>
          <w:lang w:val="en-GB"/>
        </w:rPr>
      </w:pPr>
    </w:p>
    <w:p w14:paraId="1DADEB64" w14:textId="77777777" w:rsidR="00205365" w:rsidRPr="00A3107C" w:rsidRDefault="00205365" w:rsidP="00BF46AA">
      <w:pPr>
        <w:rPr>
          <w:sz w:val="18"/>
          <w:szCs w:val="18"/>
          <w:lang w:val="en-GB"/>
        </w:rPr>
      </w:pPr>
    </w:p>
    <w:p w14:paraId="342C1540" w14:textId="77777777" w:rsidR="00205365" w:rsidRPr="00A3107C" w:rsidRDefault="00205365" w:rsidP="00BF46AA">
      <w:pPr>
        <w:rPr>
          <w:sz w:val="18"/>
          <w:szCs w:val="18"/>
          <w:lang w:val="en-GB"/>
        </w:rPr>
      </w:pPr>
    </w:p>
    <w:p w14:paraId="1A37FB63" w14:textId="77777777" w:rsidR="00205365" w:rsidRPr="00A3107C" w:rsidRDefault="00205365" w:rsidP="00BF46AA">
      <w:pPr>
        <w:rPr>
          <w:sz w:val="18"/>
          <w:szCs w:val="18"/>
          <w:lang w:val="en-GB"/>
        </w:rPr>
      </w:pPr>
    </w:p>
    <w:p w14:paraId="70B3D536" w14:textId="77777777" w:rsidR="00205365" w:rsidRPr="00A3107C" w:rsidRDefault="00205365" w:rsidP="00BF46AA">
      <w:pPr>
        <w:rPr>
          <w:sz w:val="18"/>
          <w:szCs w:val="18"/>
          <w:lang w:val="en-GB"/>
        </w:rPr>
      </w:pPr>
    </w:p>
    <w:p w14:paraId="3E076710" w14:textId="77777777" w:rsidR="00205365" w:rsidRPr="00A3107C" w:rsidRDefault="00205365" w:rsidP="00BF46AA">
      <w:pPr>
        <w:rPr>
          <w:sz w:val="18"/>
          <w:szCs w:val="18"/>
          <w:lang w:val="en-GB"/>
        </w:rPr>
      </w:pPr>
    </w:p>
    <w:p w14:paraId="3D09A0C3" w14:textId="77777777" w:rsidR="00205365" w:rsidRPr="00A3107C" w:rsidRDefault="00205365" w:rsidP="00BF46AA">
      <w:pPr>
        <w:rPr>
          <w:sz w:val="18"/>
          <w:szCs w:val="18"/>
          <w:lang w:val="en-GB"/>
        </w:rPr>
      </w:pPr>
    </w:p>
    <w:p w14:paraId="35692B69" w14:textId="77777777" w:rsidR="00205365" w:rsidRPr="00A3107C" w:rsidRDefault="00205365" w:rsidP="00BF46AA">
      <w:pPr>
        <w:rPr>
          <w:sz w:val="18"/>
          <w:szCs w:val="18"/>
          <w:lang w:val="en-GB"/>
        </w:rPr>
      </w:pPr>
    </w:p>
    <w:p w14:paraId="1EB33B6E" w14:textId="77777777" w:rsidR="00205365" w:rsidRPr="00A3107C" w:rsidRDefault="00205365" w:rsidP="00BF46AA">
      <w:pPr>
        <w:rPr>
          <w:sz w:val="18"/>
          <w:szCs w:val="18"/>
          <w:lang w:val="en-GB"/>
        </w:rPr>
      </w:pPr>
    </w:p>
    <w:p w14:paraId="5CFBAE18" w14:textId="77777777" w:rsidR="00205365" w:rsidRPr="00A3107C" w:rsidRDefault="00205365" w:rsidP="00BF46AA">
      <w:pPr>
        <w:rPr>
          <w:sz w:val="18"/>
          <w:szCs w:val="18"/>
          <w:lang w:val="en-GB"/>
        </w:rPr>
      </w:pPr>
    </w:p>
    <w:p w14:paraId="3E52C555" w14:textId="77777777" w:rsidR="00205365" w:rsidRPr="00A3107C" w:rsidRDefault="00205365" w:rsidP="00BF46AA">
      <w:pPr>
        <w:rPr>
          <w:sz w:val="18"/>
          <w:szCs w:val="18"/>
          <w:lang w:val="en-GB"/>
        </w:rPr>
      </w:pPr>
    </w:p>
    <w:p w14:paraId="427C4E2A" w14:textId="77777777" w:rsidR="00205365" w:rsidRPr="00A3107C" w:rsidRDefault="00205365" w:rsidP="00BF46AA">
      <w:pPr>
        <w:rPr>
          <w:sz w:val="18"/>
          <w:szCs w:val="18"/>
          <w:lang w:val="en-GB"/>
        </w:rPr>
      </w:pPr>
      <w:r w:rsidRPr="00A3107C">
        <w:rPr>
          <w:noProof/>
          <w:sz w:val="18"/>
          <w:szCs w:val="18"/>
          <w:lang w:val="en-GB"/>
        </w:rPr>
        <w:lastRenderedPageBreak/>
        <w:drawing>
          <wp:inline distT="0" distB="0" distL="0" distR="0" wp14:anchorId="3F3EAC5B" wp14:editId="6266E6EA">
            <wp:extent cx="5729605" cy="3448050"/>
            <wp:effectExtent l="0" t="0" r="4445" b="0"/>
            <wp:docPr id="675649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9605" cy="3448050"/>
                    </a:xfrm>
                    <a:prstGeom prst="rect">
                      <a:avLst/>
                    </a:prstGeom>
                    <a:noFill/>
                    <a:ln>
                      <a:noFill/>
                    </a:ln>
                  </pic:spPr>
                </pic:pic>
              </a:graphicData>
            </a:graphic>
          </wp:inline>
        </w:drawing>
      </w:r>
    </w:p>
    <w:p w14:paraId="35CF8C42" w14:textId="77777777" w:rsidR="00205365" w:rsidRPr="00A3107C" w:rsidRDefault="00205365" w:rsidP="00BF46AA">
      <w:pPr>
        <w:rPr>
          <w:sz w:val="18"/>
          <w:szCs w:val="18"/>
          <w:lang w:val="en-GB"/>
        </w:rPr>
      </w:pPr>
    </w:p>
    <w:p w14:paraId="0B1312C8" w14:textId="77777777" w:rsidR="00532F8E" w:rsidRPr="00A3107C" w:rsidRDefault="00532F8E" w:rsidP="00532F8E">
      <w:pPr>
        <w:pStyle w:val="Caption"/>
        <w:rPr>
          <w:b w:val="0"/>
          <w:bCs w:val="0"/>
          <w:sz w:val="18"/>
          <w:szCs w:val="18"/>
          <w:u w:val="single"/>
        </w:rPr>
      </w:pPr>
      <w:bookmarkStart w:id="8" w:name="_Hlk172287766"/>
      <w:r w:rsidRPr="00A3107C">
        <w:rPr>
          <w:sz w:val="18"/>
          <w:szCs w:val="18"/>
        </w:rPr>
        <w:t>Supplementary Table 3</w:t>
      </w:r>
      <w:bookmarkEnd w:id="8"/>
      <w:r w:rsidRPr="00A3107C">
        <w:rPr>
          <w:sz w:val="18"/>
          <w:szCs w:val="18"/>
        </w:rPr>
        <w:t xml:space="preserve">. </w:t>
      </w:r>
      <w:r w:rsidRPr="00A3107C">
        <w:rPr>
          <w:b w:val="0"/>
          <w:bCs w:val="0"/>
          <w:sz w:val="18"/>
          <w:szCs w:val="18"/>
          <w:u w:val="single"/>
        </w:rPr>
        <w:t>Effect of imputation method on underlying correlations in spinal cord.</w:t>
      </w:r>
    </w:p>
    <w:p w14:paraId="76448223" w14:textId="77777777" w:rsidR="00205365" w:rsidRPr="00A3107C" w:rsidRDefault="00205365" w:rsidP="00BF46AA">
      <w:pPr>
        <w:rPr>
          <w:sz w:val="18"/>
          <w:szCs w:val="18"/>
          <w:lang w:val="en-GB"/>
        </w:rPr>
      </w:pPr>
    </w:p>
    <w:p w14:paraId="3D416177" w14:textId="77777777" w:rsidR="00205365" w:rsidRPr="00A3107C" w:rsidRDefault="00205365" w:rsidP="00BF46AA">
      <w:pPr>
        <w:rPr>
          <w:sz w:val="18"/>
          <w:szCs w:val="18"/>
          <w:lang w:val="en-GB"/>
        </w:rPr>
      </w:pPr>
      <w:r w:rsidRPr="00A3107C">
        <w:rPr>
          <w:sz w:val="18"/>
          <w:szCs w:val="18"/>
          <w:lang w:val="en-GB"/>
        </w:rPr>
        <w:t>Footnote: Values are shown for the imputed (using predictive mean matching (PMM)) condition (left) and the original raw data condition (right). Rows are sorted based on significance in imputed condition. The values with and without PMM were identical or very similar in all cases. The meta data variables tested with a significant association with NMF were related NYGC provided metrics of ethnicity.</w:t>
      </w:r>
    </w:p>
    <w:p w14:paraId="1044E9AD" w14:textId="77777777" w:rsidR="00205365" w:rsidRPr="00A3107C" w:rsidRDefault="00205365" w:rsidP="00BF46AA">
      <w:pPr>
        <w:rPr>
          <w:sz w:val="22"/>
          <w:szCs w:val="22"/>
          <w:lang w:val="en-GB"/>
        </w:rPr>
      </w:pPr>
    </w:p>
    <w:p w14:paraId="5624E50D" w14:textId="77777777" w:rsidR="00DD50A4" w:rsidRPr="00A3107C" w:rsidRDefault="00DD50A4" w:rsidP="00DD50A4">
      <w:pPr>
        <w:pStyle w:val="Paragraph"/>
        <w:rPr>
          <w:sz w:val="22"/>
          <w:szCs w:val="22"/>
        </w:rPr>
      </w:pPr>
      <w:r w:rsidRPr="00A3107C">
        <w:rPr>
          <w:noProof/>
          <w:sz w:val="22"/>
          <w:szCs w:val="22"/>
        </w:rPr>
        <w:lastRenderedPageBreak/>
        <w:drawing>
          <wp:inline distT="0" distB="0" distL="0" distR="0" wp14:anchorId="78404CA5" wp14:editId="4DEF7401">
            <wp:extent cx="5424328" cy="5743575"/>
            <wp:effectExtent l="0" t="0" r="5080" b="0"/>
            <wp:docPr id="8023728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372826"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5430824" cy="5750454"/>
                    </a:xfrm>
                    <a:prstGeom prst="rect">
                      <a:avLst/>
                    </a:prstGeom>
                  </pic:spPr>
                </pic:pic>
              </a:graphicData>
            </a:graphic>
          </wp:inline>
        </w:drawing>
      </w:r>
    </w:p>
    <w:p w14:paraId="60741430" w14:textId="77777777" w:rsidR="00DD50A4" w:rsidRPr="00A3107C" w:rsidRDefault="00DD50A4" w:rsidP="00DD50A4">
      <w:pPr>
        <w:pStyle w:val="Paragraph"/>
        <w:rPr>
          <w:sz w:val="22"/>
          <w:szCs w:val="22"/>
        </w:rPr>
      </w:pPr>
    </w:p>
    <w:p w14:paraId="603767ED" w14:textId="3D0C9820" w:rsidR="00DD50A4" w:rsidRPr="00A3107C" w:rsidRDefault="00DD50A4" w:rsidP="00DD50A4">
      <w:pPr>
        <w:rPr>
          <w:sz w:val="22"/>
          <w:szCs w:val="18"/>
        </w:rPr>
      </w:pPr>
      <w:bookmarkStart w:id="9" w:name="_Hlk192310545"/>
      <w:r w:rsidRPr="00A3107C">
        <w:rPr>
          <w:sz w:val="22"/>
          <w:szCs w:val="18"/>
        </w:rPr>
        <w:t>Supplementary Figure 9</w:t>
      </w:r>
      <w:bookmarkEnd w:id="9"/>
      <w:r w:rsidRPr="00A3107C">
        <w:rPr>
          <w:b/>
          <w:bCs/>
          <w:sz w:val="22"/>
          <w:szCs w:val="18"/>
        </w:rPr>
        <w:t>.</w:t>
      </w:r>
      <w:r w:rsidRPr="00A3107C">
        <w:rPr>
          <w:sz w:val="22"/>
          <w:szCs w:val="18"/>
        </w:rPr>
        <w:t xml:space="preserve"> </w:t>
      </w:r>
      <w:r w:rsidRPr="00A3107C">
        <w:rPr>
          <w:sz w:val="22"/>
          <w:szCs w:val="18"/>
          <w:u w:val="single"/>
        </w:rPr>
        <w:t>Heatmap of NMF clusters</w:t>
      </w:r>
      <w:r w:rsidRPr="00A3107C">
        <w:rPr>
          <w:sz w:val="22"/>
          <w:szCs w:val="18"/>
        </w:rPr>
        <w:t xml:space="preserve">. </w:t>
      </w:r>
    </w:p>
    <w:p w14:paraId="489ADDEB" w14:textId="77777777" w:rsidR="00DD50A4" w:rsidRPr="00A3107C" w:rsidRDefault="00DD50A4" w:rsidP="00DD50A4">
      <w:pPr>
        <w:rPr>
          <w:sz w:val="22"/>
          <w:szCs w:val="18"/>
        </w:rPr>
      </w:pPr>
      <w:r w:rsidRPr="00A3107C">
        <w:rPr>
          <w:sz w:val="22"/>
          <w:szCs w:val="18"/>
          <w:lang w:val="en-GB"/>
        </w:rPr>
        <w:t xml:space="preserve">Heatmap was generated using complete hierarchical clustering scaled by rows with column annotations for NMF cluster and biological sex and row annotations for selected features. </w:t>
      </w:r>
      <w:r w:rsidRPr="00A3107C">
        <w:rPr>
          <w:b/>
          <w:bCs/>
          <w:sz w:val="22"/>
          <w:szCs w:val="18"/>
        </w:rPr>
        <w:t>(A)</w:t>
      </w:r>
      <w:r w:rsidRPr="00A3107C">
        <w:rPr>
          <w:sz w:val="22"/>
          <w:szCs w:val="18"/>
        </w:rPr>
        <w:t xml:space="preserve"> Cortex from ALS patientsshowing three transcriptionally distinct clusters. </w:t>
      </w:r>
      <w:r w:rsidRPr="00A3107C">
        <w:rPr>
          <w:sz w:val="22"/>
          <w:szCs w:val="18"/>
          <w:lang w:val="en-GB"/>
        </w:rPr>
        <w:t>There is no clear association of biological sex with NMF.</w:t>
      </w:r>
      <w:r w:rsidRPr="00A3107C">
        <w:rPr>
          <w:sz w:val="22"/>
          <w:szCs w:val="18"/>
        </w:rPr>
        <w:t xml:space="preserve"> </w:t>
      </w:r>
      <w:r w:rsidRPr="00A3107C">
        <w:rPr>
          <w:b/>
          <w:bCs/>
          <w:sz w:val="22"/>
          <w:szCs w:val="18"/>
        </w:rPr>
        <w:t>(B)</w:t>
      </w:r>
      <w:r w:rsidRPr="00A3107C">
        <w:rPr>
          <w:sz w:val="22"/>
          <w:szCs w:val="18"/>
        </w:rPr>
        <w:t xml:space="preserve"> Spinal cord from ALS patients. Shows three transcriptionally distinct clusters. </w:t>
      </w:r>
      <w:r w:rsidRPr="00A3107C">
        <w:rPr>
          <w:sz w:val="22"/>
          <w:szCs w:val="18"/>
          <w:lang w:val="en-GB"/>
        </w:rPr>
        <w:t xml:space="preserve">There is no clear association of biological sex with NMF clustering </w:t>
      </w:r>
      <w:r w:rsidRPr="00A3107C">
        <w:rPr>
          <w:b/>
          <w:bCs/>
          <w:sz w:val="22"/>
          <w:szCs w:val="18"/>
          <w:lang w:val="en-GB"/>
        </w:rPr>
        <w:t xml:space="preserve">(C) </w:t>
      </w:r>
      <w:r w:rsidRPr="00A3107C">
        <w:rPr>
          <w:sz w:val="22"/>
          <w:szCs w:val="18"/>
          <w:lang w:val="en-GB"/>
        </w:rPr>
        <w:t>Cortex from ALS patients and controlsshows four transcriptionally distinct clusters</w:t>
      </w:r>
      <w:r w:rsidRPr="00A3107C">
        <w:rPr>
          <w:sz w:val="22"/>
          <w:szCs w:val="18"/>
        </w:rPr>
        <w:t xml:space="preserve">There is no clear association of biological sex with NMF. </w:t>
      </w:r>
      <w:r w:rsidRPr="00A3107C">
        <w:rPr>
          <w:b/>
          <w:bCs/>
          <w:sz w:val="22"/>
          <w:szCs w:val="18"/>
        </w:rPr>
        <w:t xml:space="preserve">(D) </w:t>
      </w:r>
      <w:r w:rsidRPr="00A3107C">
        <w:rPr>
          <w:sz w:val="22"/>
          <w:szCs w:val="18"/>
        </w:rPr>
        <w:t xml:space="preserve">Spinal cord from ALS and controlsshows four transcriptionally distinct clusters. There is no clear association of biological sex with NMF clusters. </w:t>
      </w:r>
    </w:p>
    <w:p w14:paraId="7D52376A" w14:textId="77777777" w:rsidR="00DD50A4" w:rsidRPr="00A3107C" w:rsidRDefault="00DD50A4" w:rsidP="00BF46AA">
      <w:pPr>
        <w:rPr>
          <w:sz w:val="22"/>
          <w:szCs w:val="22"/>
          <w:lang w:val="en-GB"/>
        </w:rPr>
      </w:pPr>
    </w:p>
    <w:p w14:paraId="3EC5445A" w14:textId="77777777" w:rsidR="00205365" w:rsidRPr="00A3107C" w:rsidRDefault="00205365" w:rsidP="00BF46AA">
      <w:pPr>
        <w:rPr>
          <w:sz w:val="22"/>
          <w:szCs w:val="22"/>
          <w:lang w:val="en-GB"/>
        </w:rPr>
      </w:pPr>
    </w:p>
    <w:p w14:paraId="690C64F0" w14:textId="77777777" w:rsidR="00DD50A4" w:rsidRPr="00A3107C" w:rsidRDefault="00DD50A4" w:rsidP="00DD50A4">
      <w:pPr>
        <w:pStyle w:val="Paragraph"/>
        <w:ind w:firstLine="0"/>
        <w:rPr>
          <w:sz w:val="22"/>
          <w:szCs w:val="22"/>
        </w:rPr>
      </w:pPr>
      <w:r w:rsidRPr="00A3107C">
        <w:rPr>
          <w:noProof/>
          <w:sz w:val="22"/>
          <w:szCs w:val="22"/>
        </w:rPr>
        <w:lastRenderedPageBreak/>
        <w:drawing>
          <wp:inline distT="0" distB="0" distL="0" distR="0" wp14:anchorId="2858BE9C" wp14:editId="6F953438">
            <wp:extent cx="2914650" cy="3772045"/>
            <wp:effectExtent l="0" t="0" r="0" b="0"/>
            <wp:docPr id="2656633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663380"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2916628" cy="3774605"/>
                    </a:xfrm>
                    <a:prstGeom prst="rect">
                      <a:avLst/>
                    </a:prstGeom>
                  </pic:spPr>
                </pic:pic>
              </a:graphicData>
            </a:graphic>
          </wp:inline>
        </w:drawing>
      </w:r>
    </w:p>
    <w:p w14:paraId="1B894B3E" w14:textId="3E45A6A3" w:rsidR="00DD50A4" w:rsidRPr="00A3107C" w:rsidRDefault="00DD50A4" w:rsidP="00DD50A4">
      <w:pPr>
        <w:pStyle w:val="Caption"/>
        <w:rPr>
          <w:b w:val="0"/>
          <w:bCs w:val="0"/>
          <w:sz w:val="18"/>
          <w:szCs w:val="18"/>
          <w:u w:val="single"/>
        </w:rPr>
      </w:pPr>
      <w:r w:rsidRPr="00A3107C">
        <w:rPr>
          <w:sz w:val="18"/>
          <w:szCs w:val="18"/>
        </w:rPr>
        <w:t xml:space="preserve">Supplementary Figure 10. </w:t>
      </w:r>
      <w:r w:rsidRPr="00A3107C">
        <w:rPr>
          <w:b w:val="0"/>
          <w:bCs w:val="0"/>
          <w:sz w:val="18"/>
          <w:szCs w:val="18"/>
          <w:u w:val="single"/>
        </w:rPr>
        <w:t>Predicted roles of key transcriptional regulators in the pathogenesis of the three ALS biotypes.</w:t>
      </w:r>
    </w:p>
    <w:p w14:paraId="7D184D41" w14:textId="77777777" w:rsidR="00DD50A4" w:rsidRPr="00A3107C" w:rsidRDefault="00DD50A4" w:rsidP="00DD50A4">
      <w:pPr>
        <w:rPr>
          <w:sz w:val="22"/>
          <w:szCs w:val="18"/>
        </w:rPr>
      </w:pPr>
      <w:r w:rsidRPr="00A3107C">
        <w:rPr>
          <w:sz w:val="22"/>
          <w:szCs w:val="18"/>
          <w:lang w:val="en-GB"/>
        </w:rPr>
        <w:t>Shows the proposed pathogenesis and progression of the three ALS biotypes characterized in this study: synaptic dysfunction, neuronal regeneration, and neuronal degeneration. The synaptic dysfunction biotype may develop first from individuals susceptible to developing ALS (top) under the transcriptional regulation of Transcription factor 7-like 2 (TCF7L2), Estrogen Receptor 1 (ESR1), and mitogen-activated protein kinase (MAPK). At this stage (middle), activation of brain-derived neurotrophic factor (BDNF) and Janus Kinase 1/2 (JAK1/2) drive the neuronal regeneration biotype, while inhibition of these regulators drives the neuronal degermation biotype (bottom).</w:t>
      </w:r>
    </w:p>
    <w:p w14:paraId="30DBF482" w14:textId="77777777" w:rsidR="00205365" w:rsidRPr="00A3107C" w:rsidRDefault="00205365" w:rsidP="00BF46AA">
      <w:pPr>
        <w:rPr>
          <w:sz w:val="22"/>
          <w:szCs w:val="22"/>
          <w:lang w:val="en-GB"/>
        </w:rPr>
      </w:pPr>
    </w:p>
    <w:p w14:paraId="013FE178" w14:textId="77777777" w:rsidR="00205365" w:rsidRPr="00A3107C" w:rsidRDefault="00205365" w:rsidP="00BF46AA">
      <w:pPr>
        <w:rPr>
          <w:sz w:val="22"/>
          <w:szCs w:val="22"/>
          <w:lang w:val="en-GB"/>
        </w:rPr>
      </w:pPr>
    </w:p>
    <w:p w14:paraId="4DF8A512" w14:textId="77777777" w:rsidR="00FF76FE" w:rsidRPr="00A3107C" w:rsidRDefault="00FF76FE" w:rsidP="00BF46AA">
      <w:pPr>
        <w:rPr>
          <w:sz w:val="22"/>
          <w:szCs w:val="22"/>
          <w:lang w:val="en-GB"/>
        </w:rPr>
      </w:pPr>
    </w:p>
    <w:p w14:paraId="0AB95B97" w14:textId="77777777" w:rsidR="00205365" w:rsidRPr="00A3107C" w:rsidRDefault="00205365" w:rsidP="00BF46AA">
      <w:pPr>
        <w:rPr>
          <w:sz w:val="22"/>
          <w:szCs w:val="22"/>
          <w:lang w:val="en-GB"/>
        </w:rPr>
      </w:pPr>
    </w:p>
    <w:p w14:paraId="03FB5CAB" w14:textId="77777777" w:rsidR="00205365" w:rsidRPr="00A3107C" w:rsidRDefault="00205365" w:rsidP="00BF46AA">
      <w:pPr>
        <w:rPr>
          <w:sz w:val="22"/>
          <w:szCs w:val="22"/>
          <w:lang w:val="en-GB"/>
        </w:rPr>
      </w:pPr>
    </w:p>
    <w:p w14:paraId="5D1EBC90" w14:textId="77777777" w:rsidR="00205365" w:rsidRPr="00A3107C" w:rsidRDefault="00205365" w:rsidP="00BF46AA">
      <w:pPr>
        <w:rPr>
          <w:sz w:val="22"/>
          <w:szCs w:val="22"/>
          <w:lang w:val="en-GB"/>
        </w:rPr>
      </w:pPr>
    </w:p>
    <w:p w14:paraId="0F76F7D5" w14:textId="77777777" w:rsidR="00A3107C" w:rsidRPr="00A3107C" w:rsidRDefault="00A3107C" w:rsidP="00BF46AA">
      <w:pPr>
        <w:rPr>
          <w:sz w:val="22"/>
          <w:szCs w:val="22"/>
          <w:lang w:val="en-GB"/>
        </w:rPr>
      </w:pPr>
    </w:p>
    <w:p w14:paraId="5B019F15" w14:textId="77777777" w:rsidR="00A3107C" w:rsidRPr="00A3107C" w:rsidRDefault="00A3107C" w:rsidP="00BF46AA">
      <w:pPr>
        <w:rPr>
          <w:sz w:val="22"/>
          <w:szCs w:val="22"/>
          <w:lang w:val="en-GB"/>
        </w:rPr>
      </w:pPr>
    </w:p>
    <w:p w14:paraId="1B5C7A22" w14:textId="77777777" w:rsidR="00A3107C" w:rsidRPr="00A3107C" w:rsidRDefault="00A3107C" w:rsidP="00BF46AA">
      <w:pPr>
        <w:rPr>
          <w:sz w:val="22"/>
          <w:szCs w:val="22"/>
          <w:lang w:val="en-GB"/>
        </w:rPr>
      </w:pPr>
    </w:p>
    <w:p w14:paraId="5F501EB5" w14:textId="77777777" w:rsidR="00A3107C" w:rsidRPr="00A3107C" w:rsidRDefault="00A3107C" w:rsidP="00BF46AA">
      <w:pPr>
        <w:rPr>
          <w:sz w:val="22"/>
          <w:szCs w:val="22"/>
          <w:lang w:val="en-GB"/>
        </w:rPr>
      </w:pPr>
    </w:p>
    <w:p w14:paraId="49195472" w14:textId="77777777" w:rsidR="00A3107C" w:rsidRPr="00A3107C" w:rsidRDefault="00A3107C" w:rsidP="00BF46AA">
      <w:pPr>
        <w:rPr>
          <w:sz w:val="22"/>
          <w:szCs w:val="22"/>
          <w:lang w:val="en-GB"/>
        </w:rPr>
      </w:pPr>
    </w:p>
    <w:p w14:paraId="2BA1E76A" w14:textId="77777777" w:rsidR="00A3107C" w:rsidRPr="00A3107C" w:rsidRDefault="00A3107C" w:rsidP="00BF46AA">
      <w:pPr>
        <w:rPr>
          <w:sz w:val="22"/>
          <w:szCs w:val="22"/>
          <w:lang w:val="en-GB"/>
        </w:rPr>
      </w:pPr>
    </w:p>
    <w:p w14:paraId="59052B0F" w14:textId="77777777" w:rsidR="00A3107C" w:rsidRDefault="00A3107C" w:rsidP="00BF46AA">
      <w:pPr>
        <w:rPr>
          <w:sz w:val="22"/>
          <w:szCs w:val="22"/>
          <w:lang w:val="en-GB"/>
        </w:rPr>
      </w:pPr>
    </w:p>
    <w:p w14:paraId="70F3B7C7" w14:textId="77777777" w:rsidR="00751CB4" w:rsidRPr="00A3107C" w:rsidRDefault="00751CB4" w:rsidP="00BF46AA">
      <w:pPr>
        <w:rPr>
          <w:sz w:val="22"/>
          <w:szCs w:val="22"/>
          <w:lang w:val="en-GB"/>
        </w:rPr>
      </w:pPr>
    </w:p>
    <w:p w14:paraId="77E9C29F" w14:textId="77777777" w:rsidR="00A3107C" w:rsidRPr="00A3107C" w:rsidRDefault="00A3107C" w:rsidP="00BF46AA">
      <w:pPr>
        <w:rPr>
          <w:sz w:val="22"/>
          <w:szCs w:val="22"/>
          <w:lang w:val="en-GB"/>
        </w:rPr>
      </w:pPr>
    </w:p>
    <w:p w14:paraId="65F8A1E0" w14:textId="77777777" w:rsidR="00A3107C" w:rsidRPr="00A3107C" w:rsidRDefault="00A3107C" w:rsidP="00BF46AA">
      <w:pPr>
        <w:rPr>
          <w:sz w:val="22"/>
          <w:szCs w:val="22"/>
          <w:lang w:val="en-GB"/>
        </w:rPr>
      </w:pPr>
    </w:p>
    <w:tbl>
      <w:tblPr>
        <w:tblW w:w="9979" w:type="dxa"/>
        <w:tblCellMar>
          <w:left w:w="0" w:type="dxa"/>
          <w:right w:w="0" w:type="dxa"/>
        </w:tblCellMar>
        <w:tblLook w:val="0420" w:firstRow="1" w:lastRow="0" w:firstColumn="0" w:lastColumn="0" w:noHBand="0" w:noVBand="1"/>
      </w:tblPr>
      <w:tblGrid>
        <w:gridCol w:w="1440"/>
        <w:gridCol w:w="1710"/>
        <w:gridCol w:w="1980"/>
        <w:gridCol w:w="1260"/>
        <w:gridCol w:w="990"/>
        <w:gridCol w:w="1080"/>
        <w:gridCol w:w="1519"/>
      </w:tblGrid>
      <w:tr w:rsidR="00A3107C" w:rsidRPr="00A3107C" w14:paraId="025A3078" w14:textId="77777777" w:rsidTr="00751CB4">
        <w:trPr>
          <w:trHeight w:val="584"/>
        </w:trPr>
        <w:tc>
          <w:tcPr>
            <w:tcW w:w="1440" w:type="dxa"/>
            <w:tcBorders>
              <w:top w:val="nil"/>
              <w:left w:val="nil"/>
              <w:bottom w:val="single" w:sz="12" w:space="0" w:color="auto"/>
              <w:right w:val="single" w:sz="12" w:space="0" w:color="auto"/>
            </w:tcBorders>
            <w:shd w:val="clear" w:color="auto" w:fill="000000"/>
            <w:tcMar>
              <w:top w:w="55" w:type="dxa"/>
              <w:left w:w="71" w:type="dxa"/>
              <w:bottom w:w="55" w:type="dxa"/>
              <w:right w:w="21" w:type="dxa"/>
            </w:tcMar>
            <w:vAlign w:val="center"/>
            <w:hideMark/>
          </w:tcPr>
          <w:p w14:paraId="67FC7534" w14:textId="77777777" w:rsidR="00A3107C" w:rsidRPr="00A3107C" w:rsidRDefault="00A3107C" w:rsidP="007A4F75">
            <w:pPr>
              <w:spacing w:line="480" w:lineRule="auto"/>
              <w:jc w:val="center"/>
              <w:rPr>
                <w:color w:val="FFFFFF" w:themeColor="background1"/>
                <w:sz w:val="22"/>
                <w:szCs w:val="18"/>
              </w:rPr>
            </w:pPr>
            <w:r w:rsidRPr="00A3107C">
              <w:rPr>
                <w:b/>
                <w:bCs/>
                <w:color w:val="FFFFFF" w:themeColor="background1"/>
                <w:sz w:val="22"/>
                <w:szCs w:val="18"/>
              </w:rPr>
              <w:lastRenderedPageBreak/>
              <w:t>NMF ID</w:t>
            </w:r>
          </w:p>
        </w:tc>
        <w:tc>
          <w:tcPr>
            <w:tcW w:w="1710" w:type="dxa"/>
            <w:tcBorders>
              <w:top w:val="nil"/>
              <w:left w:val="single" w:sz="12" w:space="0" w:color="auto"/>
              <w:bottom w:val="single" w:sz="12" w:space="0" w:color="auto"/>
              <w:right w:val="single" w:sz="12" w:space="0" w:color="auto"/>
            </w:tcBorders>
            <w:shd w:val="clear" w:color="auto" w:fill="000000"/>
            <w:tcMar>
              <w:top w:w="55" w:type="dxa"/>
              <w:left w:w="71" w:type="dxa"/>
              <w:bottom w:w="55" w:type="dxa"/>
              <w:right w:w="21" w:type="dxa"/>
            </w:tcMar>
            <w:vAlign w:val="center"/>
            <w:hideMark/>
          </w:tcPr>
          <w:p w14:paraId="5B292A13" w14:textId="77777777" w:rsidR="00A3107C" w:rsidRPr="00A3107C" w:rsidRDefault="00A3107C" w:rsidP="007A4F75">
            <w:pPr>
              <w:spacing w:line="480" w:lineRule="auto"/>
              <w:jc w:val="center"/>
              <w:rPr>
                <w:color w:val="FFFFFF" w:themeColor="background1"/>
                <w:sz w:val="22"/>
                <w:szCs w:val="18"/>
              </w:rPr>
            </w:pPr>
            <w:r w:rsidRPr="00A3107C">
              <w:rPr>
                <w:b/>
                <w:bCs/>
                <w:color w:val="FFFFFF" w:themeColor="background1"/>
                <w:sz w:val="22"/>
                <w:szCs w:val="18"/>
              </w:rPr>
              <w:t>Average Age at Death (± SD)</w:t>
            </w:r>
          </w:p>
        </w:tc>
        <w:tc>
          <w:tcPr>
            <w:tcW w:w="1980" w:type="dxa"/>
            <w:tcBorders>
              <w:top w:val="nil"/>
              <w:left w:val="single" w:sz="12" w:space="0" w:color="auto"/>
              <w:bottom w:val="single" w:sz="12" w:space="0" w:color="auto"/>
              <w:right w:val="single" w:sz="12" w:space="0" w:color="auto"/>
            </w:tcBorders>
            <w:shd w:val="clear" w:color="auto" w:fill="000000"/>
            <w:tcMar>
              <w:top w:w="55" w:type="dxa"/>
              <w:left w:w="71" w:type="dxa"/>
              <w:bottom w:w="55" w:type="dxa"/>
              <w:right w:w="21" w:type="dxa"/>
            </w:tcMar>
            <w:vAlign w:val="center"/>
            <w:hideMark/>
          </w:tcPr>
          <w:p w14:paraId="5540011B" w14:textId="77777777" w:rsidR="00A3107C" w:rsidRPr="00A3107C" w:rsidRDefault="00A3107C" w:rsidP="007A4F75">
            <w:pPr>
              <w:spacing w:line="480" w:lineRule="auto"/>
              <w:jc w:val="center"/>
              <w:rPr>
                <w:color w:val="FFFFFF" w:themeColor="background1"/>
                <w:sz w:val="22"/>
                <w:szCs w:val="18"/>
              </w:rPr>
            </w:pPr>
            <w:r w:rsidRPr="00A3107C">
              <w:rPr>
                <w:b/>
                <w:bCs/>
                <w:color w:val="FFFFFF" w:themeColor="background1"/>
                <w:sz w:val="22"/>
                <w:szCs w:val="18"/>
              </w:rPr>
              <w:t>Number of Samples (% Total)</w:t>
            </w:r>
          </w:p>
        </w:tc>
        <w:tc>
          <w:tcPr>
            <w:tcW w:w="1260" w:type="dxa"/>
            <w:tcBorders>
              <w:top w:val="nil"/>
              <w:left w:val="single" w:sz="12" w:space="0" w:color="auto"/>
              <w:bottom w:val="single" w:sz="12" w:space="0" w:color="auto"/>
              <w:right w:val="single" w:sz="12" w:space="0" w:color="auto"/>
            </w:tcBorders>
            <w:shd w:val="clear" w:color="auto" w:fill="000000"/>
            <w:tcMar>
              <w:top w:w="55" w:type="dxa"/>
              <w:left w:w="71" w:type="dxa"/>
              <w:bottom w:w="55" w:type="dxa"/>
              <w:right w:w="21" w:type="dxa"/>
            </w:tcMar>
            <w:vAlign w:val="center"/>
            <w:hideMark/>
          </w:tcPr>
          <w:p w14:paraId="1377395C" w14:textId="77777777" w:rsidR="00A3107C" w:rsidRPr="00A3107C" w:rsidRDefault="00A3107C" w:rsidP="007A4F75">
            <w:pPr>
              <w:spacing w:line="480" w:lineRule="auto"/>
              <w:jc w:val="center"/>
              <w:rPr>
                <w:color w:val="FFFFFF" w:themeColor="background1"/>
                <w:sz w:val="22"/>
                <w:szCs w:val="18"/>
              </w:rPr>
            </w:pPr>
            <w:r w:rsidRPr="00A3107C">
              <w:rPr>
                <w:b/>
                <w:bCs/>
                <w:color w:val="FFFFFF" w:themeColor="background1"/>
                <w:sz w:val="22"/>
                <w:szCs w:val="18"/>
              </w:rPr>
              <w:t>Female (%)</w:t>
            </w:r>
          </w:p>
        </w:tc>
        <w:tc>
          <w:tcPr>
            <w:tcW w:w="990" w:type="dxa"/>
            <w:tcBorders>
              <w:top w:val="nil"/>
              <w:left w:val="single" w:sz="12" w:space="0" w:color="auto"/>
              <w:bottom w:val="single" w:sz="12" w:space="0" w:color="auto"/>
              <w:right w:val="single" w:sz="12" w:space="0" w:color="auto"/>
            </w:tcBorders>
            <w:shd w:val="clear" w:color="auto" w:fill="000000"/>
            <w:tcMar>
              <w:top w:w="55" w:type="dxa"/>
              <w:left w:w="71" w:type="dxa"/>
              <w:bottom w:w="55" w:type="dxa"/>
              <w:right w:w="21" w:type="dxa"/>
            </w:tcMar>
            <w:vAlign w:val="center"/>
            <w:hideMark/>
          </w:tcPr>
          <w:p w14:paraId="5FE03C03" w14:textId="77777777" w:rsidR="00A3107C" w:rsidRPr="00A3107C" w:rsidRDefault="00A3107C" w:rsidP="007A4F75">
            <w:pPr>
              <w:spacing w:line="480" w:lineRule="auto"/>
              <w:jc w:val="center"/>
              <w:rPr>
                <w:color w:val="FFFFFF" w:themeColor="background1"/>
                <w:sz w:val="22"/>
                <w:szCs w:val="18"/>
              </w:rPr>
            </w:pPr>
            <w:r w:rsidRPr="00A3107C">
              <w:rPr>
                <w:b/>
                <w:bCs/>
                <w:color w:val="FFFFFF" w:themeColor="background1"/>
                <w:sz w:val="22"/>
                <w:szCs w:val="18"/>
              </w:rPr>
              <w:t>Male (%)</w:t>
            </w:r>
          </w:p>
        </w:tc>
        <w:tc>
          <w:tcPr>
            <w:tcW w:w="1080" w:type="dxa"/>
            <w:tcBorders>
              <w:top w:val="nil"/>
              <w:left w:val="single" w:sz="12" w:space="0" w:color="auto"/>
              <w:bottom w:val="single" w:sz="12" w:space="0" w:color="auto"/>
              <w:right w:val="single" w:sz="12" w:space="0" w:color="auto"/>
            </w:tcBorders>
            <w:shd w:val="clear" w:color="auto" w:fill="000000"/>
            <w:tcMar>
              <w:top w:w="55" w:type="dxa"/>
              <w:left w:w="71" w:type="dxa"/>
              <w:bottom w:w="55" w:type="dxa"/>
              <w:right w:w="21" w:type="dxa"/>
            </w:tcMar>
            <w:vAlign w:val="center"/>
            <w:hideMark/>
          </w:tcPr>
          <w:p w14:paraId="386B24C5" w14:textId="77777777" w:rsidR="00A3107C" w:rsidRPr="00A3107C" w:rsidRDefault="00A3107C" w:rsidP="007A4F75">
            <w:pPr>
              <w:spacing w:line="480" w:lineRule="auto"/>
              <w:jc w:val="center"/>
              <w:rPr>
                <w:color w:val="FFFFFF" w:themeColor="background1"/>
                <w:sz w:val="22"/>
                <w:szCs w:val="18"/>
              </w:rPr>
            </w:pPr>
            <w:r w:rsidRPr="00A3107C">
              <w:rPr>
                <w:b/>
                <w:bCs/>
                <w:color w:val="FFFFFF" w:themeColor="background1"/>
                <w:sz w:val="22"/>
                <w:szCs w:val="18"/>
              </w:rPr>
              <w:t>ALS (%)</w:t>
            </w:r>
          </w:p>
        </w:tc>
        <w:tc>
          <w:tcPr>
            <w:tcW w:w="1519" w:type="dxa"/>
            <w:tcBorders>
              <w:top w:val="nil"/>
              <w:left w:val="single" w:sz="12" w:space="0" w:color="auto"/>
              <w:bottom w:val="single" w:sz="12" w:space="0" w:color="auto"/>
              <w:right w:val="nil"/>
            </w:tcBorders>
            <w:shd w:val="clear" w:color="auto" w:fill="000000"/>
            <w:tcMar>
              <w:top w:w="55" w:type="dxa"/>
              <w:left w:w="71" w:type="dxa"/>
              <w:bottom w:w="55" w:type="dxa"/>
              <w:right w:w="21" w:type="dxa"/>
            </w:tcMar>
            <w:vAlign w:val="center"/>
            <w:hideMark/>
          </w:tcPr>
          <w:p w14:paraId="016E5FB4" w14:textId="77777777" w:rsidR="00A3107C" w:rsidRPr="00A3107C" w:rsidRDefault="00A3107C" w:rsidP="007A4F75">
            <w:pPr>
              <w:spacing w:line="480" w:lineRule="auto"/>
              <w:jc w:val="center"/>
              <w:rPr>
                <w:color w:val="FFFFFF" w:themeColor="background1"/>
                <w:sz w:val="22"/>
                <w:szCs w:val="18"/>
              </w:rPr>
            </w:pPr>
            <w:r w:rsidRPr="00A3107C">
              <w:rPr>
                <w:b/>
                <w:bCs/>
                <w:color w:val="FFFFFF" w:themeColor="background1"/>
                <w:sz w:val="22"/>
                <w:szCs w:val="18"/>
              </w:rPr>
              <w:t>C9Orf Pos (%)</w:t>
            </w:r>
          </w:p>
        </w:tc>
      </w:tr>
      <w:tr w:rsidR="00A3107C" w:rsidRPr="00A3107C" w14:paraId="68BD7A4F" w14:textId="77777777" w:rsidTr="00751CB4">
        <w:trPr>
          <w:trHeight w:val="252"/>
        </w:trPr>
        <w:tc>
          <w:tcPr>
            <w:tcW w:w="1440" w:type="dxa"/>
            <w:tcBorders>
              <w:top w:val="single" w:sz="12" w:space="0" w:color="auto"/>
              <w:left w:val="single" w:sz="8" w:space="0" w:color="000000"/>
              <w:bottom w:val="single" w:sz="12" w:space="0" w:color="auto"/>
              <w:right w:val="single" w:sz="12" w:space="0" w:color="auto"/>
            </w:tcBorders>
            <w:shd w:val="clear" w:color="auto" w:fill="F6C6AD"/>
            <w:tcMar>
              <w:top w:w="55" w:type="dxa"/>
              <w:left w:w="71" w:type="dxa"/>
              <w:bottom w:w="55" w:type="dxa"/>
              <w:right w:w="21" w:type="dxa"/>
            </w:tcMar>
            <w:hideMark/>
          </w:tcPr>
          <w:p w14:paraId="59022849"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CTX_ALS_1</w:t>
            </w:r>
          </w:p>
        </w:tc>
        <w:tc>
          <w:tcPr>
            <w:tcW w:w="1710" w:type="dxa"/>
            <w:tcBorders>
              <w:top w:val="single" w:sz="12" w:space="0" w:color="auto"/>
              <w:left w:val="single" w:sz="12" w:space="0" w:color="auto"/>
              <w:bottom w:val="single" w:sz="12" w:space="0" w:color="auto"/>
              <w:right w:val="single" w:sz="12" w:space="0" w:color="auto"/>
            </w:tcBorders>
            <w:shd w:val="clear" w:color="auto" w:fill="F6C6AD"/>
            <w:tcMar>
              <w:top w:w="38" w:type="dxa"/>
              <w:left w:w="38" w:type="dxa"/>
              <w:bottom w:w="38" w:type="dxa"/>
              <w:right w:w="38" w:type="dxa"/>
            </w:tcMar>
            <w:hideMark/>
          </w:tcPr>
          <w:p w14:paraId="42D062CE"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66 (±10)</w:t>
            </w:r>
          </w:p>
        </w:tc>
        <w:tc>
          <w:tcPr>
            <w:tcW w:w="1980" w:type="dxa"/>
            <w:tcBorders>
              <w:top w:val="single" w:sz="12" w:space="0" w:color="auto"/>
              <w:left w:val="single" w:sz="12" w:space="0" w:color="auto"/>
              <w:bottom w:val="single" w:sz="12" w:space="0" w:color="auto"/>
              <w:right w:val="single" w:sz="12" w:space="0" w:color="auto"/>
            </w:tcBorders>
            <w:shd w:val="clear" w:color="auto" w:fill="F6C6AD"/>
            <w:tcMar>
              <w:top w:w="38" w:type="dxa"/>
              <w:left w:w="38" w:type="dxa"/>
              <w:bottom w:w="38" w:type="dxa"/>
              <w:right w:w="38" w:type="dxa"/>
            </w:tcMar>
            <w:hideMark/>
          </w:tcPr>
          <w:p w14:paraId="4F6B41BE"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218 (34%)</w:t>
            </w:r>
          </w:p>
        </w:tc>
        <w:tc>
          <w:tcPr>
            <w:tcW w:w="126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60C5E5BF"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48</w:t>
            </w:r>
          </w:p>
        </w:tc>
        <w:tc>
          <w:tcPr>
            <w:tcW w:w="990" w:type="dxa"/>
            <w:tcBorders>
              <w:top w:val="single" w:sz="12" w:space="0" w:color="auto"/>
              <w:left w:val="single" w:sz="12" w:space="0" w:color="auto"/>
              <w:bottom w:val="single" w:sz="12" w:space="0" w:color="auto"/>
              <w:right w:val="single" w:sz="12" w:space="0" w:color="auto"/>
            </w:tcBorders>
            <w:shd w:val="clear" w:color="auto" w:fill="F6C6AD"/>
            <w:tcMar>
              <w:top w:w="38" w:type="dxa"/>
              <w:left w:w="38" w:type="dxa"/>
              <w:bottom w:w="38" w:type="dxa"/>
              <w:right w:w="38" w:type="dxa"/>
            </w:tcMar>
            <w:hideMark/>
          </w:tcPr>
          <w:p w14:paraId="230BB46B"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52</w:t>
            </w:r>
          </w:p>
        </w:tc>
        <w:tc>
          <w:tcPr>
            <w:tcW w:w="108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13153328"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100</w:t>
            </w:r>
          </w:p>
        </w:tc>
        <w:tc>
          <w:tcPr>
            <w:tcW w:w="1519" w:type="dxa"/>
            <w:tcBorders>
              <w:top w:val="single" w:sz="12" w:space="0" w:color="auto"/>
              <w:left w:val="single" w:sz="12" w:space="0" w:color="auto"/>
              <w:bottom w:val="single" w:sz="12" w:space="0" w:color="auto"/>
              <w:right w:val="single" w:sz="8" w:space="0" w:color="000000"/>
            </w:tcBorders>
            <w:shd w:val="clear" w:color="auto" w:fill="F6C6AD"/>
            <w:tcMar>
              <w:top w:w="38" w:type="dxa"/>
              <w:left w:w="38" w:type="dxa"/>
              <w:bottom w:w="38" w:type="dxa"/>
              <w:right w:w="38" w:type="dxa"/>
            </w:tcMar>
            <w:hideMark/>
          </w:tcPr>
          <w:p w14:paraId="2F58478B"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13</w:t>
            </w:r>
          </w:p>
        </w:tc>
      </w:tr>
      <w:tr w:rsidR="00A3107C" w:rsidRPr="00A3107C" w14:paraId="01380EA1" w14:textId="77777777" w:rsidTr="00751CB4">
        <w:trPr>
          <w:trHeight w:val="252"/>
        </w:trPr>
        <w:tc>
          <w:tcPr>
            <w:tcW w:w="1440" w:type="dxa"/>
            <w:tcBorders>
              <w:top w:val="single" w:sz="12" w:space="0" w:color="auto"/>
              <w:left w:val="single" w:sz="8" w:space="0" w:color="000000"/>
              <w:bottom w:val="single" w:sz="12" w:space="0" w:color="auto"/>
              <w:right w:val="single" w:sz="12" w:space="0" w:color="auto"/>
            </w:tcBorders>
            <w:shd w:val="clear" w:color="auto" w:fill="F6C6AD"/>
            <w:tcMar>
              <w:top w:w="55" w:type="dxa"/>
              <w:left w:w="71" w:type="dxa"/>
              <w:bottom w:w="55" w:type="dxa"/>
              <w:right w:w="21" w:type="dxa"/>
            </w:tcMar>
            <w:hideMark/>
          </w:tcPr>
          <w:p w14:paraId="480A083C"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CTX_ALS_2</w:t>
            </w:r>
          </w:p>
        </w:tc>
        <w:tc>
          <w:tcPr>
            <w:tcW w:w="1710" w:type="dxa"/>
            <w:tcBorders>
              <w:top w:val="single" w:sz="12" w:space="0" w:color="auto"/>
              <w:left w:val="single" w:sz="12" w:space="0" w:color="auto"/>
              <w:bottom w:val="single" w:sz="12" w:space="0" w:color="auto"/>
              <w:right w:val="single" w:sz="12" w:space="0" w:color="auto"/>
            </w:tcBorders>
            <w:shd w:val="clear" w:color="auto" w:fill="F6C6AD"/>
            <w:tcMar>
              <w:top w:w="38" w:type="dxa"/>
              <w:left w:w="38" w:type="dxa"/>
              <w:bottom w:w="38" w:type="dxa"/>
              <w:right w:w="38" w:type="dxa"/>
            </w:tcMar>
            <w:hideMark/>
          </w:tcPr>
          <w:p w14:paraId="43EAAFFA"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64 (±10)</w:t>
            </w:r>
          </w:p>
        </w:tc>
        <w:tc>
          <w:tcPr>
            <w:tcW w:w="1980" w:type="dxa"/>
            <w:tcBorders>
              <w:top w:val="single" w:sz="12" w:space="0" w:color="auto"/>
              <w:left w:val="single" w:sz="12" w:space="0" w:color="auto"/>
              <w:bottom w:val="single" w:sz="12" w:space="0" w:color="auto"/>
              <w:right w:val="single" w:sz="12" w:space="0" w:color="auto"/>
            </w:tcBorders>
            <w:shd w:val="clear" w:color="auto" w:fill="F6C6AD"/>
            <w:tcMar>
              <w:top w:w="38" w:type="dxa"/>
              <w:left w:w="38" w:type="dxa"/>
              <w:bottom w:w="38" w:type="dxa"/>
              <w:right w:w="38" w:type="dxa"/>
            </w:tcMar>
            <w:hideMark/>
          </w:tcPr>
          <w:p w14:paraId="1D6DDCEB"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308 (47%)</w:t>
            </w:r>
          </w:p>
        </w:tc>
        <w:tc>
          <w:tcPr>
            <w:tcW w:w="126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1AC0E7B5"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46</w:t>
            </w:r>
          </w:p>
        </w:tc>
        <w:tc>
          <w:tcPr>
            <w:tcW w:w="990" w:type="dxa"/>
            <w:tcBorders>
              <w:top w:val="single" w:sz="12" w:space="0" w:color="auto"/>
              <w:left w:val="single" w:sz="12" w:space="0" w:color="auto"/>
              <w:bottom w:val="single" w:sz="12" w:space="0" w:color="auto"/>
              <w:right w:val="single" w:sz="12" w:space="0" w:color="auto"/>
            </w:tcBorders>
            <w:shd w:val="clear" w:color="auto" w:fill="F6C6AD"/>
            <w:tcMar>
              <w:top w:w="38" w:type="dxa"/>
              <w:left w:w="38" w:type="dxa"/>
              <w:bottom w:w="38" w:type="dxa"/>
              <w:right w:w="38" w:type="dxa"/>
            </w:tcMar>
            <w:hideMark/>
          </w:tcPr>
          <w:p w14:paraId="7585D767"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54</w:t>
            </w:r>
          </w:p>
        </w:tc>
        <w:tc>
          <w:tcPr>
            <w:tcW w:w="108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2AA583A7"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100</w:t>
            </w:r>
          </w:p>
        </w:tc>
        <w:tc>
          <w:tcPr>
            <w:tcW w:w="1519" w:type="dxa"/>
            <w:tcBorders>
              <w:top w:val="single" w:sz="12" w:space="0" w:color="auto"/>
              <w:left w:val="single" w:sz="12" w:space="0" w:color="auto"/>
              <w:bottom w:val="single" w:sz="12" w:space="0" w:color="auto"/>
              <w:right w:val="single" w:sz="8" w:space="0" w:color="000000"/>
            </w:tcBorders>
            <w:shd w:val="clear" w:color="auto" w:fill="F6C6AD"/>
            <w:tcMar>
              <w:top w:w="38" w:type="dxa"/>
              <w:left w:w="38" w:type="dxa"/>
              <w:bottom w:w="38" w:type="dxa"/>
              <w:right w:w="38" w:type="dxa"/>
            </w:tcMar>
            <w:hideMark/>
          </w:tcPr>
          <w:p w14:paraId="2AB8739D"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14</w:t>
            </w:r>
          </w:p>
        </w:tc>
      </w:tr>
      <w:tr w:rsidR="00A3107C" w:rsidRPr="00A3107C" w14:paraId="204126E6" w14:textId="77777777" w:rsidTr="00751CB4">
        <w:trPr>
          <w:trHeight w:val="261"/>
        </w:trPr>
        <w:tc>
          <w:tcPr>
            <w:tcW w:w="1440" w:type="dxa"/>
            <w:tcBorders>
              <w:top w:val="single" w:sz="12" w:space="0" w:color="auto"/>
              <w:left w:val="single" w:sz="8" w:space="0" w:color="000000"/>
              <w:bottom w:val="single" w:sz="12" w:space="0" w:color="auto"/>
              <w:right w:val="single" w:sz="12" w:space="0" w:color="auto"/>
            </w:tcBorders>
            <w:shd w:val="clear" w:color="auto" w:fill="F6C6AD"/>
            <w:tcMar>
              <w:top w:w="55" w:type="dxa"/>
              <w:left w:w="71" w:type="dxa"/>
              <w:bottom w:w="55" w:type="dxa"/>
              <w:right w:w="21" w:type="dxa"/>
            </w:tcMar>
            <w:hideMark/>
          </w:tcPr>
          <w:p w14:paraId="5E95D9A1"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CTX_ALS_3</w:t>
            </w:r>
          </w:p>
        </w:tc>
        <w:tc>
          <w:tcPr>
            <w:tcW w:w="1710" w:type="dxa"/>
            <w:tcBorders>
              <w:top w:val="single" w:sz="12" w:space="0" w:color="auto"/>
              <w:left w:val="single" w:sz="12" w:space="0" w:color="auto"/>
              <w:bottom w:val="single" w:sz="12" w:space="0" w:color="auto"/>
              <w:right w:val="single" w:sz="12" w:space="0" w:color="auto"/>
            </w:tcBorders>
            <w:shd w:val="clear" w:color="auto" w:fill="F6C6AD"/>
            <w:tcMar>
              <w:top w:w="38" w:type="dxa"/>
              <w:left w:w="38" w:type="dxa"/>
              <w:bottom w:w="38" w:type="dxa"/>
              <w:right w:w="38" w:type="dxa"/>
            </w:tcMar>
            <w:hideMark/>
          </w:tcPr>
          <w:p w14:paraId="35CAD699"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66 (±10)</w:t>
            </w:r>
          </w:p>
        </w:tc>
        <w:tc>
          <w:tcPr>
            <w:tcW w:w="1980" w:type="dxa"/>
            <w:tcBorders>
              <w:top w:val="single" w:sz="12" w:space="0" w:color="auto"/>
              <w:left w:val="single" w:sz="12" w:space="0" w:color="auto"/>
              <w:bottom w:val="single" w:sz="12" w:space="0" w:color="auto"/>
              <w:right w:val="single" w:sz="12" w:space="0" w:color="auto"/>
            </w:tcBorders>
            <w:shd w:val="clear" w:color="auto" w:fill="F6C6AD"/>
            <w:tcMar>
              <w:top w:w="38" w:type="dxa"/>
              <w:left w:w="38" w:type="dxa"/>
              <w:bottom w:w="38" w:type="dxa"/>
              <w:right w:w="38" w:type="dxa"/>
            </w:tcMar>
            <w:hideMark/>
          </w:tcPr>
          <w:p w14:paraId="41977A1B"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127 (19%)</w:t>
            </w:r>
          </w:p>
        </w:tc>
        <w:tc>
          <w:tcPr>
            <w:tcW w:w="126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6B34456F"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48</w:t>
            </w:r>
          </w:p>
        </w:tc>
        <w:tc>
          <w:tcPr>
            <w:tcW w:w="990" w:type="dxa"/>
            <w:tcBorders>
              <w:top w:val="single" w:sz="12" w:space="0" w:color="auto"/>
              <w:left w:val="single" w:sz="12" w:space="0" w:color="auto"/>
              <w:bottom w:val="single" w:sz="12" w:space="0" w:color="auto"/>
              <w:right w:val="single" w:sz="12" w:space="0" w:color="auto"/>
            </w:tcBorders>
            <w:shd w:val="clear" w:color="auto" w:fill="F6C6AD"/>
            <w:tcMar>
              <w:top w:w="38" w:type="dxa"/>
              <w:left w:w="38" w:type="dxa"/>
              <w:bottom w:w="38" w:type="dxa"/>
              <w:right w:w="38" w:type="dxa"/>
            </w:tcMar>
            <w:hideMark/>
          </w:tcPr>
          <w:p w14:paraId="4F58952E"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52</w:t>
            </w:r>
          </w:p>
        </w:tc>
        <w:tc>
          <w:tcPr>
            <w:tcW w:w="108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145FE83F"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100</w:t>
            </w:r>
          </w:p>
        </w:tc>
        <w:tc>
          <w:tcPr>
            <w:tcW w:w="1519" w:type="dxa"/>
            <w:tcBorders>
              <w:top w:val="single" w:sz="12" w:space="0" w:color="auto"/>
              <w:left w:val="single" w:sz="12" w:space="0" w:color="auto"/>
              <w:bottom w:val="single" w:sz="12" w:space="0" w:color="auto"/>
              <w:right w:val="single" w:sz="8" w:space="0" w:color="000000"/>
            </w:tcBorders>
            <w:shd w:val="clear" w:color="auto" w:fill="F6C6AD"/>
            <w:tcMar>
              <w:top w:w="38" w:type="dxa"/>
              <w:left w:w="38" w:type="dxa"/>
              <w:bottom w:w="38" w:type="dxa"/>
              <w:right w:w="38" w:type="dxa"/>
            </w:tcMar>
            <w:hideMark/>
          </w:tcPr>
          <w:p w14:paraId="3E5D66E5"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11</w:t>
            </w:r>
          </w:p>
        </w:tc>
      </w:tr>
      <w:tr w:rsidR="00A3107C" w:rsidRPr="00A3107C" w14:paraId="4B8B6A5D" w14:textId="77777777" w:rsidTr="00751CB4">
        <w:trPr>
          <w:trHeight w:val="261"/>
        </w:trPr>
        <w:tc>
          <w:tcPr>
            <w:tcW w:w="1440" w:type="dxa"/>
            <w:tcBorders>
              <w:top w:val="single" w:sz="12" w:space="0" w:color="auto"/>
              <w:left w:val="single" w:sz="8" w:space="0" w:color="000000"/>
              <w:bottom w:val="single" w:sz="12" w:space="0" w:color="auto"/>
              <w:right w:val="single" w:sz="12" w:space="0" w:color="auto"/>
            </w:tcBorders>
            <w:shd w:val="clear" w:color="auto" w:fill="E59EDD"/>
            <w:tcMar>
              <w:top w:w="55" w:type="dxa"/>
              <w:left w:w="71" w:type="dxa"/>
              <w:bottom w:w="55" w:type="dxa"/>
              <w:right w:w="21" w:type="dxa"/>
            </w:tcMar>
            <w:hideMark/>
          </w:tcPr>
          <w:p w14:paraId="7E7E18DF"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SC_ALS_1</w:t>
            </w:r>
          </w:p>
        </w:tc>
        <w:tc>
          <w:tcPr>
            <w:tcW w:w="1710" w:type="dxa"/>
            <w:tcBorders>
              <w:top w:val="single" w:sz="12" w:space="0" w:color="auto"/>
              <w:left w:val="single" w:sz="12" w:space="0" w:color="auto"/>
              <w:bottom w:val="single" w:sz="12" w:space="0" w:color="auto"/>
              <w:right w:val="single" w:sz="12" w:space="0" w:color="auto"/>
            </w:tcBorders>
            <w:shd w:val="clear" w:color="auto" w:fill="E59EDD"/>
            <w:tcMar>
              <w:top w:w="38" w:type="dxa"/>
              <w:left w:w="38" w:type="dxa"/>
              <w:bottom w:w="38" w:type="dxa"/>
              <w:right w:w="38" w:type="dxa"/>
            </w:tcMar>
            <w:hideMark/>
          </w:tcPr>
          <w:p w14:paraId="468D229D"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64 (±11)</w:t>
            </w:r>
          </w:p>
        </w:tc>
        <w:tc>
          <w:tcPr>
            <w:tcW w:w="1980" w:type="dxa"/>
            <w:tcBorders>
              <w:top w:val="single" w:sz="12" w:space="0" w:color="auto"/>
              <w:left w:val="single" w:sz="12" w:space="0" w:color="auto"/>
              <w:bottom w:val="single" w:sz="12" w:space="0" w:color="auto"/>
              <w:right w:val="single" w:sz="12" w:space="0" w:color="auto"/>
            </w:tcBorders>
            <w:shd w:val="clear" w:color="auto" w:fill="E59EDD"/>
            <w:tcMar>
              <w:top w:w="38" w:type="dxa"/>
              <w:left w:w="38" w:type="dxa"/>
              <w:bottom w:w="38" w:type="dxa"/>
              <w:right w:w="38" w:type="dxa"/>
            </w:tcMar>
            <w:hideMark/>
          </w:tcPr>
          <w:p w14:paraId="2F75C7C3"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193 (35%)</w:t>
            </w:r>
          </w:p>
        </w:tc>
        <w:tc>
          <w:tcPr>
            <w:tcW w:w="1260" w:type="dxa"/>
            <w:tcBorders>
              <w:top w:val="single" w:sz="12" w:space="0" w:color="auto"/>
              <w:left w:val="single" w:sz="12" w:space="0" w:color="auto"/>
              <w:bottom w:val="single" w:sz="12" w:space="0" w:color="auto"/>
              <w:right w:val="single" w:sz="12" w:space="0" w:color="auto"/>
            </w:tcBorders>
            <w:shd w:val="clear" w:color="auto" w:fill="E59EDD"/>
            <w:tcMar>
              <w:top w:w="55" w:type="dxa"/>
              <w:left w:w="71" w:type="dxa"/>
              <w:bottom w:w="55" w:type="dxa"/>
              <w:right w:w="21" w:type="dxa"/>
            </w:tcMar>
            <w:hideMark/>
          </w:tcPr>
          <w:p w14:paraId="547D5ECD"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46</w:t>
            </w:r>
          </w:p>
        </w:tc>
        <w:tc>
          <w:tcPr>
            <w:tcW w:w="990" w:type="dxa"/>
            <w:tcBorders>
              <w:top w:val="single" w:sz="12" w:space="0" w:color="auto"/>
              <w:left w:val="single" w:sz="12" w:space="0" w:color="auto"/>
              <w:bottom w:val="single" w:sz="12" w:space="0" w:color="auto"/>
              <w:right w:val="single" w:sz="12" w:space="0" w:color="auto"/>
            </w:tcBorders>
            <w:shd w:val="clear" w:color="auto" w:fill="E59EDD"/>
            <w:tcMar>
              <w:top w:w="38" w:type="dxa"/>
              <w:left w:w="38" w:type="dxa"/>
              <w:bottom w:w="38" w:type="dxa"/>
              <w:right w:w="38" w:type="dxa"/>
            </w:tcMar>
            <w:hideMark/>
          </w:tcPr>
          <w:p w14:paraId="68AACBF1"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54</w:t>
            </w:r>
          </w:p>
        </w:tc>
        <w:tc>
          <w:tcPr>
            <w:tcW w:w="1080" w:type="dxa"/>
            <w:tcBorders>
              <w:top w:val="single" w:sz="12" w:space="0" w:color="auto"/>
              <w:left w:val="single" w:sz="12" w:space="0" w:color="auto"/>
              <w:bottom w:val="single" w:sz="12" w:space="0" w:color="auto"/>
              <w:right w:val="single" w:sz="12" w:space="0" w:color="auto"/>
            </w:tcBorders>
            <w:shd w:val="clear" w:color="auto" w:fill="E59EDD"/>
            <w:tcMar>
              <w:top w:w="55" w:type="dxa"/>
              <w:left w:w="71" w:type="dxa"/>
              <w:bottom w:w="55" w:type="dxa"/>
              <w:right w:w="21" w:type="dxa"/>
            </w:tcMar>
            <w:hideMark/>
          </w:tcPr>
          <w:p w14:paraId="7B5EC4D9"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100</w:t>
            </w:r>
          </w:p>
        </w:tc>
        <w:tc>
          <w:tcPr>
            <w:tcW w:w="1519" w:type="dxa"/>
            <w:tcBorders>
              <w:top w:val="single" w:sz="12" w:space="0" w:color="auto"/>
              <w:left w:val="single" w:sz="12" w:space="0" w:color="auto"/>
              <w:bottom w:val="single" w:sz="12" w:space="0" w:color="auto"/>
              <w:right w:val="single" w:sz="8" w:space="0" w:color="000000"/>
            </w:tcBorders>
            <w:shd w:val="clear" w:color="auto" w:fill="E59EDD"/>
            <w:tcMar>
              <w:top w:w="38" w:type="dxa"/>
              <w:left w:w="38" w:type="dxa"/>
              <w:bottom w:w="38" w:type="dxa"/>
              <w:right w:w="38" w:type="dxa"/>
            </w:tcMar>
            <w:hideMark/>
          </w:tcPr>
          <w:p w14:paraId="7DB2B309"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11</w:t>
            </w:r>
          </w:p>
        </w:tc>
      </w:tr>
      <w:tr w:rsidR="00A3107C" w:rsidRPr="00A3107C" w14:paraId="04661CA7" w14:textId="77777777" w:rsidTr="00751CB4">
        <w:trPr>
          <w:trHeight w:val="361"/>
        </w:trPr>
        <w:tc>
          <w:tcPr>
            <w:tcW w:w="1440" w:type="dxa"/>
            <w:tcBorders>
              <w:top w:val="single" w:sz="12" w:space="0" w:color="auto"/>
              <w:left w:val="single" w:sz="8" w:space="0" w:color="000000"/>
              <w:bottom w:val="single" w:sz="12" w:space="0" w:color="auto"/>
              <w:right w:val="single" w:sz="12" w:space="0" w:color="auto"/>
            </w:tcBorders>
            <w:shd w:val="clear" w:color="auto" w:fill="E59EDD"/>
            <w:tcMar>
              <w:top w:w="55" w:type="dxa"/>
              <w:left w:w="71" w:type="dxa"/>
              <w:bottom w:w="55" w:type="dxa"/>
              <w:right w:w="21" w:type="dxa"/>
            </w:tcMar>
            <w:hideMark/>
          </w:tcPr>
          <w:p w14:paraId="3E7C42A2"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SC_ALS_2</w:t>
            </w:r>
          </w:p>
        </w:tc>
        <w:tc>
          <w:tcPr>
            <w:tcW w:w="1710" w:type="dxa"/>
            <w:tcBorders>
              <w:top w:val="single" w:sz="12" w:space="0" w:color="auto"/>
              <w:left w:val="single" w:sz="12" w:space="0" w:color="auto"/>
              <w:bottom w:val="single" w:sz="12" w:space="0" w:color="auto"/>
              <w:right w:val="single" w:sz="12" w:space="0" w:color="auto"/>
            </w:tcBorders>
            <w:shd w:val="clear" w:color="auto" w:fill="E59EDD"/>
            <w:tcMar>
              <w:top w:w="38" w:type="dxa"/>
              <w:left w:w="38" w:type="dxa"/>
              <w:bottom w:w="38" w:type="dxa"/>
              <w:right w:w="38" w:type="dxa"/>
            </w:tcMar>
            <w:hideMark/>
          </w:tcPr>
          <w:p w14:paraId="40151A51"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66 (±11)</w:t>
            </w:r>
          </w:p>
        </w:tc>
        <w:tc>
          <w:tcPr>
            <w:tcW w:w="1980" w:type="dxa"/>
            <w:tcBorders>
              <w:top w:val="single" w:sz="12" w:space="0" w:color="auto"/>
              <w:left w:val="single" w:sz="12" w:space="0" w:color="auto"/>
              <w:bottom w:val="single" w:sz="12" w:space="0" w:color="auto"/>
              <w:right w:val="single" w:sz="12" w:space="0" w:color="auto"/>
            </w:tcBorders>
            <w:shd w:val="clear" w:color="auto" w:fill="E59EDD"/>
            <w:tcMar>
              <w:top w:w="38" w:type="dxa"/>
              <w:left w:w="38" w:type="dxa"/>
              <w:bottom w:w="38" w:type="dxa"/>
              <w:right w:w="38" w:type="dxa"/>
            </w:tcMar>
            <w:hideMark/>
          </w:tcPr>
          <w:p w14:paraId="049F6AA0"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90 (17%)</w:t>
            </w:r>
          </w:p>
        </w:tc>
        <w:tc>
          <w:tcPr>
            <w:tcW w:w="1260" w:type="dxa"/>
            <w:tcBorders>
              <w:top w:val="single" w:sz="12" w:space="0" w:color="auto"/>
              <w:left w:val="single" w:sz="12" w:space="0" w:color="auto"/>
              <w:bottom w:val="single" w:sz="12" w:space="0" w:color="auto"/>
              <w:right w:val="single" w:sz="12" w:space="0" w:color="auto"/>
            </w:tcBorders>
            <w:shd w:val="clear" w:color="auto" w:fill="E59EDD"/>
            <w:tcMar>
              <w:top w:w="55" w:type="dxa"/>
              <w:left w:w="71" w:type="dxa"/>
              <w:bottom w:w="55" w:type="dxa"/>
              <w:right w:w="21" w:type="dxa"/>
            </w:tcMar>
            <w:hideMark/>
          </w:tcPr>
          <w:p w14:paraId="72CA1D64"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47</w:t>
            </w:r>
          </w:p>
        </w:tc>
        <w:tc>
          <w:tcPr>
            <w:tcW w:w="990" w:type="dxa"/>
            <w:tcBorders>
              <w:top w:val="single" w:sz="12" w:space="0" w:color="auto"/>
              <w:left w:val="single" w:sz="12" w:space="0" w:color="auto"/>
              <w:bottom w:val="single" w:sz="12" w:space="0" w:color="auto"/>
              <w:right w:val="single" w:sz="12" w:space="0" w:color="auto"/>
            </w:tcBorders>
            <w:shd w:val="clear" w:color="auto" w:fill="E59EDD"/>
            <w:tcMar>
              <w:top w:w="38" w:type="dxa"/>
              <w:left w:w="38" w:type="dxa"/>
              <w:bottom w:w="38" w:type="dxa"/>
              <w:right w:w="38" w:type="dxa"/>
            </w:tcMar>
            <w:hideMark/>
          </w:tcPr>
          <w:p w14:paraId="4ED6780B"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53</w:t>
            </w:r>
          </w:p>
        </w:tc>
        <w:tc>
          <w:tcPr>
            <w:tcW w:w="1080" w:type="dxa"/>
            <w:tcBorders>
              <w:top w:val="single" w:sz="12" w:space="0" w:color="auto"/>
              <w:left w:val="single" w:sz="12" w:space="0" w:color="auto"/>
              <w:bottom w:val="single" w:sz="12" w:space="0" w:color="auto"/>
              <w:right w:val="single" w:sz="12" w:space="0" w:color="auto"/>
            </w:tcBorders>
            <w:shd w:val="clear" w:color="auto" w:fill="E59EDD"/>
            <w:tcMar>
              <w:top w:w="55" w:type="dxa"/>
              <w:left w:w="71" w:type="dxa"/>
              <w:bottom w:w="55" w:type="dxa"/>
              <w:right w:w="21" w:type="dxa"/>
            </w:tcMar>
            <w:hideMark/>
          </w:tcPr>
          <w:p w14:paraId="14C81B6F"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100</w:t>
            </w:r>
          </w:p>
        </w:tc>
        <w:tc>
          <w:tcPr>
            <w:tcW w:w="1519" w:type="dxa"/>
            <w:tcBorders>
              <w:top w:val="single" w:sz="12" w:space="0" w:color="auto"/>
              <w:left w:val="single" w:sz="12" w:space="0" w:color="auto"/>
              <w:bottom w:val="single" w:sz="12" w:space="0" w:color="auto"/>
              <w:right w:val="single" w:sz="8" w:space="0" w:color="000000"/>
            </w:tcBorders>
            <w:shd w:val="clear" w:color="auto" w:fill="E59EDD"/>
            <w:tcMar>
              <w:top w:w="38" w:type="dxa"/>
              <w:left w:w="38" w:type="dxa"/>
              <w:bottom w:w="38" w:type="dxa"/>
              <w:right w:w="38" w:type="dxa"/>
            </w:tcMar>
            <w:hideMark/>
          </w:tcPr>
          <w:p w14:paraId="5BD13834"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8</w:t>
            </w:r>
          </w:p>
        </w:tc>
      </w:tr>
      <w:tr w:rsidR="00A3107C" w:rsidRPr="00A3107C" w14:paraId="4C05E3E8" w14:textId="77777777" w:rsidTr="00751CB4">
        <w:trPr>
          <w:trHeight w:val="178"/>
        </w:trPr>
        <w:tc>
          <w:tcPr>
            <w:tcW w:w="1440" w:type="dxa"/>
            <w:tcBorders>
              <w:top w:val="single" w:sz="12" w:space="0" w:color="auto"/>
              <w:left w:val="single" w:sz="8" w:space="0" w:color="000000"/>
              <w:bottom w:val="single" w:sz="12" w:space="0" w:color="auto"/>
              <w:right w:val="single" w:sz="12" w:space="0" w:color="auto"/>
            </w:tcBorders>
            <w:shd w:val="clear" w:color="auto" w:fill="E59EDD"/>
            <w:tcMar>
              <w:top w:w="55" w:type="dxa"/>
              <w:left w:w="71" w:type="dxa"/>
              <w:bottom w:w="55" w:type="dxa"/>
              <w:right w:w="21" w:type="dxa"/>
            </w:tcMar>
            <w:hideMark/>
          </w:tcPr>
          <w:p w14:paraId="5C65EC83"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SC_ALS_3</w:t>
            </w:r>
          </w:p>
        </w:tc>
        <w:tc>
          <w:tcPr>
            <w:tcW w:w="1710" w:type="dxa"/>
            <w:tcBorders>
              <w:top w:val="single" w:sz="12" w:space="0" w:color="auto"/>
              <w:left w:val="single" w:sz="12" w:space="0" w:color="auto"/>
              <w:bottom w:val="single" w:sz="12" w:space="0" w:color="auto"/>
              <w:right w:val="single" w:sz="12" w:space="0" w:color="auto"/>
            </w:tcBorders>
            <w:shd w:val="clear" w:color="auto" w:fill="E59EDD"/>
            <w:tcMar>
              <w:top w:w="38" w:type="dxa"/>
              <w:left w:w="38" w:type="dxa"/>
              <w:bottom w:w="38" w:type="dxa"/>
              <w:right w:w="38" w:type="dxa"/>
            </w:tcMar>
            <w:hideMark/>
          </w:tcPr>
          <w:p w14:paraId="4D2F401F"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65 (±10)</w:t>
            </w:r>
          </w:p>
        </w:tc>
        <w:tc>
          <w:tcPr>
            <w:tcW w:w="1980" w:type="dxa"/>
            <w:tcBorders>
              <w:top w:val="single" w:sz="12" w:space="0" w:color="auto"/>
              <w:left w:val="single" w:sz="12" w:space="0" w:color="auto"/>
              <w:bottom w:val="single" w:sz="12" w:space="0" w:color="auto"/>
              <w:right w:val="single" w:sz="12" w:space="0" w:color="auto"/>
            </w:tcBorders>
            <w:shd w:val="clear" w:color="auto" w:fill="E59EDD"/>
            <w:tcMar>
              <w:top w:w="38" w:type="dxa"/>
              <w:left w:w="38" w:type="dxa"/>
              <w:bottom w:w="38" w:type="dxa"/>
              <w:right w:w="38" w:type="dxa"/>
            </w:tcMar>
            <w:hideMark/>
          </w:tcPr>
          <w:p w14:paraId="28BBB9A2"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263 (48%)</w:t>
            </w:r>
          </w:p>
        </w:tc>
        <w:tc>
          <w:tcPr>
            <w:tcW w:w="1260" w:type="dxa"/>
            <w:tcBorders>
              <w:top w:val="single" w:sz="12" w:space="0" w:color="auto"/>
              <w:left w:val="single" w:sz="12" w:space="0" w:color="auto"/>
              <w:bottom w:val="single" w:sz="12" w:space="0" w:color="auto"/>
              <w:right w:val="single" w:sz="12" w:space="0" w:color="auto"/>
            </w:tcBorders>
            <w:shd w:val="clear" w:color="auto" w:fill="E59EDD"/>
            <w:tcMar>
              <w:top w:w="55" w:type="dxa"/>
              <w:left w:w="71" w:type="dxa"/>
              <w:bottom w:w="55" w:type="dxa"/>
              <w:right w:w="21" w:type="dxa"/>
            </w:tcMar>
            <w:hideMark/>
          </w:tcPr>
          <w:p w14:paraId="44CD438F"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49</w:t>
            </w:r>
          </w:p>
        </w:tc>
        <w:tc>
          <w:tcPr>
            <w:tcW w:w="990" w:type="dxa"/>
            <w:tcBorders>
              <w:top w:val="single" w:sz="12" w:space="0" w:color="auto"/>
              <w:left w:val="single" w:sz="12" w:space="0" w:color="auto"/>
              <w:bottom w:val="single" w:sz="12" w:space="0" w:color="auto"/>
              <w:right w:val="single" w:sz="12" w:space="0" w:color="auto"/>
            </w:tcBorders>
            <w:shd w:val="clear" w:color="auto" w:fill="E59EDD"/>
            <w:tcMar>
              <w:top w:w="38" w:type="dxa"/>
              <w:left w:w="38" w:type="dxa"/>
              <w:bottom w:w="38" w:type="dxa"/>
              <w:right w:w="38" w:type="dxa"/>
            </w:tcMar>
            <w:hideMark/>
          </w:tcPr>
          <w:p w14:paraId="11A59846"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51</w:t>
            </w:r>
          </w:p>
        </w:tc>
        <w:tc>
          <w:tcPr>
            <w:tcW w:w="1080" w:type="dxa"/>
            <w:tcBorders>
              <w:top w:val="single" w:sz="12" w:space="0" w:color="auto"/>
              <w:left w:val="single" w:sz="12" w:space="0" w:color="auto"/>
              <w:bottom w:val="single" w:sz="12" w:space="0" w:color="auto"/>
              <w:right w:val="single" w:sz="12" w:space="0" w:color="auto"/>
            </w:tcBorders>
            <w:shd w:val="clear" w:color="auto" w:fill="E59EDD"/>
            <w:tcMar>
              <w:top w:w="55" w:type="dxa"/>
              <w:left w:w="71" w:type="dxa"/>
              <w:bottom w:w="55" w:type="dxa"/>
              <w:right w:w="21" w:type="dxa"/>
            </w:tcMar>
            <w:hideMark/>
          </w:tcPr>
          <w:p w14:paraId="18CF684F"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100</w:t>
            </w:r>
          </w:p>
        </w:tc>
        <w:tc>
          <w:tcPr>
            <w:tcW w:w="1519" w:type="dxa"/>
            <w:tcBorders>
              <w:top w:val="single" w:sz="12" w:space="0" w:color="auto"/>
              <w:left w:val="single" w:sz="12" w:space="0" w:color="auto"/>
              <w:bottom w:val="single" w:sz="12" w:space="0" w:color="auto"/>
              <w:right w:val="single" w:sz="8" w:space="0" w:color="000000"/>
            </w:tcBorders>
            <w:shd w:val="clear" w:color="auto" w:fill="E59EDD"/>
            <w:tcMar>
              <w:top w:w="38" w:type="dxa"/>
              <w:left w:w="38" w:type="dxa"/>
              <w:bottom w:w="38" w:type="dxa"/>
              <w:right w:w="38" w:type="dxa"/>
            </w:tcMar>
            <w:hideMark/>
          </w:tcPr>
          <w:p w14:paraId="67E15EFC"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15</w:t>
            </w:r>
          </w:p>
        </w:tc>
      </w:tr>
      <w:tr w:rsidR="00A3107C" w:rsidRPr="00A3107C" w14:paraId="5FB070AE" w14:textId="77777777" w:rsidTr="00751CB4">
        <w:trPr>
          <w:trHeight w:val="279"/>
        </w:trPr>
        <w:tc>
          <w:tcPr>
            <w:tcW w:w="1440" w:type="dxa"/>
            <w:tcBorders>
              <w:top w:val="single" w:sz="12" w:space="0" w:color="auto"/>
              <w:left w:val="single" w:sz="8" w:space="0" w:color="000000"/>
              <w:bottom w:val="single" w:sz="12" w:space="0" w:color="auto"/>
              <w:right w:val="single" w:sz="12" w:space="0" w:color="auto"/>
            </w:tcBorders>
            <w:shd w:val="clear" w:color="auto" w:fill="F6C6AD"/>
            <w:tcMar>
              <w:top w:w="55" w:type="dxa"/>
              <w:left w:w="71" w:type="dxa"/>
              <w:bottom w:w="55" w:type="dxa"/>
              <w:right w:w="21" w:type="dxa"/>
            </w:tcMar>
            <w:hideMark/>
          </w:tcPr>
          <w:p w14:paraId="19050683"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CTX_ALSC_1</w:t>
            </w:r>
          </w:p>
        </w:tc>
        <w:tc>
          <w:tcPr>
            <w:tcW w:w="171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70D79126"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64 (±12)</w:t>
            </w:r>
          </w:p>
        </w:tc>
        <w:tc>
          <w:tcPr>
            <w:tcW w:w="198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18E85C89"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147 (16%)</w:t>
            </w:r>
          </w:p>
        </w:tc>
        <w:tc>
          <w:tcPr>
            <w:tcW w:w="126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2532C5D1"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48</w:t>
            </w:r>
          </w:p>
        </w:tc>
        <w:tc>
          <w:tcPr>
            <w:tcW w:w="99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27DBB8CC"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52</w:t>
            </w:r>
          </w:p>
        </w:tc>
        <w:tc>
          <w:tcPr>
            <w:tcW w:w="108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334D23BB"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73</w:t>
            </w:r>
          </w:p>
        </w:tc>
        <w:tc>
          <w:tcPr>
            <w:tcW w:w="1519" w:type="dxa"/>
            <w:tcBorders>
              <w:top w:val="single" w:sz="12" w:space="0" w:color="auto"/>
              <w:left w:val="single" w:sz="12" w:space="0" w:color="auto"/>
              <w:bottom w:val="single" w:sz="12" w:space="0" w:color="auto"/>
              <w:right w:val="single" w:sz="8" w:space="0" w:color="000000"/>
            </w:tcBorders>
            <w:shd w:val="clear" w:color="auto" w:fill="F6C6AD"/>
            <w:tcMar>
              <w:top w:w="55" w:type="dxa"/>
              <w:left w:w="71" w:type="dxa"/>
              <w:bottom w:w="55" w:type="dxa"/>
              <w:right w:w="21" w:type="dxa"/>
            </w:tcMar>
            <w:hideMark/>
          </w:tcPr>
          <w:p w14:paraId="31608A8F"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16</w:t>
            </w:r>
          </w:p>
        </w:tc>
      </w:tr>
      <w:tr w:rsidR="00A3107C" w:rsidRPr="00A3107C" w14:paraId="73DC51DC" w14:textId="77777777" w:rsidTr="00751CB4">
        <w:trPr>
          <w:trHeight w:val="279"/>
        </w:trPr>
        <w:tc>
          <w:tcPr>
            <w:tcW w:w="1440" w:type="dxa"/>
            <w:tcBorders>
              <w:top w:val="single" w:sz="12" w:space="0" w:color="auto"/>
              <w:left w:val="single" w:sz="8" w:space="0" w:color="000000"/>
              <w:bottom w:val="single" w:sz="12" w:space="0" w:color="auto"/>
              <w:right w:val="single" w:sz="12" w:space="0" w:color="auto"/>
            </w:tcBorders>
            <w:shd w:val="clear" w:color="auto" w:fill="F6C6AD"/>
            <w:tcMar>
              <w:top w:w="55" w:type="dxa"/>
              <w:left w:w="71" w:type="dxa"/>
              <w:bottom w:w="55" w:type="dxa"/>
              <w:right w:w="21" w:type="dxa"/>
            </w:tcMar>
            <w:hideMark/>
          </w:tcPr>
          <w:p w14:paraId="0EDFB029"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CTX_ALSC_2</w:t>
            </w:r>
          </w:p>
        </w:tc>
        <w:tc>
          <w:tcPr>
            <w:tcW w:w="171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3675CC6B"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64 (±11)</w:t>
            </w:r>
          </w:p>
        </w:tc>
        <w:tc>
          <w:tcPr>
            <w:tcW w:w="198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602FEF33"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148 (16%)</w:t>
            </w:r>
          </w:p>
        </w:tc>
        <w:tc>
          <w:tcPr>
            <w:tcW w:w="126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29F85890"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52</w:t>
            </w:r>
          </w:p>
        </w:tc>
        <w:tc>
          <w:tcPr>
            <w:tcW w:w="99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376A4868"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48</w:t>
            </w:r>
          </w:p>
        </w:tc>
        <w:tc>
          <w:tcPr>
            <w:tcW w:w="108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03688B30"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83</w:t>
            </w:r>
          </w:p>
        </w:tc>
        <w:tc>
          <w:tcPr>
            <w:tcW w:w="1519" w:type="dxa"/>
            <w:tcBorders>
              <w:top w:val="single" w:sz="12" w:space="0" w:color="auto"/>
              <w:left w:val="single" w:sz="12" w:space="0" w:color="auto"/>
              <w:bottom w:val="single" w:sz="12" w:space="0" w:color="auto"/>
              <w:right w:val="single" w:sz="8" w:space="0" w:color="000000"/>
            </w:tcBorders>
            <w:shd w:val="clear" w:color="auto" w:fill="F6C6AD"/>
            <w:tcMar>
              <w:top w:w="55" w:type="dxa"/>
              <w:left w:w="71" w:type="dxa"/>
              <w:bottom w:w="55" w:type="dxa"/>
              <w:right w:w="21" w:type="dxa"/>
            </w:tcMar>
            <w:hideMark/>
          </w:tcPr>
          <w:p w14:paraId="5CB055E6"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16</w:t>
            </w:r>
          </w:p>
        </w:tc>
      </w:tr>
      <w:tr w:rsidR="00A3107C" w:rsidRPr="00A3107C" w14:paraId="482D4DA7" w14:textId="77777777" w:rsidTr="00751CB4">
        <w:trPr>
          <w:trHeight w:val="197"/>
        </w:trPr>
        <w:tc>
          <w:tcPr>
            <w:tcW w:w="1440" w:type="dxa"/>
            <w:tcBorders>
              <w:top w:val="single" w:sz="12" w:space="0" w:color="auto"/>
              <w:left w:val="single" w:sz="8" w:space="0" w:color="000000"/>
              <w:bottom w:val="single" w:sz="12" w:space="0" w:color="auto"/>
              <w:right w:val="single" w:sz="12" w:space="0" w:color="auto"/>
            </w:tcBorders>
            <w:shd w:val="clear" w:color="auto" w:fill="F6C6AD"/>
            <w:tcMar>
              <w:top w:w="55" w:type="dxa"/>
              <w:left w:w="71" w:type="dxa"/>
              <w:bottom w:w="55" w:type="dxa"/>
              <w:right w:w="21" w:type="dxa"/>
            </w:tcMar>
            <w:hideMark/>
          </w:tcPr>
          <w:p w14:paraId="663D680B"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CTX_ALSC_3</w:t>
            </w:r>
          </w:p>
        </w:tc>
        <w:tc>
          <w:tcPr>
            <w:tcW w:w="171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5CCD6967"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68 (±10)</w:t>
            </w:r>
          </w:p>
        </w:tc>
        <w:tc>
          <w:tcPr>
            <w:tcW w:w="198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4F51747A"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183 (20%)</w:t>
            </w:r>
          </w:p>
        </w:tc>
        <w:tc>
          <w:tcPr>
            <w:tcW w:w="126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02EE40EB"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42</w:t>
            </w:r>
          </w:p>
        </w:tc>
        <w:tc>
          <w:tcPr>
            <w:tcW w:w="99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093D2D9F"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58</w:t>
            </w:r>
          </w:p>
        </w:tc>
        <w:tc>
          <w:tcPr>
            <w:tcW w:w="108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0B0BF3BA"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31</w:t>
            </w:r>
          </w:p>
        </w:tc>
        <w:tc>
          <w:tcPr>
            <w:tcW w:w="1519" w:type="dxa"/>
            <w:tcBorders>
              <w:top w:val="single" w:sz="12" w:space="0" w:color="auto"/>
              <w:left w:val="single" w:sz="12" w:space="0" w:color="auto"/>
              <w:bottom w:val="single" w:sz="12" w:space="0" w:color="auto"/>
              <w:right w:val="single" w:sz="8" w:space="0" w:color="000000"/>
            </w:tcBorders>
            <w:shd w:val="clear" w:color="auto" w:fill="F6C6AD"/>
            <w:tcMar>
              <w:top w:w="55" w:type="dxa"/>
              <w:left w:w="71" w:type="dxa"/>
              <w:bottom w:w="55" w:type="dxa"/>
              <w:right w:w="21" w:type="dxa"/>
            </w:tcMar>
            <w:hideMark/>
          </w:tcPr>
          <w:p w14:paraId="6491CB33"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11</w:t>
            </w:r>
          </w:p>
        </w:tc>
      </w:tr>
      <w:tr w:rsidR="00A3107C" w:rsidRPr="00A3107C" w14:paraId="1BC4163E" w14:textId="77777777" w:rsidTr="00751CB4">
        <w:trPr>
          <w:trHeight w:val="206"/>
        </w:trPr>
        <w:tc>
          <w:tcPr>
            <w:tcW w:w="1440" w:type="dxa"/>
            <w:tcBorders>
              <w:top w:val="single" w:sz="12" w:space="0" w:color="auto"/>
              <w:left w:val="single" w:sz="8" w:space="0" w:color="000000"/>
              <w:bottom w:val="single" w:sz="12" w:space="0" w:color="auto"/>
              <w:right w:val="single" w:sz="12" w:space="0" w:color="auto"/>
            </w:tcBorders>
            <w:shd w:val="clear" w:color="auto" w:fill="F6C6AD"/>
            <w:tcMar>
              <w:top w:w="55" w:type="dxa"/>
              <w:left w:w="71" w:type="dxa"/>
              <w:bottom w:w="55" w:type="dxa"/>
              <w:right w:w="21" w:type="dxa"/>
            </w:tcMar>
            <w:hideMark/>
          </w:tcPr>
          <w:p w14:paraId="0D08E8B9"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CTX_ALSC_4</w:t>
            </w:r>
          </w:p>
        </w:tc>
        <w:tc>
          <w:tcPr>
            <w:tcW w:w="171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29D4A7A6"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65  (±11)</w:t>
            </w:r>
          </w:p>
        </w:tc>
        <w:tc>
          <w:tcPr>
            <w:tcW w:w="198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5E3045BF"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445 (48%)</w:t>
            </w:r>
          </w:p>
        </w:tc>
        <w:tc>
          <w:tcPr>
            <w:tcW w:w="126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7CF0A44C"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43</w:t>
            </w:r>
          </w:p>
        </w:tc>
        <w:tc>
          <w:tcPr>
            <w:tcW w:w="99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36DBF7BD"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57</w:t>
            </w:r>
          </w:p>
        </w:tc>
        <w:tc>
          <w:tcPr>
            <w:tcW w:w="1080" w:type="dxa"/>
            <w:tcBorders>
              <w:top w:val="single" w:sz="12" w:space="0" w:color="auto"/>
              <w:left w:val="single" w:sz="12" w:space="0" w:color="auto"/>
              <w:bottom w:val="single" w:sz="12" w:space="0" w:color="auto"/>
              <w:right w:val="single" w:sz="12" w:space="0" w:color="auto"/>
            </w:tcBorders>
            <w:shd w:val="clear" w:color="auto" w:fill="F6C6AD"/>
            <w:tcMar>
              <w:top w:w="55" w:type="dxa"/>
              <w:left w:w="71" w:type="dxa"/>
              <w:bottom w:w="55" w:type="dxa"/>
              <w:right w:w="21" w:type="dxa"/>
            </w:tcMar>
            <w:hideMark/>
          </w:tcPr>
          <w:p w14:paraId="2FBBD884"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82</w:t>
            </w:r>
          </w:p>
        </w:tc>
        <w:tc>
          <w:tcPr>
            <w:tcW w:w="1519" w:type="dxa"/>
            <w:tcBorders>
              <w:top w:val="single" w:sz="12" w:space="0" w:color="auto"/>
              <w:left w:val="single" w:sz="12" w:space="0" w:color="auto"/>
              <w:bottom w:val="single" w:sz="12" w:space="0" w:color="auto"/>
              <w:right w:val="single" w:sz="8" w:space="0" w:color="000000"/>
            </w:tcBorders>
            <w:shd w:val="clear" w:color="auto" w:fill="F6C6AD"/>
            <w:tcMar>
              <w:top w:w="55" w:type="dxa"/>
              <w:left w:w="71" w:type="dxa"/>
              <w:bottom w:w="55" w:type="dxa"/>
              <w:right w:w="21" w:type="dxa"/>
            </w:tcMar>
            <w:hideMark/>
          </w:tcPr>
          <w:p w14:paraId="546E0509"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10</w:t>
            </w:r>
          </w:p>
        </w:tc>
      </w:tr>
      <w:tr w:rsidR="00A3107C" w:rsidRPr="00A3107C" w14:paraId="21563543" w14:textId="77777777" w:rsidTr="00751CB4">
        <w:trPr>
          <w:trHeight w:val="390"/>
        </w:trPr>
        <w:tc>
          <w:tcPr>
            <w:tcW w:w="1440" w:type="dxa"/>
            <w:tcBorders>
              <w:top w:val="single" w:sz="12" w:space="0" w:color="auto"/>
              <w:left w:val="single" w:sz="8" w:space="0" w:color="000000"/>
              <w:bottom w:val="single" w:sz="12" w:space="0" w:color="auto"/>
              <w:right w:val="single" w:sz="12" w:space="0" w:color="auto"/>
            </w:tcBorders>
            <w:shd w:val="clear" w:color="auto" w:fill="E59EDD"/>
            <w:tcMar>
              <w:top w:w="144" w:type="dxa"/>
              <w:left w:w="187" w:type="dxa"/>
              <w:bottom w:w="144" w:type="dxa"/>
              <w:right w:w="55" w:type="dxa"/>
            </w:tcMar>
            <w:hideMark/>
          </w:tcPr>
          <w:p w14:paraId="4C96188C"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SC_ALSC_1</w:t>
            </w:r>
          </w:p>
        </w:tc>
        <w:tc>
          <w:tcPr>
            <w:tcW w:w="171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35388C66"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63 (±12)</w:t>
            </w:r>
          </w:p>
        </w:tc>
        <w:tc>
          <w:tcPr>
            <w:tcW w:w="198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556F0137"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112 (17%)</w:t>
            </w:r>
          </w:p>
        </w:tc>
        <w:tc>
          <w:tcPr>
            <w:tcW w:w="126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1E8E84DB"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47</w:t>
            </w:r>
          </w:p>
        </w:tc>
        <w:tc>
          <w:tcPr>
            <w:tcW w:w="99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5C8B9249"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53</w:t>
            </w:r>
          </w:p>
        </w:tc>
        <w:tc>
          <w:tcPr>
            <w:tcW w:w="108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7177D45B"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73</w:t>
            </w:r>
          </w:p>
        </w:tc>
        <w:tc>
          <w:tcPr>
            <w:tcW w:w="1519" w:type="dxa"/>
            <w:tcBorders>
              <w:top w:val="single" w:sz="12" w:space="0" w:color="auto"/>
              <w:left w:val="single" w:sz="12" w:space="0" w:color="auto"/>
              <w:bottom w:val="single" w:sz="12" w:space="0" w:color="auto"/>
              <w:right w:val="single" w:sz="8" w:space="0" w:color="000000"/>
            </w:tcBorders>
            <w:shd w:val="clear" w:color="auto" w:fill="E59EDD"/>
            <w:tcMar>
              <w:top w:w="144" w:type="dxa"/>
              <w:left w:w="187" w:type="dxa"/>
              <w:bottom w:w="144" w:type="dxa"/>
              <w:right w:w="55" w:type="dxa"/>
            </w:tcMar>
            <w:hideMark/>
          </w:tcPr>
          <w:p w14:paraId="1D1A9F19"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5</w:t>
            </w:r>
          </w:p>
        </w:tc>
      </w:tr>
      <w:tr w:rsidR="00A3107C" w:rsidRPr="00A3107C" w14:paraId="2398CA73" w14:textId="77777777" w:rsidTr="00751CB4">
        <w:trPr>
          <w:trHeight w:val="106"/>
        </w:trPr>
        <w:tc>
          <w:tcPr>
            <w:tcW w:w="1440" w:type="dxa"/>
            <w:tcBorders>
              <w:top w:val="single" w:sz="12" w:space="0" w:color="auto"/>
              <w:left w:val="single" w:sz="8" w:space="0" w:color="000000"/>
              <w:bottom w:val="single" w:sz="12" w:space="0" w:color="auto"/>
              <w:right w:val="single" w:sz="12" w:space="0" w:color="auto"/>
            </w:tcBorders>
            <w:shd w:val="clear" w:color="auto" w:fill="E59EDD"/>
            <w:tcMar>
              <w:top w:w="144" w:type="dxa"/>
              <w:left w:w="187" w:type="dxa"/>
              <w:bottom w:w="144" w:type="dxa"/>
              <w:right w:w="55" w:type="dxa"/>
            </w:tcMar>
            <w:hideMark/>
          </w:tcPr>
          <w:p w14:paraId="03460124"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SC_ALSC_2</w:t>
            </w:r>
          </w:p>
        </w:tc>
        <w:tc>
          <w:tcPr>
            <w:tcW w:w="171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2FA68597"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65 (±11)</w:t>
            </w:r>
          </w:p>
        </w:tc>
        <w:tc>
          <w:tcPr>
            <w:tcW w:w="198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225FBE96"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321 (48%)</w:t>
            </w:r>
          </w:p>
        </w:tc>
        <w:tc>
          <w:tcPr>
            <w:tcW w:w="126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4E1F4AF8"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45</w:t>
            </w:r>
          </w:p>
        </w:tc>
        <w:tc>
          <w:tcPr>
            <w:tcW w:w="99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218BFB11"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55</w:t>
            </w:r>
          </w:p>
        </w:tc>
        <w:tc>
          <w:tcPr>
            <w:tcW w:w="108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122B6F07"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88</w:t>
            </w:r>
          </w:p>
        </w:tc>
        <w:tc>
          <w:tcPr>
            <w:tcW w:w="1519" w:type="dxa"/>
            <w:tcBorders>
              <w:top w:val="single" w:sz="12" w:space="0" w:color="auto"/>
              <w:left w:val="single" w:sz="12" w:space="0" w:color="auto"/>
              <w:bottom w:val="single" w:sz="12" w:space="0" w:color="auto"/>
              <w:right w:val="single" w:sz="8" w:space="0" w:color="000000"/>
            </w:tcBorders>
            <w:shd w:val="clear" w:color="auto" w:fill="E59EDD"/>
            <w:tcMar>
              <w:top w:w="144" w:type="dxa"/>
              <w:left w:w="187" w:type="dxa"/>
              <w:bottom w:w="144" w:type="dxa"/>
              <w:right w:w="55" w:type="dxa"/>
            </w:tcMar>
            <w:hideMark/>
          </w:tcPr>
          <w:p w14:paraId="274F2DB2"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12</w:t>
            </w:r>
          </w:p>
        </w:tc>
      </w:tr>
      <w:tr w:rsidR="00A3107C" w:rsidRPr="00A3107C" w14:paraId="62A4EF5D" w14:textId="77777777" w:rsidTr="00751CB4">
        <w:trPr>
          <w:trHeight w:val="280"/>
        </w:trPr>
        <w:tc>
          <w:tcPr>
            <w:tcW w:w="1440" w:type="dxa"/>
            <w:tcBorders>
              <w:top w:val="single" w:sz="12" w:space="0" w:color="auto"/>
              <w:left w:val="single" w:sz="8" w:space="0" w:color="000000"/>
              <w:bottom w:val="single" w:sz="12" w:space="0" w:color="auto"/>
              <w:right w:val="single" w:sz="12" w:space="0" w:color="auto"/>
            </w:tcBorders>
            <w:shd w:val="clear" w:color="auto" w:fill="E59EDD"/>
            <w:tcMar>
              <w:top w:w="144" w:type="dxa"/>
              <w:left w:w="187" w:type="dxa"/>
              <w:bottom w:w="144" w:type="dxa"/>
              <w:right w:w="55" w:type="dxa"/>
            </w:tcMar>
            <w:hideMark/>
          </w:tcPr>
          <w:p w14:paraId="379B6DE0"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SC_ALSC_3</w:t>
            </w:r>
          </w:p>
        </w:tc>
        <w:tc>
          <w:tcPr>
            <w:tcW w:w="171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60D30AE2"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63 (±12)</w:t>
            </w:r>
          </w:p>
        </w:tc>
        <w:tc>
          <w:tcPr>
            <w:tcW w:w="198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1B555825"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148 (22%)</w:t>
            </w:r>
          </w:p>
        </w:tc>
        <w:tc>
          <w:tcPr>
            <w:tcW w:w="126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34234754"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48</w:t>
            </w:r>
          </w:p>
        </w:tc>
        <w:tc>
          <w:tcPr>
            <w:tcW w:w="99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48742AB8"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52</w:t>
            </w:r>
          </w:p>
        </w:tc>
        <w:tc>
          <w:tcPr>
            <w:tcW w:w="108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2B97C071"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91</w:t>
            </w:r>
          </w:p>
        </w:tc>
        <w:tc>
          <w:tcPr>
            <w:tcW w:w="1519" w:type="dxa"/>
            <w:tcBorders>
              <w:top w:val="single" w:sz="12" w:space="0" w:color="auto"/>
              <w:left w:val="single" w:sz="12" w:space="0" w:color="auto"/>
              <w:bottom w:val="single" w:sz="12" w:space="0" w:color="auto"/>
              <w:right w:val="single" w:sz="8" w:space="0" w:color="000000"/>
            </w:tcBorders>
            <w:shd w:val="clear" w:color="auto" w:fill="E59EDD"/>
            <w:tcMar>
              <w:top w:w="144" w:type="dxa"/>
              <w:left w:w="187" w:type="dxa"/>
              <w:bottom w:w="144" w:type="dxa"/>
              <w:right w:w="55" w:type="dxa"/>
            </w:tcMar>
            <w:hideMark/>
          </w:tcPr>
          <w:p w14:paraId="77BE8298"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16</w:t>
            </w:r>
          </w:p>
        </w:tc>
      </w:tr>
      <w:tr w:rsidR="00A3107C" w:rsidRPr="00A3107C" w14:paraId="01A8421B" w14:textId="77777777" w:rsidTr="00751CB4">
        <w:trPr>
          <w:trHeight w:val="115"/>
        </w:trPr>
        <w:tc>
          <w:tcPr>
            <w:tcW w:w="1440" w:type="dxa"/>
            <w:tcBorders>
              <w:top w:val="single" w:sz="12" w:space="0" w:color="auto"/>
              <w:left w:val="single" w:sz="8" w:space="0" w:color="000000"/>
              <w:bottom w:val="single" w:sz="12" w:space="0" w:color="auto"/>
              <w:right w:val="single" w:sz="12" w:space="0" w:color="auto"/>
            </w:tcBorders>
            <w:shd w:val="clear" w:color="auto" w:fill="E59EDD"/>
            <w:tcMar>
              <w:top w:w="144" w:type="dxa"/>
              <w:left w:w="187" w:type="dxa"/>
              <w:bottom w:w="144" w:type="dxa"/>
              <w:right w:w="55" w:type="dxa"/>
            </w:tcMar>
            <w:hideMark/>
          </w:tcPr>
          <w:p w14:paraId="6C7F9D39"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SC_ALSC_4</w:t>
            </w:r>
          </w:p>
        </w:tc>
        <w:tc>
          <w:tcPr>
            <w:tcW w:w="171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76BF76C2"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69 (±11)</w:t>
            </w:r>
          </w:p>
        </w:tc>
        <w:tc>
          <w:tcPr>
            <w:tcW w:w="198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2A3BF5C7"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89 (13%)</w:t>
            </w:r>
          </w:p>
        </w:tc>
        <w:tc>
          <w:tcPr>
            <w:tcW w:w="126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59508C2A"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52</w:t>
            </w:r>
          </w:p>
        </w:tc>
        <w:tc>
          <w:tcPr>
            <w:tcW w:w="99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021DFBEE"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48</w:t>
            </w:r>
          </w:p>
        </w:tc>
        <w:tc>
          <w:tcPr>
            <w:tcW w:w="1080" w:type="dxa"/>
            <w:tcBorders>
              <w:top w:val="single" w:sz="12" w:space="0" w:color="auto"/>
              <w:left w:val="single" w:sz="12" w:space="0" w:color="auto"/>
              <w:bottom w:val="single" w:sz="12" w:space="0" w:color="auto"/>
              <w:right w:val="single" w:sz="12" w:space="0" w:color="auto"/>
            </w:tcBorders>
            <w:shd w:val="clear" w:color="auto" w:fill="E59EDD"/>
            <w:tcMar>
              <w:top w:w="144" w:type="dxa"/>
              <w:left w:w="187" w:type="dxa"/>
              <w:bottom w:w="144" w:type="dxa"/>
              <w:right w:w="55" w:type="dxa"/>
            </w:tcMar>
            <w:hideMark/>
          </w:tcPr>
          <w:p w14:paraId="535696AD" w14:textId="77777777" w:rsidR="00A3107C" w:rsidRPr="00A3107C" w:rsidRDefault="00A3107C" w:rsidP="007A4F75">
            <w:pPr>
              <w:spacing w:line="480" w:lineRule="auto"/>
              <w:jc w:val="center"/>
              <w:rPr>
                <w:color w:val="000000" w:themeColor="text1"/>
                <w:sz w:val="22"/>
                <w:szCs w:val="18"/>
              </w:rPr>
            </w:pPr>
            <w:r w:rsidRPr="00A3107C">
              <w:rPr>
                <w:color w:val="000000" w:themeColor="text1"/>
                <w:sz w:val="22"/>
                <w:szCs w:val="18"/>
              </w:rPr>
              <w:t>54</w:t>
            </w:r>
          </w:p>
        </w:tc>
        <w:tc>
          <w:tcPr>
            <w:tcW w:w="1519" w:type="dxa"/>
            <w:tcBorders>
              <w:top w:val="single" w:sz="12" w:space="0" w:color="auto"/>
              <w:left w:val="single" w:sz="12" w:space="0" w:color="auto"/>
              <w:bottom w:val="single" w:sz="12" w:space="0" w:color="auto"/>
              <w:right w:val="single" w:sz="8" w:space="0" w:color="000000"/>
            </w:tcBorders>
            <w:shd w:val="clear" w:color="auto" w:fill="E59EDD"/>
            <w:tcMar>
              <w:top w:w="144" w:type="dxa"/>
              <w:left w:w="187" w:type="dxa"/>
              <w:bottom w:w="144" w:type="dxa"/>
              <w:right w:w="55" w:type="dxa"/>
            </w:tcMar>
            <w:hideMark/>
          </w:tcPr>
          <w:p w14:paraId="3BDF540D" w14:textId="77777777" w:rsidR="00A3107C" w:rsidRPr="00A3107C" w:rsidRDefault="00A3107C" w:rsidP="007A4F75">
            <w:pPr>
              <w:spacing w:line="480" w:lineRule="auto"/>
              <w:jc w:val="center"/>
              <w:rPr>
                <w:color w:val="000000" w:themeColor="text1"/>
                <w:sz w:val="22"/>
                <w:szCs w:val="18"/>
              </w:rPr>
            </w:pPr>
            <w:r w:rsidRPr="00A3107C">
              <w:rPr>
                <w:color w:val="0D0D0D" w:themeColor="text1" w:themeTint="F2"/>
                <w:sz w:val="22"/>
                <w:szCs w:val="18"/>
              </w:rPr>
              <w:t>4</w:t>
            </w:r>
          </w:p>
        </w:tc>
      </w:tr>
    </w:tbl>
    <w:p w14:paraId="2EFCAEF2" w14:textId="2BC23A9A" w:rsidR="00A3107C" w:rsidRPr="00A3107C" w:rsidRDefault="00A3107C" w:rsidP="00A3107C">
      <w:pPr>
        <w:spacing w:line="480" w:lineRule="auto"/>
        <w:rPr>
          <w:b/>
          <w:bCs/>
          <w:sz w:val="22"/>
          <w:szCs w:val="18"/>
          <w:u w:val="single"/>
        </w:rPr>
      </w:pPr>
      <w:r w:rsidRPr="00A3107C">
        <w:rPr>
          <w:b/>
          <w:bCs/>
          <w:sz w:val="22"/>
          <w:szCs w:val="18"/>
        </w:rPr>
        <w:t xml:space="preserve">Supplementary Table 4. </w:t>
      </w:r>
      <w:r w:rsidRPr="00A3107C">
        <w:rPr>
          <w:sz w:val="22"/>
          <w:szCs w:val="18"/>
          <w:u w:val="single"/>
        </w:rPr>
        <w:t>Demographics of each of the NMF clusters</w:t>
      </w:r>
    </w:p>
    <w:p w14:paraId="2ED0490A" w14:textId="77777777" w:rsidR="00A3107C" w:rsidRPr="00A3107C" w:rsidRDefault="00A3107C" w:rsidP="00A3107C">
      <w:pPr>
        <w:spacing w:line="480" w:lineRule="auto"/>
        <w:rPr>
          <w:sz w:val="22"/>
          <w:szCs w:val="18"/>
        </w:rPr>
      </w:pPr>
      <w:r w:rsidRPr="00A3107C">
        <w:rPr>
          <w:sz w:val="22"/>
          <w:szCs w:val="18"/>
        </w:rPr>
        <w:t>CTX = cortex; SC = spinal cord; ALS = ALS patients only; ALSC = ALS patients and controls</w:t>
      </w:r>
    </w:p>
    <w:p w14:paraId="1E8824E7" w14:textId="77777777" w:rsidR="00A3107C" w:rsidRPr="00A3107C" w:rsidRDefault="00A3107C" w:rsidP="00BF46AA">
      <w:pPr>
        <w:rPr>
          <w:sz w:val="22"/>
          <w:szCs w:val="22"/>
          <w:lang w:val="en-GB"/>
        </w:rPr>
      </w:pPr>
    </w:p>
    <w:p w14:paraId="0197412B" w14:textId="77777777" w:rsidR="00205365" w:rsidRPr="00A3107C" w:rsidRDefault="00205365" w:rsidP="00BF46AA">
      <w:pPr>
        <w:rPr>
          <w:sz w:val="22"/>
          <w:szCs w:val="22"/>
          <w:lang w:val="en-GB"/>
        </w:rPr>
      </w:pPr>
    </w:p>
    <w:p w14:paraId="034C48CE" w14:textId="77777777" w:rsidR="00532F8E" w:rsidRPr="00A3107C" w:rsidRDefault="00532F8E" w:rsidP="00BF46AA">
      <w:pPr>
        <w:rPr>
          <w:sz w:val="22"/>
          <w:szCs w:val="22"/>
          <w:lang w:val="en-GB"/>
        </w:rPr>
      </w:pPr>
    </w:p>
    <w:p w14:paraId="0F88F90E" w14:textId="77777777" w:rsidR="00532F8E" w:rsidRPr="00A3107C" w:rsidRDefault="00532F8E" w:rsidP="00BF46AA">
      <w:pPr>
        <w:rPr>
          <w:sz w:val="22"/>
          <w:szCs w:val="22"/>
          <w:lang w:val="en-GB"/>
        </w:rPr>
      </w:pPr>
    </w:p>
    <w:p w14:paraId="2B244152" w14:textId="5CDB65C6" w:rsidR="00BB240B" w:rsidRPr="00A3107C" w:rsidRDefault="00565EC6" w:rsidP="00BF46AA">
      <w:pPr>
        <w:rPr>
          <w:b/>
          <w:bCs/>
          <w:sz w:val="22"/>
          <w:szCs w:val="22"/>
          <w:lang w:val="en-GB"/>
        </w:rPr>
      </w:pPr>
      <w:r w:rsidRPr="00A3107C">
        <w:rPr>
          <w:b/>
          <w:bCs/>
          <w:sz w:val="22"/>
          <w:szCs w:val="22"/>
          <w:lang w:val="en-GB"/>
        </w:rPr>
        <w:lastRenderedPageBreak/>
        <w:t>SUPPLEMENTAL METHODS</w:t>
      </w:r>
    </w:p>
    <w:p w14:paraId="2A00E046" w14:textId="77777777" w:rsidR="00565EC6" w:rsidRPr="00A3107C" w:rsidRDefault="00565EC6" w:rsidP="00565EC6">
      <w:pPr>
        <w:tabs>
          <w:tab w:val="left" w:pos="90"/>
        </w:tabs>
        <w:rPr>
          <w:sz w:val="22"/>
          <w:szCs w:val="22"/>
        </w:rPr>
      </w:pPr>
    </w:p>
    <w:p w14:paraId="7EA8A881" w14:textId="77777777" w:rsidR="00565EC6" w:rsidRPr="00A3107C" w:rsidRDefault="00565EC6" w:rsidP="00565EC6">
      <w:pPr>
        <w:tabs>
          <w:tab w:val="left" w:pos="90"/>
        </w:tabs>
        <w:rPr>
          <w:b/>
          <w:bCs/>
          <w:sz w:val="22"/>
          <w:szCs w:val="22"/>
          <w:lang w:val="en-GB"/>
        </w:rPr>
      </w:pPr>
      <w:bookmarkStart w:id="10" w:name="_Toc159840987"/>
      <w:r w:rsidRPr="00A3107C">
        <w:rPr>
          <w:b/>
          <w:bCs/>
          <w:sz w:val="22"/>
          <w:szCs w:val="22"/>
          <w:lang w:val="en-GB"/>
        </w:rPr>
        <w:t>Non-negative matrix factorizatio</w:t>
      </w:r>
      <w:bookmarkEnd w:id="10"/>
      <w:r w:rsidRPr="00A3107C">
        <w:rPr>
          <w:b/>
          <w:bCs/>
          <w:sz w:val="22"/>
          <w:szCs w:val="22"/>
          <w:lang w:val="en-GB"/>
        </w:rPr>
        <w:t>n</w:t>
      </w:r>
    </w:p>
    <w:p w14:paraId="27555D38" w14:textId="1A1A81DD" w:rsidR="00565EC6" w:rsidRPr="00A3107C" w:rsidRDefault="00565EC6" w:rsidP="00565EC6">
      <w:pPr>
        <w:tabs>
          <w:tab w:val="left" w:pos="90"/>
        </w:tabs>
        <w:rPr>
          <w:sz w:val="22"/>
          <w:szCs w:val="22"/>
        </w:rPr>
      </w:pPr>
      <w:r w:rsidRPr="00A3107C">
        <w:rPr>
          <w:sz w:val="22"/>
          <w:szCs w:val="22"/>
          <w:lang w:val="en-GB"/>
        </w:rPr>
        <w:t xml:space="preserve">Non-negative matrix factorization (NMF) is an unsupervised algorithm for matrix decomposition used to identify meaningful clusters of samples based on their transcriptional patterns. The optimum cluster number was determined primarily by looking for the local maximum of the cophenetic coefficient </w:t>
      </w:r>
      <w:sdt>
        <w:sdtPr>
          <w:rPr>
            <w:color w:val="000000"/>
            <w:sz w:val="22"/>
            <w:szCs w:val="22"/>
            <w:vertAlign w:val="superscript"/>
            <w:lang w:val="en-GB"/>
          </w:rPr>
          <w:tag w:val="MENDELEY_CITATION_v3_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"/>
          <w:id w:val="1925917166"/>
          <w:placeholder>
            <w:docPart w:val="FB0BB4E6076148E28C43F1F78AD22514"/>
          </w:placeholder>
        </w:sdtPr>
        <w:sdtContent>
          <w:r w:rsidR="00F73B07" w:rsidRPr="00A3107C">
            <w:rPr>
              <w:color w:val="000000"/>
              <w:sz w:val="22"/>
              <w:szCs w:val="18"/>
              <w:vertAlign w:val="superscript"/>
            </w:rPr>
            <w:t>1</w:t>
          </w:r>
        </w:sdtContent>
      </w:sdt>
      <w:r w:rsidRPr="00A3107C">
        <w:rPr>
          <w:sz w:val="22"/>
          <w:szCs w:val="22"/>
          <w:lang w:val="en-GB"/>
        </w:rPr>
        <w:t xml:space="preserve"> and the silhouette width </w:t>
      </w:r>
      <w:sdt>
        <w:sdtPr>
          <w:rPr>
            <w:color w:val="000000"/>
            <w:sz w:val="22"/>
            <w:szCs w:val="22"/>
            <w:vertAlign w:val="superscript"/>
            <w:lang w:val="en-GB"/>
          </w:rPr>
          <w:tag w:val="MENDELEY_CITATION_v3_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"/>
          <w:id w:val="612627531"/>
          <w:placeholder>
            <w:docPart w:val="FB0BB4E6076148E28C43F1F78AD22514"/>
          </w:placeholder>
        </w:sdtPr>
        <w:sdtContent>
          <w:r w:rsidR="00F73B07" w:rsidRPr="00A3107C">
            <w:rPr>
              <w:color w:val="000000"/>
              <w:sz w:val="22"/>
              <w:szCs w:val="18"/>
              <w:vertAlign w:val="superscript"/>
            </w:rPr>
            <w:t>2</w:t>
          </w:r>
        </w:sdtContent>
      </w:sdt>
      <w:r w:rsidRPr="00A3107C">
        <w:rPr>
          <w:sz w:val="22"/>
          <w:szCs w:val="22"/>
          <w:lang w:val="en-GB"/>
        </w:rPr>
        <w:t>. An example of the process to determine NMF cluster number is highlighted in Supplementary Figure 1.</w:t>
      </w:r>
    </w:p>
    <w:p w14:paraId="10E5E6AB" w14:textId="77777777" w:rsidR="00565EC6" w:rsidRPr="00A3107C" w:rsidRDefault="00565EC6" w:rsidP="00565EC6">
      <w:pPr>
        <w:tabs>
          <w:tab w:val="left" w:pos="90"/>
        </w:tabs>
        <w:rPr>
          <w:sz w:val="22"/>
          <w:szCs w:val="22"/>
          <w:lang w:val="en-GB"/>
        </w:rPr>
      </w:pPr>
    </w:p>
    <w:p w14:paraId="5ECEDFDF" w14:textId="6D239034" w:rsidR="00565EC6" w:rsidRPr="00A3107C" w:rsidRDefault="00565EC6" w:rsidP="00565EC6">
      <w:pPr>
        <w:tabs>
          <w:tab w:val="left" w:pos="90"/>
        </w:tabs>
        <w:rPr>
          <w:sz w:val="22"/>
          <w:szCs w:val="22"/>
          <w:lang w:val="en-GB"/>
        </w:rPr>
      </w:pPr>
      <w:r w:rsidRPr="00A3107C">
        <w:rPr>
          <w:sz w:val="22"/>
          <w:szCs w:val="22"/>
          <w:lang w:val="en-GB"/>
        </w:rPr>
        <w:t xml:space="preserve">R scripts used to perform the NMF analysis and subsequent PCA, DEA, and heatmaps were modified from the single-cell RNA-seq analysis and klustering evaluation (SAKE) algorithm </w:t>
      </w:r>
      <w:sdt>
        <w:sdtPr>
          <w:rPr>
            <w:color w:val="000000"/>
            <w:sz w:val="22"/>
            <w:szCs w:val="22"/>
            <w:vertAlign w:val="superscript"/>
            <w:lang w:val="en-GB"/>
          </w:rPr>
          <w:tag w:val="MENDELEY_CITATION_v3_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"/>
          <w:id w:val="-405152985"/>
          <w:placeholder>
            <w:docPart w:val="77335A12FFB04957AA4994D6FF0D97FB"/>
          </w:placeholder>
        </w:sdtPr>
        <w:sdtContent>
          <w:r w:rsidR="00F73B07" w:rsidRPr="00A3107C">
            <w:rPr>
              <w:color w:val="000000"/>
              <w:sz w:val="22"/>
              <w:szCs w:val="18"/>
              <w:vertAlign w:val="superscript"/>
            </w:rPr>
            <w:t>3</w:t>
          </w:r>
        </w:sdtContent>
      </w:sdt>
      <w:r w:rsidRPr="00A3107C">
        <w:rPr>
          <w:sz w:val="22"/>
          <w:szCs w:val="22"/>
          <w:lang w:val="en-GB"/>
        </w:rPr>
        <w:t xml:space="preserve"> </w:t>
      </w:r>
      <w:r w:rsidRPr="00A3107C">
        <w:rPr>
          <w:sz w:val="22"/>
          <w:szCs w:val="22"/>
          <w:vertAlign w:val="superscript"/>
          <w:lang w:val="en-GB"/>
        </w:rPr>
        <w:t xml:space="preserve"> </w:t>
      </w:r>
      <w:r w:rsidRPr="00A3107C">
        <w:rPr>
          <w:sz w:val="22"/>
          <w:szCs w:val="22"/>
          <w:lang w:val="en-GB"/>
        </w:rPr>
        <w:t>with permission from the authors. The general equation of NMF, in this application, where M is the original matrix of transcript abundance measures with g genes and p samples; F is a matrix with g genes and k clusters; and C is a matrix of k clusters and p samples, is:</w:t>
      </w:r>
    </w:p>
    <w:p w14:paraId="416F5F3B" w14:textId="77777777" w:rsidR="00565EC6" w:rsidRPr="00A3107C" w:rsidRDefault="00565EC6" w:rsidP="00565EC6">
      <w:pPr>
        <w:tabs>
          <w:tab w:val="left" w:pos="90"/>
        </w:tabs>
        <w:rPr>
          <w:sz w:val="22"/>
          <w:szCs w:val="22"/>
          <w:lang w:val="en-GB"/>
        </w:rPr>
      </w:pPr>
    </w:p>
    <w:p w14:paraId="68A51F84" w14:textId="77777777" w:rsidR="00565EC6" w:rsidRPr="00A3107C" w:rsidRDefault="00000000" w:rsidP="00565EC6">
      <w:pPr>
        <w:tabs>
          <w:tab w:val="left" w:pos="90"/>
        </w:tabs>
        <w:rPr>
          <w:sz w:val="22"/>
          <w:szCs w:val="22"/>
          <w:lang w:val="en-GB"/>
        </w:rPr>
      </w:pPr>
      <m:oMathPara>
        <m:oMath>
          <m:sSub>
            <m:sSubPr>
              <m:ctrlPr>
                <w:rPr>
                  <w:rFonts w:ascii="Cambria Math" w:hAnsi="Cambria Math"/>
                  <w:i/>
                  <w:sz w:val="22"/>
                  <w:szCs w:val="22"/>
                  <w:lang w:val="en-GB"/>
                </w:rPr>
              </m:ctrlPr>
            </m:sSubPr>
            <m:e>
              <m:r>
                <w:rPr>
                  <w:rFonts w:ascii="Cambria Math" w:hAnsi="Cambria Math"/>
                  <w:sz w:val="22"/>
                  <w:szCs w:val="22"/>
                  <w:lang w:val="en-GB"/>
                </w:rPr>
                <m:t>M</m:t>
              </m:r>
            </m:e>
            <m:sub>
              <m:r>
                <w:rPr>
                  <w:rFonts w:ascii="Cambria Math" w:hAnsi="Cambria Math"/>
                  <w:sz w:val="22"/>
                  <w:szCs w:val="22"/>
                  <w:lang w:val="en-GB"/>
                </w:rPr>
                <m:t>g,p</m:t>
              </m:r>
            </m:sub>
          </m:sSub>
          <m:r>
            <w:rPr>
              <w:rFonts w:ascii="Cambria Math" w:hAnsi="Cambria Math"/>
              <w:sz w:val="22"/>
              <w:szCs w:val="22"/>
              <w:lang w:val="en-GB"/>
            </w:rPr>
            <m:t>≈</m:t>
          </m:r>
          <m:sSub>
            <m:sSubPr>
              <m:ctrlPr>
                <w:rPr>
                  <w:rFonts w:ascii="Cambria Math" w:hAnsi="Cambria Math"/>
                  <w:i/>
                  <w:sz w:val="22"/>
                  <w:szCs w:val="22"/>
                  <w:lang w:val="en-GB"/>
                </w:rPr>
              </m:ctrlPr>
            </m:sSubPr>
            <m:e>
              <m:r>
                <w:rPr>
                  <w:rFonts w:ascii="Cambria Math" w:hAnsi="Cambria Math"/>
                  <w:sz w:val="22"/>
                  <w:szCs w:val="22"/>
                  <w:lang w:val="en-GB"/>
                </w:rPr>
                <m:t>F</m:t>
              </m:r>
            </m:e>
            <m:sub>
              <m:r>
                <w:rPr>
                  <w:rFonts w:ascii="Cambria Math" w:hAnsi="Cambria Math"/>
                  <w:sz w:val="22"/>
                  <w:szCs w:val="22"/>
                  <w:lang w:val="en-GB"/>
                </w:rPr>
                <m:t>g,k</m:t>
              </m:r>
            </m:sub>
          </m:sSub>
          <m:r>
            <w:rPr>
              <w:rFonts w:ascii="Cambria Math" w:hAnsi="Cambria Math"/>
              <w:sz w:val="22"/>
              <w:szCs w:val="22"/>
              <w:lang w:val="en-GB"/>
            </w:rPr>
            <m:t xml:space="preserve"> × </m:t>
          </m:r>
          <m:sSub>
            <m:sSubPr>
              <m:ctrlPr>
                <w:rPr>
                  <w:rFonts w:ascii="Cambria Math" w:hAnsi="Cambria Math"/>
                  <w:i/>
                  <w:sz w:val="22"/>
                  <w:szCs w:val="22"/>
                  <w:lang w:val="en-GB"/>
                </w:rPr>
              </m:ctrlPr>
            </m:sSubPr>
            <m:e>
              <m:r>
                <w:rPr>
                  <w:rFonts w:ascii="Cambria Math" w:hAnsi="Cambria Math"/>
                  <w:sz w:val="22"/>
                  <w:szCs w:val="22"/>
                  <w:lang w:val="en-GB"/>
                </w:rPr>
                <m:t>C</m:t>
              </m:r>
            </m:e>
            <m:sub>
              <m:r>
                <w:rPr>
                  <w:rFonts w:ascii="Cambria Math" w:hAnsi="Cambria Math"/>
                  <w:sz w:val="22"/>
                  <w:szCs w:val="22"/>
                  <w:lang w:val="en-GB"/>
                </w:rPr>
                <m:t>k,p</m:t>
              </m:r>
            </m:sub>
          </m:sSub>
        </m:oMath>
      </m:oMathPara>
    </w:p>
    <w:p w14:paraId="21B6F6ED" w14:textId="77777777" w:rsidR="00565EC6" w:rsidRPr="00A3107C" w:rsidRDefault="00565EC6" w:rsidP="00565EC6">
      <w:pPr>
        <w:tabs>
          <w:tab w:val="left" w:pos="90"/>
        </w:tabs>
        <w:rPr>
          <w:sz w:val="22"/>
          <w:szCs w:val="22"/>
          <w:lang w:val="en-GB"/>
        </w:rPr>
      </w:pPr>
    </w:p>
    <w:p w14:paraId="032BB220" w14:textId="77777777" w:rsidR="00565EC6" w:rsidRPr="00A3107C" w:rsidRDefault="00565EC6" w:rsidP="00565EC6">
      <w:pPr>
        <w:tabs>
          <w:tab w:val="left" w:pos="90"/>
        </w:tabs>
        <w:rPr>
          <w:sz w:val="22"/>
          <w:szCs w:val="22"/>
          <w:lang w:val="en-GB"/>
        </w:rPr>
      </w:pPr>
      <w:r w:rsidRPr="00A3107C">
        <w:rPr>
          <w:sz w:val="22"/>
          <w:szCs w:val="22"/>
          <w:lang w:val="en-GB"/>
        </w:rPr>
        <w:t xml:space="preserve">Beyond the tools in SAKE, a measurement of the robustness of the NMF clustering to individual samples called stability was implemented for both ALS only (ALS) and ALS and controls (ALSC) NMF analyses. The stability metric leverages the fact that multiple samples can come from the same subject in both the cortex (CTX) and spinal cord (SC). Stability is calculated by dividing the number of samples provided by a subject in each cluster by all samples provided by the individual across all clusters. A stability of 1 indicates that all samples derived from the same individual in a CNS region (i.e. CTX or SC) were assigned to the same cluster. This is represented by this formula, where </w:t>
      </w:r>
      <m:oMath>
        <m:r>
          <w:rPr>
            <w:rFonts w:ascii="Cambria Math" w:hAnsi="Cambria Math"/>
            <w:sz w:val="22"/>
            <w:szCs w:val="22"/>
            <w:lang w:val="en-GB"/>
          </w:rPr>
          <m:t>σ</m:t>
        </m:r>
      </m:oMath>
      <w:r w:rsidRPr="00A3107C">
        <w:rPr>
          <w:sz w:val="22"/>
          <w:szCs w:val="22"/>
          <w:lang w:val="en-GB"/>
        </w:rPr>
        <w:t xml:space="preserve"> is the stability for subject P, n is the number of samples, i is the cluster number, and N is the total number of clusters:</w:t>
      </w:r>
    </w:p>
    <w:p w14:paraId="3E5D28CD" w14:textId="77777777" w:rsidR="00565EC6" w:rsidRPr="00A3107C" w:rsidRDefault="00000000" w:rsidP="00565EC6">
      <w:pPr>
        <w:tabs>
          <w:tab w:val="left" w:pos="90"/>
        </w:tabs>
        <w:rPr>
          <w:sz w:val="22"/>
          <w:szCs w:val="22"/>
          <w:lang w:val="en-GB"/>
        </w:rPr>
      </w:pPr>
      <m:oMathPara>
        <m:oMath>
          <m:sSub>
            <m:sSubPr>
              <m:ctrlPr>
                <w:rPr>
                  <w:rFonts w:ascii="Cambria Math" w:hAnsi="Cambria Math"/>
                  <w:i/>
                  <w:sz w:val="22"/>
                  <w:szCs w:val="22"/>
                  <w:lang w:val="en-GB"/>
                </w:rPr>
              </m:ctrlPr>
            </m:sSubPr>
            <m:e>
              <m:r>
                <w:rPr>
                  <w:rFonts w:ascii="Cambria Math" w:hAnsi="Cambria Math"/>
                  <w:sz w:val="22"/>
                  <w:szCs w:val="22"/>
                  <w:lang w:val="en-GB"/>
                </w:rPr>
                <m:t>σ</m:t>
              </m:r>
            </m:e>
            <m:sub>
              <m:r>
                <w:rPr>
                  <w:rFonts w:ascii="Cambria Math" w:hAnsi="Cambria Math"/>
                  <w:sz w:val="22"/>
                  <w:szCs w:val="22"/>
                  <w:lang w:val="en-GB"/>
                </w:rPr>
                <m:t>P</m:t>
              </m:r>
            </m:sub>
          </m:sSub>
          <m:r>
            <w:rPr>
              <w:rFonts w:ascii="Cambria Math" w:hAnsi="Cambria Math"/>
              <w:sz w:val="22"/>
              <w:szCs w:val="22"/>
              <w:lang w:val="en-GB"/>
            </w:rPr>
            <m:t xml:space="preserve">= </m:t>
          </m:r>
          <m:f>
            <m:fPr>
              <m:ctrlPr>
                <w:rPr>
                  <w:rFonts w:ascii="Cambria Math" w:hAnsi="Cambria Math"/>
                  <w:i/>
                  <w:sz w:val="22"/>
                  <w:szCs w:val="22"/>
                  <w:lang w:val="en-GB"/>
                </w:rPr>
              </m:ctrlPr>
            </m:fPr>
            <m:num>
              <m:sSub>
                <m:sSubPr>
                  <m:ctrlPr>
                    <w:rPr>
                      <w:rFonts w:ascii="Cambria Math" w:hAnsi="Cambria Math"/>
                      <w:i/>
                      <w:sz w:val="22"/>
                      <w:szCs w:val="22"/>
                      <w:lang w:val="en-GB"/>
                    </w:rPr>
                  </m:ctrlPr>
                </m:sSubPr>
                <m:e>
                  <m:r>
                    <w:rPr>
                      <w:rFonts w:ascii="Cambria Math" w:hAnsi="Cambria Math"/>
                      <w:sz w:val="22"/>
                      <w:szCs w:val="22"/>
                      <w:lang w:val="en-GB"/>
                    </w:rPr>
                    <m:t>n</m:t>
                  </m:r>
                </m:e>
                <m:sub>
                  <m:r>
                    <w:rPr>
                      <w:rFonts w:ascii="Cambria Math" w:hAnsi="Cambria Math"/>
                      <w:sz w:val="22"/>
                      <w:szCs w:val="22"/>
                      <w:lang w:val="en-GB"/>
                    </w:rPr>
                    <m:t>i,P</m:t>
                  </m:r>
                </m:sub>
              </m:sSub>
            </m:num>
            <m:den>
              <m:nary>
                <m:naryPr>
                  <m:chr m:val="∑"/>
                  <m:limLoc m:val="undOvr"/>
                  <m:ctrlPr>
                    <w:rPr>
                      <w:rFonts w:ascii="Cambria Math" w:hAnsi="Cambria Math"/>
                      <w:i/>
                      <w:sz w:val="22"/>
                      <w:szCs w:val="22"/>
                      <w:lang w:val="en-GB"/>
                    </w:rPr>
                  </m:ctrlPr>
                </m:naryPr>
                <m:sub>
                  <m:r>
                    <w:rPr>
                      <w:rFonts w:ascii="Cambria Math" w:hAnsi="Cambria Math"/>
                      <w:sz w:val="22"/>
                      <w:szCs w:val="22"/>
                      <w:lang w:val="en-GB"/>
                    </w:rPr>
                    <m:t>i=1</m:t>
                  </m:r>
                </m:sub>
                <m:sup>
                  <m:r>
                    <w:rPr>
                      <w:rFonts w:ascii="Cambria Math" w:hAnsi="Cambria Math"/>
                      <w:sz w:val="22"/>
                      <w:szCs w:val="22"/>
                      <w:lang w:val="en-GB"/>
                    </w:rPr>
                    <m:t>N</m:t>
                  </m:r>
                </m:sup>
                <m:e>
                  <m:sSub>
                    <m:sSubPr>
                      <m:ctrlPr>
                        <w:rPr>
                          <w:rFonts w:ascii="Cambria Math" w:hAnsi="Cambria Math"/>
                          <w:i/>
                          <w:sz w:val="22"/>
                          <w:szCs w:val="22"/>
                          <w:lang w:val="en-GB"/>
                        </w:rPr>
                      </m:ctrlPr>
                    </m:sSubPr>
                    <m:e>
                      <m:r>
                        <w:rPr>
                          <w:rFonts w:ascii="Cambria Math" w:hAnsi="Cambria Math"/>
                          <w:sz w:val="22"/>
                          <w:szCs w:val="22"/>
                          <w:lang w:val="en-GB"/>
                        </w:rPr>
                        <m:t>n</m:t>
                      </m:r>
                    </m:e>
                    <m:sub>
                      <m:r>
                        <w:rPr>
                          <w:rFonts w:ascii="Cambria Math" w:hAnsi="Cambria Math"/>
                          <w:sz w:val="22"/>
                          <w:szCs w:val="22"/>
                          <w:lang w:val="en-GB"/>
                        </w:rPr>
                        <m:t>P</m:t>
                      </m:r>
                    </m:sub>
                  </m:sSub>
                </m:e>
              </m:nary>
            </m:den>
          </m:f>
        </m:oMath>
      </m:oMathPara>
    </w:p>
    <w:p w14:paraId="16F31CA4" w14:textId="77777777" w:rsidR="00565EC6" w:rsidRPr="00A3107C" w:rsidRDefault="00565EC6" w:rsidP="00565EC6">
      <w:pPr>
        <w:tabs>
          <w:tab w:val="left" w:pos="90"/>
        </w:tabs>
        <w:rPr>
          <w:sz w:val="22"/>
          <w:szCs w:val="22"/>
          <w:lang w:val="en-GB"/>
        </w:rPr>
      </w:pPr>
      <w:r w:rsidRPr="00A3107C">
        <w:rPr>
          <w:sz w:val="22"/>
          <w:szCs w:val="22"/>
          <w:lang w:val="en-GB"/>
        </w:rPr>
        <w:t xml:space="preserve">One-sample Wilcoxon signed rank test was performed with </w:t>
      </w:r>
      <w:r w:rsidRPr="00A3107C">
        <w:rPr>
          <w:sz w:val="22"/>
          <w:szCs w:val="22"/>
          <w:lang w:val="en-GB"/>
        </w:rPr>
        <w:sym w:font="Symbol" w:char="F06D"/>
      </w:r>
      <w:r w:rsidRPr="00A3107C">
        <w:rPr>
          <w:sz w:val="22"/>
          <w:szCs w:val="22"/>
          <w:lang w:val="en-GB"/>
        </w:rPr>
        <w:t xml:space="preserve"> = 1/median number of samples per patient. In both the CTX and SC, </w:t>
      </w:r>
      <w:r w:rsidRPr="00A3107C">
        <w:rPr>
          <w:sz w:val="22"/>
          <w:szCs w:val="22"/>
          <w:lang w:val="en-GB"/>
        </w:rPr>
        <w:sym w:font="Symbol" w:char="F06D"/>
      </w:r>
      <w:r w:rsidRPr="00A3107C">
        <w:rPr>
          <w:sz w:val="22"/>
          <w:szCs w:val="22"/>
          <w:lang w:val="en-GB"/>
        </w:rPr>
        <w:t xml:space="preserve"> = 0.5, median = 2 and the mean was between 2 and 3. Each of the fourteen clusters (four in CTX and SC for ALSC analysis and three in CTX and SC in ALS analysis) had a significantly higher stability than would be expected by chance even when accounting for multiple comparisons using FDR (Supplementary Figure 2). In general, the ALSC analysis had a high median stability (at least 75%) for three of the four NMF clusters, whereas the ALS analysis had a cluster with high median stability in one of three clusters. However, there was variability in terms of stability between NMF clusters: CTX_ALSC_2 and SC_ALSC_1 in the SC both had the lowest median stability (50%) for their respective CNS regions, while CTX_ALS_1 and SC_ALS_1 and SC_ALS_2 had the lowest median stabilities in the ALS analysis (50%). Interestingly, these were generally not the largest clusters in their respective analysis, so the lower stability is not due to a greater number of samples (Supplementary Figure 2).</w:t>
      </w:r>
    </w:p>
    <w:p w14:paraId="079E73BB" w14:textId="77777777" w:rsidR="00565EC6" w:rsidRPr="00A3107C" w:rsidRDefault="00565EC6" w:rsidP="00565EC6">
      <w:pPr>
        <w:tabs>
          <w:tab w:val="left" w:pos="90"/>
        </w:tabs>
        <w:rPr>
          <w:sz w:val="22"/>
          <w:szCs w:val="22"/>
          <w:lang w:val="en-GB"/>
        </w:rPr>
      </w:pPr>
    </w:p>
    <w:p w14:paraId="64CA9098" w14:textId="77777777" w:rsidR="00565EC6" w:rsidRPr="00A3107C" w:rsidRDefault="00565EC6" w:rsidP="00565EC6">
      <w:pPr>
        <w:tabs>
          <w:tab w:val="left" w:pos="90"/>
        </w:tabs>
        <w:rPr>
          <w:b/>
          <w:bCs/>
          <w:sz w:val="22"/>
          <w:szCs w:val="22"/>
          <w:lang w:val="en-GB"/>
        </w:rPr>
      </w:pPr>
      <w:bookmarkStart w:id="11" w:name="_Toc159840988"/>
      <w:bookmarkStart w:id="12" w:name="_Hlk172282387"/>
      <w:r w:rsidRPr="00A3107C">
        <w:rPr>
          <w:b/>
          <w:bCs/>
          <w:sz w:val="22"/>
          <w:szCs w:val="22"/>
          <w:lang w:val="en-GB"/>
        </w:rPr>
        <w:t>Random Forest C</w:t>
      </w:r>
      <w:bookmarkEnd w:id="11"/>
      <w:r w:rsidRPr="00A3107C">
        <w:rPr>
          <w:b/>
          <w:bCs/>
          <w:sz w:val="22"/>
          <w:szCs w:val="22"/>
          <w:lang w:val="en-GB"/>
        </w:rPr>
        <w:t>lassification</w:t>
      </w:r>
    </w:p>
    <w:bookmarkEnd w:id="12"/>
    <w:p w14:paraId="4A19F1E2" w14:textId="77777777" w:rsidR="00565EC6" w:rsidRPr="00A3107C" w:rsidRDefault="00565EC6" w:rsidP="00565EC6">
      <w:pPr>
        <w:tabs>
          <w:tab w:val="left" w:pos="90"/>
        </w:tabs>
        <w:rPr>
          <w:sz w:val="22"/>
          <w:szCs w:val="22"/>
          <w:lang w:val="en-GB"/>
        </w:rPr>
      </w:pPr>
      <w:r w:rsidRPr="00A3107C">
        <w:rPr>
          <w:sz w:val="22"/>
          <w:szCs w:val="22"/>
          <w:lang w:val="en-GB"/>
        </w:rPr>
        <w:t xml:space="preserve">Random forest classification (RFC) was applied to predict NMF cluster based on sample demographics/phenotype. The variables used were biological sex, ethnicity, patient status, family history of ALS or frontotemporal dementia (FTD), FTD with motor neurone disease (MND), MND with dementia, site of motor symptom onset, genetic mutations, </w:t>
      </w:r>
      <w:r w:rsidRPr="00A3107C">
        <w:rPr>
          <w:i/>
          <w:iCs/>
          <w:sz w:val="22"/>
          <w:szCs w:val="22"/>
          <w:lang w:val="en-GB"/>
        </w:rPr>
        <w:t>C9ORF72</w:t>
      </w:r>
      <w:r w:rsidRPr="00A3107C">
        <w:rPr>
          <w:sz w:val="22"/>
          <w:szCs w:val="22"/>
          <w:lang w:val="en-GB"/>
        </w:rPr>
        <w:t xml:space="preserve"> and </w:t>
      </w:r>
      <w:r w:rsidRPr="00A3107C">
        <w:rPr>
          <w:i/>
          <w:iCs/>
          <w:sz w:val="22"/>
          <w:szCs w:val="22"/>
          <w:lang w:val="en-GB"/>
        </w:rPr>
        <w:t>ATXN2</w:t>
      </w:r>
      <w:r w:rsidRPr="00A3107C">
        <w:rPr>
          <w:sz w:val="22"/>
          <w:szCs w:val="22"/>
          <w:lang w:val="en-GB"/>
        </w:rPr>
        <w:t xml:space="preserve"> status, El Escorial criteria, comorbidities, age at symptom onset, disease duration (months), </w:t>
      </w:r>
      <w:r w:rsidRPr="00A3107C">
        <w:rPr>
          <w:i/>
          <w:iCs/>
          <w:sz w:val="22"/>
          <w:szCs w:val="22"/>
          <w:lang w:val="en-GB"/>
        </w:rPr>
        <w:t>C9ORF72</w:t>
      </w:r>
      <w:r w:rsidRPr="00A3107C">
        <w:rPr>
          <w:sz w:val="22"/>
          <w:szCs w:val="22"/>
          <w:lang w:val="en-GB"/>
        </w:rPr>
        <w:t xml:space="preserve"> repeat size, </w:t>
      </w:r>
      <w:r w:rsidRPr="00A3107C">
        <w:rPr>
          <w:i/>
          <w:iCs/>
          <w:sz w:val="22"/>
          <w:szCs w:val="22"/>
          <w:lang w:val="en-GB"/>
        </w:rPr>
        <w:t>ATXN2</w:t>
      </w:r>
      <w:r w:rsidRPr="00A3107C">
        <w:rPr>
          <w:sz w:val="22"/>
          <w:szCs w:val="22"/>
          <w:lang w:val="en-GB"/>
        </w:rPr>
        <w:t xml:space="preserve"> repeat size, and percent African, South Asian, East Asian, Americas, and European (provided by NYGC). These metadata features were selected since they were included in many entries of the NYGC metadata file and are applicable in a clinical setting. </w:t>
      </w:r>
    </w:p>
    <w:p w14:paraId="60613CB2" w14:textId="77777777" w:rsidR="00565EC6" w:rsidRPr="00A3107C" w:rsidRDefault="00565EC6" w:rsidP="00565EC6">
      <w:pPr>
        <w:tabs>
          <w:tab w:val="left" w:pos="90"/>
        </w:tabs>
        <w:rPr>
          <w:sz w:val="22"/>
          <w:szCs w:val="22"/>
          <w:lang w:val="en-GB"/>
        </w:rPr>
      </w:pPr>
    </w:p>
    <w:p w14:paraId="0D627174" w14:textId="123DD0E8" w:rsidR="00565EC6" w:rsidRPr="00A3107C" w:rsidRDefault="00565EC6" w:rsidP="00565EC6">
      <w:pPr>
        <w:tabs>
          <w:tab w:val="left" w:pos="90"/>
        </w:tabs>
        <w:rPr>
          <w:sz w:val="22"/>
          <w:szCs w:val="22"/>
          <w:lang w:val="en-GB"/>
        </w:rPr>
      </w:pPr>
      <w:r w:rsidRPr="00A3107C">
        <w:rPr>
          <w:sz w:val="22"/>
          <w:szCs w:val="22"/>
          <w:lang w:val="en-GB"/>
        </w:rPr>
        <w:lastRenderedPageBreak/>
        <w:t xml:space="preserve">For the continuous variables, missing data was imputed using </w:t>
      </w:r>
      <w:bookmarkStart w:id="13" w:name="_Hlk172287549"/>
      <w:r w:rsidRPr="00A3107C">
        <w:rPr>
          <w:sz w:val="22"/>
          <w:szCs w:val="22"/>
          <w:lang w:val="en-GB"/>
        </w:rPr>
        <w:t>predictive mean matching (PMM)</w:t>
      </w:r>
      <w:bookmarkEnd w:id="13"/>
      <w:r w:rsidRPr="00A3107C">
        <w:rPr>
          <w:sz w:val="22"/>
          <w:szCs w:val="22"/>
          <w:lang w:val="en-GB"/>
        </w:rPr>
        <w:t xml:space="preserve"> </w:t>
      </w:r>
      <w:sdt>
        <w:sdtPr>
          <w:rPr>
            <w:color w:val="000000"/>
            <w:sz w:val="22"/>
            <w:szCs w:val="22"/>
            <w:vertAlign w:val="superscript"/>
            <w:lang w:val="en-GB"/>
          </w:rPr>
          <w:tag w:val="MENDELEY_CITATION_v3_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"/>
          <w:id w:val="-1837216838"/>
          <w:placeholder>
            <w:docPart w:val="E056D884BD554C949D420D5ED59083F4"/>
          </w:placeholder>
        </w:sdtPr>
        <w:sdtContent>
          <w:r w:rsidR="00F73B07" w:rsidRPr="00A3107C">
            <w:rPr>
              <w:color w:val="000000"/>
              <w:sz w:val="22"/>
              <w:szCs w:val="18"/>
              <w:vertAlign w:val="superscript"/>
            </w:rPr>
            <w:t>4</w:t>
          </w:r>
        </w:sdtContent>
      </w:sdt>
      <w:r w:rsidRPr="00A3107C">
        <w:rPr>
          <w:sz w:val="22"/>
          <w:szCs w:val="22"/>
          <w:lang w:val="en-GB"/>
        </w:rPr>
        <w:t xml:space="preserve"> via the mice function of the Multivariate Imputation by Chained Equations package in R </w:t>
      </w:r>
      <w:sdt>
        <w:sdtPr>
          <w:rPr>
            <w:color w:val="000000"/>
            <w:sz w:val="22"/>
            <w:szCs w:val="22"/>
            <w:vertAlign w:val="superscript"/>
            <w:lang w:val="en-GB"/>
          </w:rPr>
          <w:tag w:val="MENDELEY_CITATION_v3_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"/>
          <w:id w:val="-1133169348"/>
          <w:placeholder>
            <w:docPart w:val="E056D884BD554C949D420D5ED59083F4"/>
          </w:placeholder>
        </w:sdtPr>
        <w:sdtContent>
          <w:r w:rsidR="00F73B07" w:rsidRPr="00A3107C">
            <w:rPr>
              <w:color w:val="000000"/>
              <w:sz w:val="22"/>
              <w:szCs w:val="18"/>
              <w:vertAlign w:val="superscript"/>
            </w:rPr>
            <w:t>5</w:t>
          </w:r>
        </w:sdtContent>
      </w:sdt>
      <w:r w:rsidRPr="00A3107C">
        <w:rPr>
          <w:sz w:val="22"/>
          <w:szCs w:val="22"/>
          <w:lang w:val="en-GB"/>
        </w:rPr>
        <w:t>. The function was run with 5 donor values, 50 maximum iterations, and a random seed = 1. In brief, one randomly selected value is selected from a set of 5 donor values drawn from complete cases of the same feature which are closest to the value predicted for the missing case by a linear model conditional on all other continuous variables.The percent missingness, P, was calculated as below where m is missing cases and t is total cases:</w:t>
      </w:r>
    </w:p>
    <w:p w14:paraId="14A71B20" w14:textId="77777777" w:rsidR="00565EC6" w:rsidRPr="00A3107C" w:rsidRDefault="00565EC6" w:rsidP="00565EC6">
      <w:pPr>
        <w:tabs>
          <w:tab w:val="left" w:pos="90"/>
        </w:tabs>
        <w:rPr>
          <w:sz w:val="22"/>
          <w:szCs w:val="22"/>
          <w:lang w:val="en-GB"/>
        </w:rPr>
      </w:pPr>
      <m:oMathPara>
        <m:oMath>
          <m:r>
            <w:rPr>
              <w:rFonts w:ascii="Cambria Math" w:hAnsi="Cambria Math"/>
              <w:sz w:val="22"/>
              <w:szCs w:val="22"/>
              <w:lang w:val="en-GB"/>
            </w:rPr>
            <m:t xml:space="preserve">P= </m:t>
          </m:r>
          <m:f>
            <m:fPr>
              <m:ctrlPr>
                <w:rPr>
                  <w:rFonts w:ascii="Cambria Math" w:hAnsi="Cambria Math"/>
                  <w:i/>
                  <w:sz w:val="22"/>
                  <w:szCs w:val="22"/>
                  <w:lang w:val="en-GB"/>
                </w:rPr>
              </m:ctrlPr>
            </m:fPr>
            <m:num>
              <m:r>
                <w:rPr>
                  <w:rFonts w:ascii="Cambria Math" w:hAnsi="Cambria Math"/>
                  <w:sz w:val="22"/>
                  <w:szCs w:val="22"/>
                  <w:lang w:val="en-GB"/>
                </w:rPr>
                <m:t>m</m:t>
              </m:r>
            </m:num>
            <m:den>
              <m:r>
                <w:rPr>
                  <w:rFonts w:ascii="Cambria Math" w:hAnsi="Cambria Math"/>
                  <w:sz w:val="22"/>
                  <w:szCs w:val="22"/>
                  <w:lang w:val="en-GB"/>
                </w:rPr>
                <m:t>t</m:t>
              </m:r>
            </m:den>
          </m:f>
          <m:r>
            <w:rPr>
              <w:rFonts w:ascii="Cambria Math" w:hAnsi="Cambria Math"/>
              <w:sz w:val="22"/>
              <w:szCs w:val="22"/>
              <w:lang w:val="en-GB"/>
            </w:rPr>
            <m:t xml:space="preserve"> × 100%</m:t>
          </m:r>
        </m:oMath>
      </m:oMathPara>
    </w:p>
    <w:p w14:paraId="69C86600" w14:textId="77777777" w:rsidR="00565EC6" w:rsidRPr="00A3107C" w:rsidRDefault="00565EC6" w:rsidP="00565EC6">
      <w:pPr>
        <w:tabs>
          <w:tab w:val="left" w:pos="90"/>
        </w:tabs>
        <w:rPr>
          <w:sz w:val="22"/>
          <w:szCs w:val="22"/>
          <w:lang w:val="en-GB"/>
        </w:rPr>
      </w:pPr>
      <w:r w:rsidRPr="00A3107C">
        <w:rPr>
          <w:sz w:val="22"/>
          <w:szCs w:val="22"/>
          <w:lang w:val="en-GB"/>
        </w:rPr>
        <w:t xml:space="preserve">The missingness of the continuous variables are: 36% for age at symptom onset, 31% for disease duration, 22% for </w:t>
      </w:r>
      <w:r w:rsidRPr="00A3107C">
        <w:rPr>
          <w:i/>
          <w:iCs/>
          <w:sz w:val="22"/>
          <w:szCs w:val="22"/>
          <w:lang w:val="en-GB"/>
        </w:rPr>
        <w:t xml:space="preserve">C9ORF72 </w:t>
      </w:r>
      <w:r w:rsidRPr="00A3107C">
        <w:rPr>
          <w:sz w:val="22"/>
          <w:szCs w:val="22"/>
          <w:lang w:val="en-GB"/>
        </w:rPr>
        <w:t xml:space="preserve">and </w:t>
      </w:r>
      <w:r w:rsidRPr="00A3107C">
        <w:rPr>
          <w:i/>
          <w:iCs/>
          <w:sz w:val="22"/>
          <w:szCs w:val="22"/>
          <w:lang w:val="en-GB"/>
        </w:rPr>
        <w:t>ATXN2</w:t>
      </w:r>
      <w:r w:rsidRPr="00A3107C">
        <w:rPr>
          <w:sz w:val="22"/>
          <w:szCs w:val="22"/>
          <w:lang w:val="en-GB"/>
        </w:rPr>
        <w:t xml:space="preserve"> repeat size, and 1% for all percent ethnicities. Therefore, PMM is appropriate for this case.</w:t>
      </w:r>
    </w:p>
    <w:p w14:paraId="47FE03DD" w14:textId="77777777" w:rsidR="00565EC6" w:rsidRPr="00A3107C" w:rsidRDefault="00565EC6" w:rsidP="00565EC6">
      <w:pPr>
        <w:tabs>
          <w:tab w:val="left" w:pos="90"/>
        </w:tabs>
        <w:rPr>
          <w:sz w:val="22"/>
          <w:szCs w:val="22"/>
          <w:lang w:val="en-GB"/>
        </w:rPr>
      </w:pPr>
    </w:p>
    <w:p w14:paraId="76E70468" w14:textId="77777777" w:rsidR="00565EC6" w:rsidRPr="00A3107C" w:rsidRDefault="00565EC6" w:rsidP="00565EC6">
      <w:pPr>
        <w:tabs>
          <w:tab w:val="left" w:pos="90"/>
        </w:tabs>
        <w:rPr>
          <w:sz w:val="22"/>
          <w:szCs w:val="22"/>
          <w:lang w:val="en-GB"/>
        </w:rPr>
      </w:pPr>
      <w:r w:rsidRPr="00A3107C">
        <w:rPr>
          <w:sz w:val="22"/>
          <w:szCs w:val="22"/>
          <w:lang w:val="en-GB"/>
        </w:rPr>
        <w:t>To further validate this method, Kendall’s tau associations were calculated for each continuous feature imputed with PMM and NMF subtype. In both the CTX (</w:t>
      </w:r>
      <w:r w:rsidRPr="00A3107C">
        <w:rPr>
          <w:sz w:val="22"/>
          <w:szCs w:val="22"/>
        </w:rPr>
        <w:t>Supplementary Table 2</w:t>
      </w:r>
      <w:r w:rsidRPr="00A3107C">
        <w:rPr>
          <w:sz w:val="22"/>
          <w:szCs w:val="22"/>
          <w:lang w:val="en-GB"/>
        </w:rPr>
        <w:t>) and SC (</w:t>
      </w:r>
      <w:r w:rsidRPr="00A3107C">
        <w:rPr>
          <w:sz w:val="22"/>
          <w:szCs w:val="22"/>
        </w:rPr>
        <w:t>Supplementary Table 3)</w:t>
      </w:r>
      <w:r w:rsidRPr="00A3107C">
        <w:rPr>
          <w:sz w:val="22"/>
          <w:szCs w:val="22"/>
          <w:lang w:val="en-GB"/>
        </w:rPr>
        <w:t>, the effect size and significance of the associations were very similar in the PMM and non-PMM conditions. Thus, PMM does not create new or appreciably change pre-existing associations with NMF in the data used for this study. Disease duration (in CTX) and percent European, African, South Asian, and Americas (in SC) were significantly associated with NMF clustering.</w:t>
      </w:r>
    </w:p>
    <w:p w14:paraId="17A102CB" w14:textId="77777777" w:rsidR="00565EC6" w:rsidRPr="00A3107C" w:rsidRDefault="00565EC6" w:rsidP="00565EC6">
      <w:pPr>
        <w:tabs>
          <w:tab w:val="left" w:pos="90"/>
        </w:tabs>
        <w:rPr>
          <w:sz w:val="22"/>
          <w:szCs w:val="22"/>
          <w:lang w:val="en-GB"/>
        </w:rPr>
      </w:pPr>
    </w:p>
    <w:p w14:paraId="16F4E6B6" w14:textId="10D6090A" w:rsidR="00565EC6" w:rsidRPr="00A3107C" w:rsidRDefault="00565EC6" w:rsidP="00565EC6">
      <w:pPr>
        <w:tabs>
          <w:tab w:val="left" w:pos="90"/>
        </w:tabs>
        <w:rPr>
          <w:sz w:val="22"/>
          <w:szCs w:val="22"/>
          <w:lang w:val="en-GB"/>
        </w:rPr>
      </w:pPr>
      <w:r w:rsidRPr="00A3107C">
        <w:rPr>
          <w:sz w:val="22"/>
          <w:szCs w:val="22"/>
          <w:lang w:val="en-GB"/>
        </w:rPr>
        <w:t xml:space="preserve">Adaptive synthetic sampling (ADASYN) </w:t>
      </w:r>
      <w:sdt>
        <w:sdtPr>
          <w:rPr>
            <w:color w:val="000000"/>
            <w:sz w:val="22"/>
            <w:szCs w:val="22"/>
            <w:vertAlign w:val="superscript"/>
            <w:lang w:val="en-GB"/>
          </w:rPr>
          <w:tag w:val="MENDELEY_CITATION_v3_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"/>
          <w:id w:val="-1361499045"/>
          <w:placeholder>
            <w:docPart w:val="7045AA28EB0A4E32B9074C32770B4979"/>
          </w:placeholder>
        </w:sdtPr>
        <w:sdtContent>
          <w:r w:rsidR="00F73B07" w:rsidRPr="00A3107C">
            <w:rPr>
              <w:color w:val="000000"/>
              <w:sz w:val="22"/>
              <w:szCs w:val="18"/>
              <w:vertAlign w:val="superscript"/>
            </w:rPr>
            <w:t>6</w:t>
          </w:r>
        </w:sdtContent>
      </w:sdt>
      <w:r w:rsidRPr="00A3107C">
        <w:rPr>
          <w:sz w:val="22"/>
          <w:szCs w:val="22"/>
          <w:lang w:val="en-GB"/>
        </w:rPr>
        <w:t xml:space="preserve"> was used to ensure a similar number of samples in each cluster for this analysis since there are different numbers of samples in each cluster. The specific implementation of adaptive synthetic sampling used for this analysis was the imbalanced-learn package in Python. The general formula for ADASYN, where s is the number of synthetic data samples that need to be generated for number of minority class n</w:t>
      </w:r>
      <w:r w:rsidRPr="00A3107C">
        <w:rPr>
          <w:sz w:val="22"/>
          <w:szCs w:val="22"/>
          <w:vertAlign w:val="subscript"/>
          <w:lang w:val="en-GB"/>
        </w:rPr>
        <w:t>m</w:t>
      </w:r>
      <w:r w:rsidRPr="00A3107C">
        <w:rPr>
          <w:sz w:val="22"/>
          <w:szCs w:val="22"/>
          <w:lang w:val="en-GB"/>
        </w:rPr>
        <w:t>, given the total number of synthetic data samples (S) for the minority class, and density distribution d is:</w:t>
      </w:r>
    </w:p>
    <w:p w14:paraId="4C439A1A" w14:textId="77777777" w:rsidR="00565EC6" w:rsidRPr="00A3107C" w:rsidRDefault="00000000" w:rsidP="00565EC6">
      <w:pPr>
        <w:tabs>
          <w:tab w:val="left" w:pos="90"/>
        </w:tabs>
        <w:rPr>
          <w:sz w:val="22"/>
          <w:szCs w:val="22"/>
          <w:lang w:val="en-GB"/>
        </w:rPr>
      </w:pPr>
      <m:oMathPara>
        <m:oMath>
          <m:sSub>
            <m:sSubPr>
              <m:ctrlPr>
                <w:rPr>
                  <w:rFonts w:ascii="Cambria Math" w:hAnsi="Cambria Math"/>
                  <w:i/>
                  <w:sz w:val="22"/>
                  <w:szCs w:val="22"/>
                  <w:lang w:val="en-GB"/>
                </w:rPr>
              </m:ctrlPr>
            </m:sSubPr>
            <m:e>
              <m:r>
                <w:rPr>
                  <w:rFonts w:ascii="Cambria Math" w:hAnsi="Cambria Math"/>
                  <w:sz w:val="22"/>
                  <w:szCs w:val="22"/>
                  <w:lang w:val="en-GB"/>
                </w:rPr>
                <m:t>s</m:t>
              </m:r>
            </m:e>
            <m:sub>
              <m:r>
                <w:rPr>
                  <w:rFonts w:ascii="Cambria Math" w:hAnsi="Cambria Math"/>
                  <w:sz w:val="22"/>
                  <w:szCs w:val="22"/>
                  <w:lang w:val="en-GB"/>
                </w:rPr>
                <m:t>i</m:t>
              </m:r>
            </m:sub>
          </m:sSub>
          <m:r>
            <w:rPr>
              <w:rFonts w:ascii="Cambria Math" w:hAnsi="Cambria Math"/>
              <w:sz w:val="22"/>
              <w:szCs w:val="22"/>
              <w:lang w:val="en-GB"/>
            </w:rPr>
            <m:t>=</m:t>
          </m:r>
          <m:d>
            <m:dPr>
              <m:ctrlPr>
                <w:rPr>
                  <w:rFonts w:ascii="Cambria Math" w:hAnsi="Cambria Math"/>
                  <w:i/>
                  <w:sz w:val="22"/>
                  <w:szCs w:val="22"/>
                  <w:lang w:val="en-GB"/>
                </w:rPr>
              </m:ctrlPr>
            </m:dPr>
            <m:e>
              <m:f>
                <m:fPr>
                  <m:ctrlPr>
                    <w:rPr>
                      <w:rFonts w:ascii="Cambria Math" w:hAnsi="Cambria Math"/>
                      <w:i/>
                      <w:sz w:val="22"/>
                      <w:szCs w:val="22"/>
                      <w:lang w:val="en-GB"/>
                    </w:rPr>
                  </m:ctrlPr>
                </m:fPr>
                <m:num>
                  <m:sSub>
                    <m:sSubPr>
                      <m:ctrlPr>
                        <w:rPr>
                          <w:rFonts w:ascii="Cambria Math" w:hAnsi="Cambria Math"/>
                          <w:i/>
                          <w:sz w:val="22"/>
                          <w:szCs w:val="22"/>
                          <w:lang w:val="en-GB"/>
                        </w:rPr>
                      </m:ctrlPr>
                    </m:sSubPr>
                    <m:e>
                      <m:r>
                        <w:rPr>
                          <w:rFonts w:ascii="Cambria Math" w:hAnsi="Cambria Math"/>
                          <w:sz w:val="22"/>
                          <w:szCs w:val="22"/>
                          <w:lang w:val="en-GB"/>
                        </w:rPr>
                        <m:t>d</m:t>
                      </m:r>
                    </m:e>
                    <m:sub>
                      <m:r>
                        <w:rPr>
                          <w:rFonts w:ascii="Cambria Math" w:hAnsi="Cambria Math"/>
                          <w:sz w:val="22"/>
                          <w:szCs w:val="22"/>
                          <w:lang w:val="en-GB"/>
                        </w:rPr>
                        <m:t>i</m:t>
                      </m:r>
                    </m:sub>
                  </m:sSub>
                </m:num>
                <m:den>
                  <m:nary>
                    <m:naryPr>
                      <m:chr m:val="∑"/>
                      <m:limLoc m:val="undOvr"/>
                      <m:ctrlPr>
                        <w:rPr>
                          <w:rFonts w:ascii="Cambria Math" w:hAnsi="Cambria Math"/>
                          <w:i/>
                          <w:sz w:val="22"/>
                          <w:szCs w:val="22"/>
                          <w:lang w:val="en-GB"/>
                        </w:rPr>
                      </m:ctrlPr>
                    </m:naryPr>
                    <m:sub>
                      <m:r>
                        <w:rPr>
                          <w:rFonts w:ascii="Cambria Math" w:hAnsi="Cambria Math"/>
                          <w:sz w:val="22"/>
                          <w:szCs w:val="22"/>
                          <w:lang w:val="en-GB"/>
                        </w:rPr>
                        <m:t>i=1</m:t>
                      </m:r>
                    </m:sub>
                    <m:sup>
                      <m:sSub>
                        <m:sSubPr>
                          <m:ctrlPr>
                            <w:rPr>
                              <w:rFonts w:ascii="Cambria Math" w:hAnsi="Cambria Math"/>
                              <w:i/>
                              <w:sz w:val="22"/>
                              <w:szCs w:val="22"/>
                              <w:lang w:val="en-GB"/>
                            </w:rPr>
                          </m:ctrlPr>
                        </m:sSubPr>
                        <m:e>
                          <m:r>
                            <w:rPr>
                              <w:rFonts w:ascii="Cambria Math" w:hAnsi="Cambria Math"/>
                              <w:sz w:val="22"/>
                              <w:szCs w:val="22"/>
                              <w:lang w:val="en-GB"/>
                            </w:rPr>
                            <m:t>n</m:t>
                          </m:r>
                        </m:e>
                        <m:sub>
                          <m:r>
                            <w:rPr>
                              <w:rFonts w:ascii="Cambria Math" w:hAnsi="Cambria Math"/>
                              <w:sz w:val="22"/>
                              <w:szCs w:val="22"/>
                              <w:lang w:val="en-GB"/>
                            </w:rPr>
                            <m:t>m</m:t>
                          </m:r>
                        </m:sub>
                      </m:sSub>
                    </m:sup>
                    <m:e>
                      <m:sSub>
                        <m:sSubPr>
                          <m:ctrlPr>
                            <w:rPr>
                              <w:rFonts w:ascii="Cambria Math" w:hAnsi="Cambria Math"/>
                              <w:i/>
                              <w:sz w:val="22"/>
                              <w:szCs w:val="22"/>
                              <w:lang w:val="en-GB"/>
                            </w:rPr>
                          </m:ctrlPr>
                        </m:sSubPr>
                        <m:e>
                          <m:r>
                            <w:rPr>
                              <w:rFonts w:ascii="Cambria Math" w:hAnsi="Cambria Math"/>
                              <w:sz w:val="22"/>
                              <w:szCs w:val="22"/>
                              <w:lang w:val="en-GB"/>
                            </w:rPr>
                            <m:t>d</m:t>
                          </m:r>
                        </m:e>
                        <m:sub>
                          <m:r>
                            <w:rPr>
                              <w:rFonts w:ascii="Cambria Math" w:hAnsi="Cambria Math"/>
                              <w:sz w:val="22"/>
                              <w:szCs w:val="22"/>
                              <w:lang w:val="en-GB"/>
                            </w:rPr>
                            <m:t>i</m:t>
                          </m:r>
                        </m:sub>
                      </m:sSub>
                    </m:e>
                  </m:nary>
                </m:den>
              </m:f>
            </m:e>
          </m:d>
          <m:r>
            <w:rPr>
              <w:rFonts w:ascii="Cambria Math" w:hAnsi="Cambria Math"/>
              <w:sz w:val="22"/>
              <w:szCs w:val="22"/>
              <w:lang w:val="en-GB"/>
            </w:rPr>
            <m:t xml:space="preserve"> ×S</m:t>
          </m:r>
        </m:oMath>
      </m:oMathPara>
    </w:p>
    <w:p w14:paraId="587BA3F2" w14:textId="77777777" w:rsidR="00565EC6" w:rsidRPr="00A3107C" w:rsidRDefault="00565EC6" w:rsidP="00565EC6">
      <w:pPr>
        <w:tabs>
          <w:tab w:val="left" w:pos="90"/>
        </w:tabs>
        <w:rPr>
          <w:sz w:val="22"/>
          <w:szCs w:val="22"/>
          <w:lang w:val="en-GB"/>
        </w:rPr>
      </w:pPr>
    </w:p>
    <w:p w14:paraId="1A4D6637" w14:textId="3B86DFBD" w:rsidR="00565EC6" w:rsidRPr="00A3107C" w:rsidRDefault="00565EC6" w:rsidP="00565EC6">
      <w:pPr>
        <w:tabs>
          <w:tab w:val="left" w:pos="90"/>
        </w:tabs>
        <w:rPr>
          <w:sz w:val="22"/>
          <w:szCs w:val="22"/>
          <w:lang w:val="en-GB"/>
        </w:rPr>
      </w:pPr>
      <w:r w:rsidRPr="00A3107C">
        <w:rPr>
          <w:sz w:val="22"/>
          <w:szCs w:val="22"/>
          <w:lang w:val="en-GB"/>
        </w:rPr>
        <w:t xml:space="preserve">Scikit learn </w:t>
      </w:r>
      <w:sdt>
        <w:sdtPr>
          <w:rPr>
            <w:color w:val="000000"/>
            <w:sz w:val="22"/>
            <w:szCs w:val="22"/>
            <w:vertAlign w:val="superscript"/>
            <w:lang w:val="en-GB"/>
          </w:rPr>
          <w:tag w:val="MENDELEY_CITATION_v3_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"/>
          <w:id w:val="-1413237566"/>
          <w:placeholder>
            <w:docPart w:val="77335A12FFB04957AA4994D6FF0D97FB"/>
          </w:placeholder>
        </w:sdtPr>
        <w:sdtContent>
          <w:r w:rsidR="00F73B07" w:rsidRPr="00A3107C">
            <w:rPr>
              <w:color w:val="000000"/>
              <w:sz w:val="22"/>
              <w:szCs w:val="18"/>
              <w:vertAlign w:val="superscript"/>
            </w:rPr>
            <w:t>7</w:t>
          </w:r>
        </w:sdtContent>
      </w:sdt>
      <w:r w:rsidRPr="00A3107C">
        <w:rPr>
          <w:sz w:val="22"/>
          <w:szCs w:val="22"/>
          <w:lang w:val="en-GB"/>
        </w:rPr>
        <w:t xml:space="preserve"> in Python was used to generate the RFC model. The train/test split was 80/20. Prior to training the RFC, five-fold, cross-validated randomized search was performed to tune the number of estimators and maximum depth hyperparameters. The other hyperparameters were not changed from their defaults.</w:t>
      </w:r>
    </w:p>
    <w:p w14:paraId="265703A7" w14:textId="77777777" w:rsidR="00565EC6" w:rsidRPr="00A3107C" w:rsidRDefault="00565EC6" w:rsidP="00565EC6">
      <w:pPr>
        <w:tabs>
          <w:tab w:val="left" w:pos="90"/>
        </w:tabs>
        <w:rPr>
          <w:sz w:val="22"/>
          <w:szCs w:val="22"/>
          <w:lang w:val="en-GB"/>
        </w:rPr>
      </w:pPr>
    </w:p>
    <w:p w14:paraId="7333F5EE" w14:textId="77777777" w:rsidR="00565EC6" w:rsidRPr="00A3107C" w:rsidRDefault="00565EC6" w:rsidP="00565EC6">
      <w:pPr>
        <w:tabs>
          <w:tab w:val="left" w:pos="90"/>
        </w:tabs>
        <w:rPr>
          <w:sz w:val="22"/>
          <w:szCs w:val="22"/>
          <w:lang w:val="en-GB"/>
        </w:rPr>
      </w:pPr>
    </w:p>
    <w:p w14:paraId="2B6EAA9E" w14:textId="77777777" w:rsidR="00565EC6" w:rsidRPr="00A3107C" w:rsidRDefault="00565EC6" w:rsidP="00565EC6">
      <w:pPr>
        <w:tabs>
          <w:tab w:val="left" w:pos="90"/>
        </w:tabs>
        <w:rPr>
          <w:b/>
          <w:bCs/>
          <w:sz w:val="22"/>
          <w:szCs w:val="22"/>
        </w:rPr>
      </w:pPr>
    </w:p>
    <w:p w14:paraId="4F942C51" w14:textId="77777777" w:rsidR="00565EC6" w:rsidRPr="00A3107C" w:rsidRDefault="00565EC6" w:rsidP="00565EC6">
      <w:pPr>
        <w:tabs>
          <w:tab w:val="left" w:pos="90"/>
        </w:tabs>
        <w:rPr>
          <w:b/>
          <w:bCs/>
          <w:sz w:val="22"/>
          <w:szCs w:val="22"/>
          <w:lang w:val="en-GB"/>
        </w:rPr>
      </w:pPr>
      <w:bookmarkStart w:id="14" w:name="_Toc159840989"/>
      <w:r w:rsidRPr="00A3107C">
        <w:rPr>
          <w:b/>
          <w:bCs/>
          <w:sz w:val="22"/>
          <w:szCs w:val="22"/>
          <w:lang w:val="en-GB"/>
        </w:rPr>
        <w:t>Pathway and Gene Set Analysis</w:t>
      </w:r>
      <w:bookmarkEnd w:id="14"/>
    </w:p>
    <w:p w14:paraId="0274ECC2" w14:textId="0637B2FE" w:rsidR="00565EC6" w:rsidRPr="00A3107C" w:rsidRDefault="00565EC6" w:rsidP="00565EC6">
      <w:pPr>
        <w:tabs>
          <w:tab w:val="left" w:pos="90"/>
        </w:tabs>
        <w:rPr>
          <w:sz w:val="22"/>
          <w:szCs w:val="22"/>
        </w:rPr>
      </w:pPr>
      <w:r w:rsidRPr="00A3107C">
        <w:rPr>
          <w:sz w:val="22"/>
          <w:szCs w:val="22"/>
        </w:rPr>
        <w:t>Pathway analysis was performed using QIAGEN IPA (</w:t>
      </w:r>
      <w:hyperlink r:id="rId31" w:history="1">
        <w:r w:rsidRPr="00A3107C">
          <w:rPr>
            <w:rStyle w:val="Hyperlink"/>
            <w:sz w:val="22"/>
            <w:szCs w:val="22"/>
          </w:rPr>
          <w:t>https://digitalinsights.qiagen.com/IPA</w:t>
        </w:r>
      </w:hyperlink>
      <w:r w:rsidRPr="00A3107C">
        <w:rPr>
          <w:sz w:val="22"/>
          <w:szCs w:val="22"/>
        </w:rPr>
        <w:t xml:space="preserve">). IPA’s canonical pathways and causal network analyses were used to analyze biological pathways and identify potential druggable or diagnostic targets </w:t>
      </w:r>
      <w:sdt>
        <w:sdtPr>
          <w:rPr>
            <w:color w:val="000000"/>
            <w:sz w:val="22"/>
            <w:szCs w:val="22"/>
            <w:vertAlign w:val="superscript"/>
          </w:rPr>
          <w:tag w:val="MENDELEY_CITATION_v3_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"/>
          <w:id w:val="2048872520"/>
          <w:placeholder>
            <w:docPart w:val="0DBB8DDF35A245F392C9A5CE7A6F7C68"/>
          </w:placeholder>
        </w:sdtPr>
        <w:sdtContent>
          <w:r w:rsidR="00F73B07" w:rsidRPr="00A3107C">
            <w:rPr>
              <w:color w:val="000000"/>
              <w:sz w:val="22"/>
              <w:szCs w:val="18"/>
              <w:vertAlign w:val="superscript"/>
            </w:rPr>
            <w:t>8</w:t>
          </w:r>
        </w:sdtContent>
      </w:sdt>
      <w:r w:rsidRPr="00A3107C">
        <w:rPr>
          <w:sz w:val="22"/>
          <w:szCs w:val="22"/>
        </w:rPr>
        <w:t>.  The top 10 most dysregulated pathways, according to the sum of the absolute value of the Z-score across rows (i.e. per IPA pathway), are displayed in the relevant heatmaps. Pathways/regulators are displayed in alphabetical order.</w:t>
      </w:r>
    </w:p>
    <w:p w14:paraId="5AAB6CF9" w14:textId="77777777" w:rsidR="00565EC6" w:rsidRPr="00A3107C" w:rsidRDefault="00565EC6" w:rsidP="00565EC6">
      <w:pPr>
        <w:numPr>
          <w:ilvl w:val="1"/>
          <w:numId w:val="0"/>
        </w:numPr>
        <w:tabs>
          <w:tab w:val="left" w:pos="90"/>
        </w:tabs>
        <w:rPr>
          <w:sz w:val="22"/>
          <w:szCs w:val="22"/>
        </w:rPr>
      </w:pPr>
    </w:p>
    <w:p w14:paraId="7D806386" w14:textId="6681AF1C" w:rsidR="00565EC6" w:rsidRPr="00A3107C" w:rsidRDefault="00565EC6" w:rsidP="00565EC6">
      <w:pPr>
        <w:tabs>
          <w:tab w:val="left" w:pos="90"/>
        </w:tabs>
        <w:rPr>
          <w:sz w:val="22"/>
          <w:szCs w:val="22"/>
        </w:rPr>
      </w:pPr>
      <w:r w:rsidRPr="00A3107C">
        <w:rPr>
          <w:sz w:val="22"/>
          <w:szCs w:val="22"/>
        </w:rPr>
        <w:t xml:space="preserve">The fast gene set enrichment analysis (FGSEA) implementation in R </w:t>
      </w:r>
      <w:sdt>
        <w:sdtPr>
          <w:rPr>
            <w:color w:val="000000"/>
            <w:sz w:val="22"/>
            <w:szCs w:val="22"/>
            <w:vertAlign w:val="superscript"/>
          </w:rPr>
          <w:tag w:val="MENDELEY_CITATION_v3_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"/>
          <w:id w:val="-813567702"/>
          <w:placeholder>
            <w:docPart w:val="E2A19DCB126745BBA8EF5E3111C43276"/>
          </w:placeholder>
        </w:sdtPr>
        <w:sdtContent>
          <w:r w:rsidR="00F73B07" w:rsidRPr="00A3107C">
            <w:rPr>
              <w:color w:val="000000"/>
              <w:sz w:val="22"/>
              <w:szCs w:val="18"/>
              <w:vertAlign w:val="superscript"/>
            </w:rPr>
            <w:t>9</w:t>
          </w:r>
        </w:sdtContent>
      </w:sdt>
      <w:r w:rsidRPr="00A3107C">
        <w:rPr>
          <w:sz w:val="22"/>
          <w:szCs w:val="22"/>
        </w:rPr>
        <w:t xml:space="preserve"> was used to assess the degree and significance of gene sets not addressed in IPA, such as those involving HERV-K. The gene sets used include all HERV-K genes, HERV-K genes that encode for partial or full envelope (Env), and HML-2 full-length Env-coding loci. Additional gene sets were derived from the gene ontology (GO) tool AmiGO </w:t>
      </w:r>
      <w:sdt>
        <w:sdtPr>
          <w:rPr>
            <w:color w:val="000000"/>
            <w:sz w:val="22"/>
            <w:szCs w:val="22"/>
            <w:vertAlign w:val="superscript"/>
          </w:rPr>
          <w:tag w:val="MENDELEY_CITATION_v3_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"/>
          <w:id w:val="875423370"/>
          <w:placeholder>
            <w:docPart w:val="E2A19DCB126745BBA8EF5E3111C43276"/>
          </w:placeholder>
        </w:sdtPr>
        <w:sdtContent>
          <w:r w:rsidR="00F73B07" w:rsidRPr="00A3107C">
            <w:rPr>
              <w:color w:val="000000"/>
              <w:sz w:val="22"/>
              <w:szCs w:val="18"/>
              <w:vertAlign w:val="superscript"/>
            </w:rPr>
            <w:t>10</w:t>
          </w:r>
        </w:sdtContent>
      </w:sdt>
      <w:r w:rsidRPr="00A3107C">
        <w:rPr>
          <w:sz w:val="22"/>
          <w:szCs w:val="22"/>
        </w:rPr>
        <w:t xml:space="preserve"> and were accessed using the biomaRt package in R </w:t>
      </w:r>
      <w:sdt>
        <w:sdtPr>
          <w:rPr>
            <w:color w:val="000000"/>
            <w:sz w:val="22"/>
            <w:szCs w:val="22"/>
            <w:vertAlign w:val="superscript"/>
          </w:rPr>
          <w:tag w:val="MENDELEY_CITATION_v3_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"/>
          <w:id w:val="742462729"/>
          <w:placeholder>
            <w:docPart w:val="E2A19DCB126745BBA8EF5E3111C43276"/>
          </w:placeholder>
        </w:sdtPr>
        <w:sdtContent>
          <w:r w:rsidR="00F73B07" w:rsidRPr="00A3107C">
            <w:rPr>
              <w:color w:val="000000"/>
              <w:sz w:val="22"/>
              <w:szCs w:val="18"/>
              <w:vertAlign w:val="superscript"/>
            </w:rPr>
            <w:t>11</w:t>
          </w:r>
        </w:sdtContent>
      </w:sdt>
      <w:r w:rsidRPr="00A3107C">
        <w:rPr>
          <w:sz w:val="22"/>
          <w:szCs w:val="22"/>
        </w:rPr>
        <w:t xml:space="preserve">. The GOs included in this analysis were synaptic vesicle (GO:0008021), neuronal apoptosis (GO:0051402), neuronal death (GO:1901214), motor neuronal death (GO:0097049), presynaptic active zone (GO:0048786), postsynaptic membrane (GO:0045211), </w:t>
      </w:r>
      <w:r w:rsidRPr="00A3107C">
        <w:rPr>
          <w:sz w:val="22"/>
          <w:szCs w:val="22"/>
        </w:rPr>
        <w:lastRenderedPageBreak/>
        <w:t>gliogenesis (GO:0060252), oxidative stress (GO: 0006979), transcriptional regulation (GO:0140110), and inflammation (GO:0006954) GOs.</w:t>
      </w:r>
    </w:p>
    <w:p w14:paraId="4176FF12" w14:textId="77777777" w:rsidR="00565EC6" w:rsidRPr="00A3107C" w:rsidRDefault="00565EC6" w:rsidP="00565EC6">
      <w:pPr>
        <w:tabs>
          <w:tab w:val="left" w:pos="90"/>
        </w:tabs>
        <w:rPr>
          <w:sz w:val="22"/>
          <w:szCs w:val="22"/>
        </w:rPr>
      </w:pPr>
    </w:p>
    <w:p w14:paraId="0D2424E4" w14:textId="77777777" w:rsidR="00565EC6" w:rsidRPr="00A3107C" w:rsidRDefault="00565EC6" w:rsidP="00565EC6">
      <w:pPr>
        <w:tabs>
          <w:tab w:val="left" w:pos="90"/>
        </w:tabs>
        <w:rPr>
          <w:sz w:val="22"/>
          <w:szCs w:val="22"/>
        </w:rPr>
      </w:pPr>
      <w:r w:rsidRPr="00A3107C">
        <w:rPr>
          <w:sz w:val="22"/>
          <w:szCs w:val="22"/>
        </w:rPr>
        <w:t>The order of the genes used for GSEA was determined by the DEA rank value shown below, where R is the rank, FC is the fold change, and pval is the unadjusted p-value is:</w:t>
      </w:r>
    </w:p>
    <w:p w14:paraId="3EA80004" w14:textId="77777777" w:rsidR="00565EC6" w:rsidRPr="00A3107C" w:rsidRDefault="00565EC6" w:rsidP="00565EC6">
      <w:pPr>
        <w:tabs>
          <w:tab w:val="left" w:pos="90"/>
        </w:tabs>
        <w:rPr>
          <w:sz w:val="22"/>
          <w:szCs w:val="22"/>
        </w:rPr>
      </w:pPr>
      <m:oMathPara>
        <m:oMath>
          <m:r>
            <w:rPr>
              <w:rFonts w:ascii="Cambria Math" w:hAnsi="Cambria Math"/>
              <w:sz w:val="22"/>
              <w:szCs w:val="22"/>
            </w:rPr>
            <m:t xml:space="preserve">R= </m:t>
          </m:r>
          <m:d>
            <m:dPr>
              <m:begChr m:val="|"/>
              <m:endChr m:val="|"/>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log</m:t>
                  </m:r>
                </m:e>
                <m:sub>
                  <m:r>
                    <w:rPr>
                      <w:rFonts w:ascii="Cambria Math" w:hAnsi="Cambria Math"/>
                      <w:sz w:val="22"/>
                      <w:szCs w:val="22"/>
                    </w:rPr>
                    <m:t>2</m:t>
                  </m:r>
                </m:sub>
              </m:sSub>
              <m:r>
                <w:rPr>
                  <w:rFonts w:ascii="Cambria Math" w:hAnsi="Cambria Math"/>
                  <w:sz w:val="22"/>
                  <w:szCs w:val="22"/>
                </w:rPr>
                <m:t>FC</m:t>
              </m:r>
            </m:e>
          </m:d>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log</m:t>
              </m:r>
            </m:e>
            <m:sub>
              <m:r>
                <w:rPr>
                  <w:rFonts w:ascii="Cambria Math" w:hAnsi="Cambria Math"/>
                  <w:sz w:val="22"/>
                  <w:szCs w:val="22"/>
                </w:rPr>
                <m:t>10</m:t>
              </m:r>
            </m:sub>
          </m:sSub>
          <m:r>
            <w:rPr>
              <w:rFonts w:ascii="Cambria Math" w:hAnsi="Cambria Math"/>
              <w:sz w:val="22"/>
              <w:szCs w:val="22"/>
            </w:rPr>
            <m:t>(pval)</m:t>
          </m:r>
        </m:oMath>
      </m:oMathPara>
    </w:p>
    <w:p w14:paraId="073C2916" w14:textId="77777777" w:rsidR="00565EC6" w:rsidRPr="00A3107C" w:rsidRDefault="00565EC6" w:rsidP="00BF46AA">
      <w:pPr>
        <w:rPr>
          <w:b/>
          <w:bCs/>
          <w:sz w:val="22"/>
          <w:szCs w:val="22"/>
          <w:lang w:val="en-GB"/>
        </w:rPr>
      </w:pPr>
    </w:p>
    <w:p w14:paraId="7878A1FA" w14:textId="77777777" w:rsidR="00FF76FE" w:rsidRPr="00A3107C" w:rsidRDefault="00FF76FE" w:rsidP="00FF76FE">
      <w:pPr>
        <w:tabs>
          <w:tab w:val="left" w:pos="90"/>
        </w:tabs>
        <w:rPr>
          <w:b/>
          <w:bCs/>
          <w:sz w:val="22"/>
          <w:szCs w:val="22"/>
        </w:rPr>
      </w:pPr>
      <w:r w:rsidRPr="00A3107C">
        <w:rPr>
          <w:b/>
          <w:bCs/>
          <w:sz w:val="22"/>
          <w:szCs w:val="22"/>
        </w:rPr>
        <w:t>Statistical Analysis</w:t>
      </w:r>
    </w:p>
    <w:p w14:paraId="46EAE556" w14:textId="77777777" w:rsidR="00FF76FE" w:rsidRPr="00A3107C" w:rsidRDefault="00FF76FE" w:rsidP="00FF76FE">
      <w:pPr>
        <w:tabs>
          <w:tab w:val="left" w:pos="90"/>
        </w:tabs>
        <w:rPr>
          <w:sz w:val="22"/>
          <w:szCs w:val="22"/>
        </w:rPr>
      </w:pPr>
      <w:r w:rsidRPr="00A3107C">
        <w:rPr>
          <w:sz w:val="22"/>
          <w:szCs w:val="22"/>
        </w:rPr>
        <w:t>R versions 3.6.1 and 4.2.2 were used for statistical analysis on the NIH Biowulf high performance computing (HPC) cluster</w:t>
      </w:r>
      <w:r w:rsidRPr="00A3107C">
        <w:rPr>
          <w:sz w:val="22"/>
          <w:szCs w:val="18"/>
        </w:rPr>
        <w:t xml:space="preserve"> </w:t>
      </w:r>
      <w:r w:rsidRPr="00A3107C">
        <w:rPr>
          <w:sz w:val="22"/>
          <w:szCs w:val="22"/>
        </w:rPr>
        <w:t>(http://hpc.nih.gov). Details for each analysis type are outlined in the methods section and in the appropriate sections of the main manuscript.</w:t>
      </w:r>
    </w:p>
    <w:p w14:paraId="3C6CF546" w14:textId="77777777" w:rsidR="00FF76FE" w:rsidRPr="00A3107C" w:rsidRDefault="00FF76FE" w:rsidP="00FF76FE">
      <w:pPr>
        <w:tabs>
          <w:tab w:val="left" w:pos="90"/>
        </w:tabs>
        <w:rPr>
          <w:sz w:val="22"/>
          <w:szCs w:val="22"/>
        </w:rPr>
      </w:pPr>
    </w:p>
    <w:p w14:paraId="3B0A60E3" w14:textId="77777777" w:rsidR="00FF76FE" w:rsidRPr="00A3107C" w:rsidRDefault="00FF76FE" w:rsidP="00FF76FE">
      <w:pPr>
        <w:tabs>
          <w:tab w:val="left" w:pos="90"/>
        </w:tabs>
        <w:rPr>
          <w:sz w:val="22"/>
          <w:szCs w:val="22"/>
        </w:rPr>
      </w:pPr>
    </w:p>
    <w:p w14:paraId="1833B1DE" w14:textId="77777777" w:rsidR="00FF76FE" w:rsidRPr="00A3107C" w:rsidRDefault="00FF76FE" w:rsidP="00FF76FE">
      <w:pPr>
        <w:tabs>
          <w:tab w:val="left" w:pos="90"/>
        </w:tabs>
        <w:rPr>
          <w:sz w:val="22"/>
          <w:szCs w:val="22"/>
        </w:rPr>
      </w:pPr>
    </w:p>
    <w:p w14:paraId="56F52717" w14:textId="77777777" w:rsidR="00F73B07" w:rsidRPr="00A3107C" w:rsidRDefault="00F73B07" w:rsidP="00FF76FE">
      <w:pPr>
        <w:pStyle w:val="Acknowledgement"/>
        <w:spacing w:before="0"/>
        <w:ind w:left="0" w:firstLine="0"/>
        <w:rPr>
          <w:sz w:val="22"/>
          <w:szCs w:val="22"/>
        </w:rPr>
      </w:pPr>
    </w:p>
    <w:p w14:paraId="22ABB968" w14:textId="33702336" w:rsidR="00205365" w:rsidRPr="00A3107C" w:rsidRDefault="00F73B07" w:rsidP="00FF76FE">
      <w:pPr>
        <w:rPr>
          <w:sz w:val="22"/>
          <w:szCs w:val="22"/>
          <w:lang w:val="en-GB"/>
        </w:rPr>
      </w:pPr>
      <w:r w:rsidRPr="00A3107C">
        <w:rPr>
          <w:sz w:val="22"/>
          <w:szCs w:val="22"/>
          <w:lang w:val="en-GB"/>
        </w:rPr>
        <w:t>References:</w:t>
      </w:r>
    </w:p>
    <w:sdt>
      <w:sdtPr>
        <w:rPr>
          <w:color w:val="000000"/>
          <w:sz w:val="22"/>
          <w:szCs w:val="22"/>
          <w:lang w:val="en-GB"/>
        </w:rPr>
        <w:tag w:val="MENDELEY_BIBLIOGRAPHY"/>
        <w:id w:val="-1315944113"/>
        <w:placeholder>
          <w:docPart w:val="DefaultPlaceholder_-1854013440"/>
        </w:placeholder>
      </w:sdtPr>
      <w:sdtContent>
        <w:p w14:paraId="13B81332" w14:textId="77777777" w:rsidR="00F73B07" w:rsidRPr="00A3107C" w:rsidRDefault="00F73B07">
          <w:pPr>
            <w:autoSpaceDE w:val="0"/>
            <w:autoSpaceDN w:val="0"/>
            <w:ind w:hanging="640"/>
            <w:divId w:val="919561781"/>
            <w:rPr>
              <w:color w:val="000000"/>
              <w:sz w:val="22"/>
              <w:szCs w:val="22"/>
            </w:rPr>
          </w:pPr>
          <w:r w:rsidRPr="00A3107C">
            <w:rPr>
              <w:color w:val="000000"/>
              <w:sz w:val="22"/>
              <w:szCs w:val="18"/>
            </w:rPr>
            <w:t xml:space="preserve">1 </w:t>
          </w:r>
          <w:r w:rsidRPr="00A3107C">
            <w:rPr>
              <w:color w:val="000000"/>
              <w:sz w:val="22"/>
              <w:szCs w:val="18"/>
            </w:rPr>
            <w:tab/>
            <w:t xml:space="preserve">Brunet J-P, Tamayo P, Golub TR, Mesirov JP. Metagenes and molecular pattern discovery using matrix factorization. </w:t>
          </w:r>
          <w:r w:rsidRPr="00A3107C">
            <w:rPr>
              <w:i/>
              <w:iCs/>
              <w:color w:val="000000"/>
              <w:sz w:val="22"/>
              <w:szCs w:val="18"/>
            </w:rPr>
            <w:t>Proceedings of the National Academy of Sciences</w:t>
          </w:r>
          <w:r w:rsidRPr="00A3107C">
            <w:rPr>
              <w:color w:val="000000"/>
              <w:sz w:val="22"/>
              <w:szCs w:val="18"/>
            </w:rPr>
            <w:t xml:space="preserve"> 2004; </w:t>
          </w:r>
          <w:r w:rsidRPr="00A3107C">
            <w:rPr>
              <w:bCs/>
              <w:color w:val="000000"/>
              <w:sz w:val="22"/>
              <w:szCs w:val="18"/>
            </w:rPr>
            <w:t>101</w:t>
          </w:r>
          <w:r w:rsidRPr="00A3107C">
            <w:rPr>
              <w:color w:val="000000"/>
              <w:sz w:val="22"/>
              <w:szCs w:val="18"/>
            </w:rPr>
            <w:t>: 4164–4169.</w:t>
          </w:r>
        </w:p>
        <w:p w14:paraId="17C5321E" w14:textId="77777777" w:rsidR="00F73B07" w:rsidRPr="00A3107C" w:rsidRDefault="00F73B07">
          <w:pPr>
            <w:autoSpaceDE w:val="0"/>
            <w:autoSpaceDN w:val="0"/>
            <w:ind w:hanging="640"/>
            <w:divId w:val="151680498"/>
            <w:rPr>
              <w:color w:val="000000"/>
              <w:sz w:val="22"/>
              <w:szCs w:val="18"/>
            </w:rPr>
          </w:pPr>
          <w:r w:rsidRPr="00A3107C">
            <w:rPr>
              <w:color w:val="000000"/>
              <w:sz w:val="22"/>
              <w:szCs w:val="18"/>
            </w:rPr>
            <w:t xml:space="preserve">2 </w:t>
          </w:r>
          <w:r w:rsidRPr="00A3107C">
            <w:rPr>
              <w:color w:val="000000"/>
              <w:sz w:val="22"/>
              <w:szCs w:val="18"/>
            </w:rPr>
            <w:tab/>
            <w:t xml:space="preserve">Rousseeuw PJ. Silhouettes: A graphical aid to the interpretation and validation of cluster analysis. </w:t>
          </w:r>
          <w:r w:rsidRPr="00A3107C">
            <w:rPr>
              <w:i/>
              <w:iCs/>
              <w:color w:val="000000"/>
              <w:sz w:val="22"/>
              <w:szCs w:val="18"/>
            </w:rPr>
            <w:t>J Comput Appl Math</w:t>
          </w:r>
          <w:r w:rsidRPr="00A3107C">
            <w:rPr>
              <w:color w:val="000000"/>
              <w:sz w:val="22"/>
              <w:szCs w:val="18"/>
            </w:rPr>
            <w:t xml:space="preserve"> 1987; </w:t>
          </w:r>
          <w:r w:rsidRPr="00A3107C">
            <w:rPr>
              <w:bCs/>
              <w:color w:val="000000"/>
              <w:sz w:val="22"/>
              <w:szCs w:val="18"/>
            </w:rPr>
            <w:t>20</w:t>
          </w:r>
          <w:r w:rsidRPr="00A3107C">
            <w:rPr>
              <w:color w:val="000000"/>
              <w:sz w:val="22"/>
              <w:szCs w:val="18"/>
            </w:rPr>
            <w:t>: 53–65.</w:t>
          </w:r>
        </w:p>
        <w:p w14:paraId="03207149" w14:textId="77777777" w:rsidR="00F73B07" w:rsidRPr="00A3107C" w:rsidRDefault="00F73B07">
          <w:pPr>
            <w:autoSpaceDE w:val="0"/>
            <w:autoSpaceDN w:val="0"/>
            <w:ind w:hanging="640"/>
            <w:divId w:val="2091006050"/>
            <w:rPr>
              <w:color w:val="000000"/>
              <w:sz w:val="22"/>
              <w:szCs w:val="18"/>
            </w:rPr>
          </w:pPr>
          <w:r w:rsidRPr="00A3107C">
            <w:rPr>
              <w:color w:val="000000"/>
              <w:sz w:val="22"/>
              <w:szCs w:val="18"/>
            </w:rPr>
            <w:t xml:space="preserve">3 </w:t>
          </w:r>
          <w:r w:rsidRPr="00A3107C">
            <w:rPr>
              <w:color w:val="000000"/>
              <w:sz w:val="22"/>
              <w:szCs w:val="18"/>
            </w:rPr>
            <w:tab/>
            <w:t xml:space="preserve">Ho YJ </w:t>
          </w:r>
          <w:r w:rsidRPr="00A3107C">
            <w:rPr>
              <w:i/>
              <w:iCs/>
              <w:color w:val="000000"/>
              <w:sz w:val="22"/>
              <w:szCs w:val="18"/>
            </w:rPr>
            <w:t>et al.</w:t>
          </w:r>
          <w:r w:rsidRPr="00A3107C">
            <w:rPr>
              <w:color w:val="000000"/>
              <w:sz w:val="22"/>
              <w:szCs w:val="18"/>
            </w:rPr>
            <w:t xml:space="preserve"> Single-cell RNA-seq analysis identifies markers of resistance to targeted BRAF inhibitors in melanoma cell populations. </w:t>
          </w:r>
          <w:r w:rsidRPr="00A3107C">
            <w:rPr>
              <w:i/>
              <w:iCs/>
              <w:color w:val="000000"/>
              <w:sz w:val="22"/>
              <w:szCs w:val="18"/>
            </w:rPr>
            <w:t>Genome Res</w:t>
          </w:r>
          <w:r w:rsidRPr="00A3107C">
            <w:rPr>
              <w:color w:val="000000"/>
              <w:sz w:val="22"/>
              <w:szCs w:val="18"/>
            </w:rPr>
            <w:t xml:space="preserve"> 2018; </w:t>
          </w:r>
          <w:r w:rsidRPr="00A3107C">
            <w:rPr>
              <w:bCs/>
              <w:color w:val="000000"/>
              <w:sz w:val="22"/>
              <w:szCs w:val="18"/>
            </w:rPr>
            <w:t>28</w:t>
          </w:r>
          <w:r w:rsidRPr="00A3107C">
            <w:rPr>
              <w:color w:val="000000"/>
              <w:sz w:val="22"/>
              <w:szCs w:val="18"/>
            </w:rPr>
            <w:t>: 1353–1363.</w:t>
          </w:r>
        </w:p>
        <w:p w14:paraId="0EA69C78" w14:textId="77777777" w:rsidR="00F73B07" w:rsidRPr="00A3107C" w:rsidRDefault="00F73B07">
          <w:pPr>
            <w:autoSpaceDE w:val="0"/>
            <w:autoSpaceDN w:val="0"/>
            <w:ind w:hanging="640"/>
            <w:divId w:val="425003064"/>
            <w:rPr>
              <w:color w:val="000000"/>
              <w:sz w:val="22"/>
              <w:szCs w:val="18"/>
            </w:rPr>
          </w:pPr>
          <w:r w:rsidRPr="00A3107C">
            <w:rPr>
              <w:color w:val="000000"/>
              <w:sz w:val="22"/>
              <w:szCs w:val="18"/>
            </w:rPr>
            <w:t xml:space="preserve">4 </w:t>
          </w:r>
          <w:r w:rsidRPr="00A3107C">
            <w:rPr>
              <w:color w:val="000000"/>
              <w:sz w:val="22"/>
              <w:szCs w:val="18"/>
            </w:rPr>
            <w:tab/>
            <w:t xml:space="preserve">Little RJA. Missing-Data Adjustments in Large Surveys. </w:t>
          </w:r>
          <w:r w:rsidRPr="00A3107C">
            <w:rPr>
              <w:i/>
              <w:iCs/>
              <w:color w:val="000000"/>
              <w:sz w:val="22"/>
              <w:szCs w:val="18"/>
            </w:rPr>
            <w:t>Journal of Business &amp; Economic Statistics</w:t>
          </w:r>
          <w:r w:rsidRPr="00A3107C">
            <w:rPr>
              <w:color w:val="000000"/>
              <w:sz w:val="22"/>
              <w:szCs w:val="18"/>
            </w:rPr>
            <w:t xml:space="preserve"> 1988; </w:t>
          </w:r>
          <w:r w:rsidRPr="00A3107C">
            <w:rPr>
              <w:bCs/>
              <w:color w:val="000000"/>
              <w:sz w:val="22"/>
              <w:szCs w:val="18"/>
            </w:rPr>
            <w:t>6</w:t>
          </w:r>
          <w:r w:rsidRPr="00A3107C">
            <w:rPr>
              <w:color w:val="000000"/>
              <w:sz w:val="22"/>
              <w:szCs w:val="18"/>
            </w:rPr>
            <w:t>: 287.</w:t>
          </w:r>
        </w:p>
        <w:p w14:paraId="28CD5BBF" w14:textId="77777777" w:rsidR="00F73B07" w:rsidRPr="00A3107C" w:rsidRDefault="00F73B07">
          <w:pPr>
            <w:autoSpaceDE w:val="0"/>
            <w:autoSpaceDN w:val="0"/>
            <w:ind w:hanging="640"/>
            <w:divId w:val="607129007"/>
            <w:rPr>
              <w:color w:val="000000"/>
              <w:sz w:val="22"/>
              <w:szCs w:val="18"/>
            </w:rPr>
          </w:pPr>
          <w:r w:rsidRPr="00A3107C">
            <w:rPr>
              <w:color w:val="000000"/>
              <w:sz w:val="22"/>
              <w:szCs w:val="18"/>
            </w:rPr>
            <w:t xml:space="preserve">5 </w:t>
          </w:r>
          <w:r w:rsidRPr="00A3107C">
            <w:rPr>
              <w:color w:val="000000"/>
              <w:sz w:val="22"/>
              <w:szCs w:val="18"/>
            </w:rPr>
            <w:tab/>
            <w:t xml:space="preserve">Buuren S van, Groothuis-Oudshoorn K. mice : Multivariate Imputation by Chained Equations in R. </w:t>
          </w:r>
          <w:r w:rsidRPr="00A3107C">
            <w:rPr>
              <w:i/>
              <w:iCs/>
              <w:color w:val="000000"/>
              <w:sz w:val="22"/>
              <w:szCs w:val="18"/>
            </w:rPr>
            <w:t>J Stat Softw</w:t>
          </w:r>
          <w:r w:rsidRPr="00A3107C">
            <w:rPr>
              <w:color w:val="000000"/>
              <w:sz w:val="22"/>
              <w:szCs w:val="18"/>
            </w:rPr>
            <w:t xml:space="preserve"> 2011; </w:t>
          </w:r>
          <w:r w:rsidRPr="00A3107C">
            <w:rPr>
              <w:bCs/>
              <w:color w:val="000000"/>
              <w:sz w:val="22"/>
              <w:szCs w:val="18"/>
            </w:rPr>
            <w:t>45</w:t>
          </w:r>
          <w:r w:rsidRPr="00A3107C">
            <w:rPr>
              <w:color w:val="000000"/>
              <w:sz w:val="22"/>
              <w:szCs w:val="18"/>
            </w:rPr>
            <w:t>. doi:10.18637/jss.v045.i03.</w:t>
          </w:r>
        </w:p>
        <w:p w14:paraId="6945890C" w14:textId="77777777" w:rsidR="00F73B07" w:rsidRPr="00A3107C" w:rsidRDefault="00F73B07">
          <w:pPr>
            <w:autoSpaceDE w:val="0"/>
            <w:autoSpaceDN w:val="0"/>
            <w:ind w:hanging="640"/>
            <w:divId w:val="1501392011"/>
            <w:rPr>
              <w:color w:val="000000"/>
              <w:sz w:val="22"/>
              <w:szCs w:val="18"/>
            </w:rPr>
          </w:pPr>
          <w:r w:rsidRPr="00A3107C">
            <w:rPr>
              <w:color w:val="000000"/>
              <w:sz w:val="22"/>
              <w:szCs w:val="18"/>
            </w:rPr>
            <w:t xml:space="preserve">6 </w:t>
          </w:r>
          <w:r w:rsidRPr="00A3107C">
            <w:rPr>
              <w:color w:val="000000"/>
              <w:sz w:val="22"/>
              <w:szCs w:val="18"/>
            </w:rPr>
            <w:tab/>
            <w:t xml:space="preserve">Haibo He, Yang Bai, Garcia EA, Shutao Li. ADASYN: Adaptive synthetic sampling approach for imbalanced learning. In: </w:t>
          </w:r>
          <w:r w:rsidRPr="00A3107C">
            <w:rPr>
              <w:i/>
              <w:iCs/>
              <w:color w:val="000000"/>
              <w:sz w:val="22"/>
              <w:szCs w:val="18"/>
            </w:rPr>
            <w:t>2008 IEEE International Joint Conference on Neural Networks (IEEE World Congress on Computational Intelligence)</w:t>
          </w:r>
          <w:r w:rsidRPr="00A3107C">
            <w:rPr>
              <w:color w:val="000000"/>
              <w:sz w:val="22"/>
              <w:szCs w:val="18"/>
            </w:rPr>
            <w:t>. IEEE, 2008, pp 1322–1328.</w:t>
          </w:r>
        </w:p>
        <w:p w14:paraId="2BA78952" w14:textId="77777777" w:rsidR="00F73B07" w:rsidRPr="00A3107C" w:rsidRDefault="00F73B07">
          <w:pPr>
            <w:autoSpaceDE w:val="0"/>
            <w:autoSpaceDN w:val="0"/>
            <w:ind w:hanging="640"/>
            <w:divId w:val="1984306459"/>
            <w:rPr>
              <w:color w:val="000000"/>
              <w:sz w:val="22"/>
              <w:szCs w:val="18"/>
            </w:rPr>
          </w:pPr>
          <w:r w:rsidRPr="00A3107C">
            <w:rPr>
              <w:color w:val="000000"/>
              <w:sz w:val="22"/>
              <w:szCs w:val="18"/>
            </w:rPr>
            <w:t xml:space="preserve">7 </w:t>
          </w:r>
          <w:r w:rsidRPr="00A3107C">
            <w:rPr>
              <w:color w:val="000000"/>
              <w:sz w:val="22"/>
              <w:szCs w:val="18"/>
            </w:rPr>
            <w:tab/>
            <w:t xml:space="preserve">Pedregosa F </w:t>
          </w:r>
          <w:r w:rsidRPr="00A3107C">
            <w:rPr>
              <w:i/>
              <w:iCs/>
              <w:color w:val="000000"/>
              <w:sz w:val="22"/>
              <w:szCs w:val="18"/>
            </w:rPr>
            <w:t>et al.</w:t>
          </w:r>
          <w:r w:rsidRPr="00A3107C">
            <w:rPr>
              <w:color w:val="000000"/>
              <w:sz w:val="22"/>
              <w:szCs w:val="18"/>
            </w:rPr>
            <w:t xml:space="preserve"> Scikit-learn: Machine Learning in Python. 2018.</w:t>
          </w:r>
        </w:p>
        <w:p w14:paraId="554BE136" w14:textId="77777777" w:rsidR="00F73B07" w:rsidRPr="00A3107C" w:rsidRDefault="00F73B07">
          <w:pPr>
            <w:autoSpaceDE w:val="0"/>
            <w:autoSpaceDN w:val="0"/>
            <w:ind w:hanging="640"/>
            <w:divId w:val="552498885"/>
            <w:rPr>
              <w:color w:val="000000"/>
              <w:sz w:val="22"/>
              <w:szCs w:val="18"/>
            </w:rPr>
          </w:pPr>
          <w:r w:rsidRPr="00A3107C">
            <w:rPr>
              <w:color w:val="000000"/>
              <w:sz w:val="22"/>
              <w:szCs w:val="18"/>
            </w:rPr>
            <w:t xml:space="preserve">8 </w:t>
          </w:r>
          <w:r w:rsidRPr="00A3107C">
            <w:rPr>
              <w:color w:val="000000"/>
              <w:sz w:val="22"/>
              <w:szCs w:val="18"/>
            </w:rPr>
            <w:tab/>
            <w:t xml:space="preserve">Krämer A, Green J, Pollard J, Tugendreich S. Causal analysis approaches in Ingenuity Pathway Analysis. </w:t>
          </w:r>
          <w:r w:rsidRPr="00A3107C">
            <w:rPr>
              <w:i/>
              <w:iCs/>
              <w:color w:val="000000"/>
              <w:sz w:val="22"/>
              <w:szCs w:val="18"/>
            </w:rPr>
            <w:t>Bioinformatics</w:t>
          </w:r>
          <w:r w:rsidRPr="00A3107C">
            <w:rPr>
              <w:color w:val="000000"/>
              <w:sz w:val="22"/>
              <w:szCs w:val="18"/>
            </w:rPr>
            <w:t xml:space="preserve"> 2014; </w:t>
          </w:r>
          <w:r w:rsidRPr="00A3107C">
            <w:rPr>
              <w:bCs/>
              <w:color w:val="000000"/>
              <w:sz w:val="22"/>
              <w:szCs w:val="18"/>
            </w:rPr>
            <w:t>30</w:t>
          </w:r>
          <w:r w:rsidRPr="00A3107C">
            <w:rPr>
              <w:color w:val="000000"/>
              <w:sz w:val="22"/>
              <w:szCs w:val="18"/>
            </w:rPr>
            <w:t>: 523–530.</w:t>
          </w:r>
        </w:p>
        <w:p w14:paraId="5B0BA6F6" w14:textId="77777777" w:rsidR="00F73B07" w:rsidRPr="00A3107C" w:rsidRDefault="00F73B07">
          <w:pPr>
            <w:autoSpaceDE w:val="0"/>
            <w:autoSpaceDN w:val="0"/>
            <w:ind w:hanging="640"/>
            <w:divId w:val="415438390"/>
            <w:rPr>
              <w:color w:val="000000"/>
              <w:sz w:val="22"/>
              <w:szCs w:val="18"/>
            </w:rPr>
          </w:pPr>
          <w:r w:rsidRPr="00A3107C">
            <w:rPr>
              <w:color w:val="000000"/>
              <w:sz w:val="22"/>
              <w:szCs w:val="18"/>
            </w:rPr>
            <w:t xml:space="preserve">9 </w:t>
          </w:r>
          <w:r w:rsidRPr="00A3107C">
            <w:rPr>
              <w:color w:val="000000"/>
              <w:sz w:val="22"/>
              <w:szCs w:val="18"/>
            </w:rPr>
            <w:tab/>
            <w:t xml:space="preserve">Korotkevich G, Sukhov V, Budin N, Shpak B, Artyomov M, Sergushichev A. Fast gene set enrichment analysis. </w:t>
          </w:r>
          <w:r w:rsidRPr="00A3107C">
            <w:rPr>
              <w:i/>
              <w:iCs/>
              <w:color w:val="000000"/>
              <w:sz w:val="22"/>
              <w:szCs w:val="18"/>
            </w:rPr>
            <w:t>bioRxiv</w:t>
          </w:r>
          <w:r w:rsidRPr="00A3107C">
            <w:rPr>
              <w:color w:val="000000"/>
              <w:sz w:val="22"/>
              <w:szCs w:val="18"/>
            </w:rPr>
            <w:t xml:space="preserve"> 2016; </w:t>
          </w:r>
          <w:r w:rsidRPr="00A3107C">
            <w:rPr>
              <w:bCs/>
              <w:color w:val="000000"/>
              <w:sz w:val="22"/>
              <w:szCs w:val="18"/>
            </w:rPr>
            <w:t>17</w:t>
          </w:r>
          <w:r w:rsidRPr="00A3107C">
            <w:rPr>
              <w:color w:val="000000"/>
              <w:sz w:val="22"/>
              <w:szCs w:val="18"/>
            </w:rPr>
            <w:t>.</w:t>
          </w:r>
        </w:p>
        <w:p w14:paraId="69111D1B" w14:textId="77777777" w:rsidR="00F73B07" w:rsidRPr="00A3107C" w:rsidRDefault="00F73B07">
          <w:pPr>
            <w:autoSpaceDE w:val="0"/>
            <w:autoSpaceDN w:val="0"/>
            <w:ind w:hanging="640"/>
            <w:divId w:val="1459568301"/>
            <w:rPr>
              <w:color w:val="000000"/>
              <w:sz w:val="22"/>
              <w:szCs w:val="18"/>
            </w:rPr>
          </w:pPr>
          <w:r w:rsidRPr="00A3107C">
            <w:rPr>
              <w:color w:val="000000"/>
              <w:sz w:val="22"/>
              <w:szCs w:val="18"/>
            </w:rPr>
            <w:t xml:space="preserve">10 </w:t>
          </w:r>
          <w:r w:rsidRPr="00A3107C">
            <w:rPr>
              <w:color w:val="000000"/>
              <w:sz w:val="22"/>
              <w:szCs w:val="18"/>
            </w:rPr>
            <w:tab/>
            <w:t xml:space="preserve">Carbon S, Ireland A, Mungall CJ, Shu S, Marshall B, Lewis S. AmiGO: online access to ontology and annotation data. </w:t>
          </w:r>
          <w:r w:rsidRPr="00A3107C">
            <w:rPr>
              <w:i/>
              <w:iCs/>
              <w:color w:val="000000"/>
              <w:sz w:val="22"/>
              <w:szCs w:val="18"/>
            </w:rPr>
            <w:t>Bioinformatics</w:t>
          </w:r>
          <w:r w:rsidRPr="00A3107C">
            <w:rPr>
              <w:color w:val="000000"/>
              <w:sz w:val="22"/>
              <w:szCs w:val="18"/>
            </w:rPr>
            <w:t xml:space="preserve"> 2009; </w:t>
          </w:r>
          <w:r w:rsidRPr="00A3107C">
            <w:rPr>
              <w:bCs/>
              <w:color w:val="000000"/>
              <w:sz w:val="22"/>
              <w:szCs w:val="18"/>
            </w:rPr>
            <w:t>25</w:t>
          </w:r>
          <w:r w:rsidRPr="00A3107C">
            <w:rPr>
              <w:color w:val="000000"/>
              <w:sz w:val="22"/>
              <w:szCs w:val="18"/>
            </w:rPr>
            <w:t>: 288–289.</w:t>
          </w:r>
        </w:p>
        <w:p w14:paraId="50968AAC" w14:textId="77777777" w:rsidR="00F73B07" w:rsidRPr="00A3107C" w:rsidRDefault="00F73B07">
          <w:pPr>
            <w:autoSpaceDE w:val="0"/>
            <w:autoSpaceDN w:val="0"/>
            <w:ind w:hanging="640"/>
            <w:divId w:val="197205654"/>
            <w:rPr>
              <w:color w:val="000000"/>
              <w:sz w:val="22"/>
              <w:szCs w:val="18"/>
            </w:rPr>
          </w:pPr>
          <w:r w:rsidRPr="00A3107C">
            <w:rPr>
              <w:color w:val="000000"/>
              <w:sz w:val="22"/>
              <w:szCs w:val="18"/>
            </w:rPr>
            <w:t xml:space="preserve">11 </w:t>
          </w:r>
          <w:r w:rsidRPr="00A3107C">
            <w:rPr>
              <w:color w:val="000000"/>
              <w:sz w:val="22"/>
              <w:szCs w:val="18"/>
            </w:rPr>
            <w:tab/>
            <w:t xml:space="preserve">Durinck S, Spellman PT, Birney E, Huber W. Mapping identifiers for the integration of genomic datasets with the R/Bioconductor package biomaRt. </w:t>
          </w:r>
          <w:r w:rsidRPr="00A3107C">
            <w:rPr>
              <w:i/>
              <w:iCs/>
              <w:color w:val="000000"/>
              <w:sz w:val="22"/>
              <w:szCs w:val="18"/>
            </w:rPr>
            <w:t>Nat Protoc</w:t>
          </w:r>
          <w:r w:rsidRPr="00A3107C">
            <w:rPr>
              <w:color w:val="000000"/>
              <w:sz w:val="22"/>
              <w:szCs w:val="18"/>
            </w:rPr>
            <w:t xml:space="preserve"> 2009; </w:t>
          </w:r>
          <w:r w:rsidRPr="00A3107C">
            <w:rPr>
              <w:bCs/>
              <w:color w:val="000000"/>
              <w:sz w:val="22"/>
              <w:szCs w:val="18"/>
            </w:rPr>
            <w:t>4</w:t>
          </w:r>
          <w:r w:rsidRPr="00A3107C">
            <w:rPr>
              <w:color w:val="000000"/>
              <w:sz w:val="22"/>
              <w:szCs w:val="18"/>
            </w:rPr>
            <w:t>: 1184–1191.</w:t>
          </w:r>
        </w:p>
        <w:p w14:paraId="30F499C2" w14:textId="3A52B79C" w:rsidR="00205365" w:rsidRPr="00A3107C" w:rsidRDefault="00F73B07" w:rsidP="00BF46AA">
          <w:pPr>
            <w:rPr>
              <w:sz w:val="22"/>
              <w:szCs w:val="22"/>
              <w:lang w:val="en-GB"/>
            </w:rPr>
          </w:pPr>
          <w:r w:rsidRPr="00A3107C">
            <w:rPr>
              <w:color w:val="000000"/>
              <w:sz w:val="22"/>
              <w:szCs w:val="18"/>
            </w:rPr>
            <w:t> </w:t>
          </w:r>
        </w:p>
      </w:sdtContent>
    </w:sdt>
    <w:p w14:paraId="32BB77B0" w14:textId="77777777" w:rsidR="00205365" w:rsidRDefault="00205365" w:rsidP="00BF46AA">
      <w:pPr>
        <w:rPr>
          <w:sz w:val="22"/>
          <w:szCs w:val="22"/>
          <w:lang w:val="en-GB"/>
        </w:rPr>
      </w:pPr>
    </w:p>
    <w:p w14:paraId="4B419FCC" w14:textId="77777777" w:rsidR="007D6A5D" w:rsidRDefault="007D6A5D" w:rsidP="00BF46AA">
      <w:pPr>
        <w:rPr>
          <w:sz w:val="22"/>
          <w:szCs w:val="22"/>
          <w:lang w:val="en-GB"/>
        </w:rPr>
      </w:pPr>
    </w:p>
    <w:p w14:paraId="17D899E6" w14:textId="77777777" w:rsidR="007D6A5D" w:rsidRDefault="007D6A5D" w:rsidP="00BF46AA">
      <w:pPr>
        <w:rPr>
          <w:sz w:val="22"/>
          <w:szCs w:val="22"/>
          <w:lang w:val="en-GB"/>
        </w:rPr>
      </w:pPr>
    </w:p>
    <w:p w14:paraId="44A34410" w14:textId="77777777" w:rsidR="007D6A5D" w:rsidRDefault="007D6A5D" w:rsidP="00BF46AA">
      <w:pPr>
        <w:rPr>
          <w:sz w:val="22"/>
          <w:szCs w:val="22"/>
          <w:lang w:val="en-GB"/>
        </w:rPr>
      </w:pPr>
    </w:p>
    <w:p w14:paraId="59EA3C4F" w14:textId="77777777" w:rsidR="007D6A5D" w:rsidRDefault="007D6A5D" w:rsidP="00BF46AA">
      <w:pPr>
        <w:rPr>
          <w:sz w:val="22"/>
          <w:szCs w:val="22"/>
          <w:lang w:val="en-GB"/>
        </w:rPr>
      </w:pPr>
    </w:p>
    <w:p w14:paraId="68B94871" w14:textId="77777777" w:rsidR="007D6A5D" w:rsidRDefault="007D6A5D" w:rsidP="00BF46AA">
      <w:pPr>
        <w:rPr>
          <w:sz w:val="22"/>
          <w:szCs w:val="22"/>
          <w:lang w:val="en-GB"/>
        </w:rPr>
      </w:pPr>
    </w:p>
    <w:p w14:paraId="5DD1A0F5" w14:textId="77777777" w:rsidR="001560BE" w:rsidRDefault="001560BE" w:rsidP="00BF46AA">
      <w:pPr>
        <w:rPr>
          <w:sz w:val="22"/>
          <w:szCs w:val="22"/>
          <w:lang w:val="en-GB"/>
        </w:rPr>
      </w:pPr>
    </w:p>
    <w:p w14:paraId="28F989F4" w14:textId="77777777" w:rsidR="001560BE" w:rsidRDefault="001560BE" w:rsidP="00BF46AA">
      <w:pPr>
        <w:rPr>
          <w:sz w:val="22"/>
          <w:szCs w:val="22"/>
          <w:lang w:val="en-GB"/>
        </w:rPr>
      </w:pPr>
    </w:p>
    <w:p w14:paraId="6EC0B4C7" w14:textId="77777777" w:rsidR="001560BE" w:rsidRDefault="001560BE" w:rsidP="00BF46AA">
      <w:pPr>
        <w:rPr>
          <w:sz w:val="22"/>
          <w:szCs w:val="22"/>
          <w:lang w:val="en-GB"/>
        </w:rPr>
      </w:pPr>
    </w:p>
    <w:p w14:paraId="1D719F92" w14:textId="77777777" w:rsidR="007D6A5D" w:rsidRPr="00A3107C" w:rsidRDefault="007D6A5D" w:rsidP="00BF46AA">
      <w:pPr>
        <w:rPr>
          <w:sz w:val="22"/>
          <w:szCs w:val="22"/>
          <w:lang w:val="en-GB"/>
        </w:rPr>
      </w:pPr>
    </w:p>
    <w:p w14:paraId="6544BC47" w14:textId="77777777" w:rsidR="0088081F" w:rsidRDefault="0088081F" w:rsidP="00BF46AA">
      <w:pPr>
        <w:spacing w:after="200"/>
        <w:rPr>
          <w:rFonts w:eastAsia="Calibri"/>
          <w:b/>
          <w:bCs/>
          <w:sz w:val="22"/>
          <w:szCs w:val="22"/>
        </w:rPr>
      </w:pPr>
    </w:p>
    <w:p w14:paraId="5CEB72B7" w14:textId="1F74F76C" w:rsidR="00205365" w:rsidRPr="00A3107C" w:rsidRDefault="00205365" w:rsidP="00BF46AA">
      <w:pPr>
        <w:spacing w:after="200"/>
        <w:rPr>
          <w:rFonts w:eastAsia="Calibri"/>
          <w:b/>
          <w:bCs/>
          <w:sz w:val="22"/>
          <w:szCs w:val="22"/>
        </w:rPr>
      </w:pPr>
      <w:r w:rsidRPr="00A3107C">
        <w:rPr>
          <w:rFonts w:eastAsia="Calibri"/>
          <w:b/>
          <w:bCs/>
          <w:sz w:val="22"/>
          <w:szCs w:val="22"/>
        </w:rPr>
        <w:lastRenderedPageBreak/>
        <w:t>SUPPLEMENTARY ACKNOWLEDGEMENTS</w:t>
      </w:r>
    </w:p>
    <w:p w14:paraId="4F9CBB85" w14:textId="77777777" w:rsidR="00205365" w:rsidRPr="00A3107C" w:rsidRDefault="00205365" w:rsidP="00BF46AA">
      <w:pPr>
        <w:spacing w:after="200"/>
        <w:rPr>
          <w:rFonts w:eastAsia="Calibri"/>
          <w:b/>
          <w:bCs/>
          <w:sz w:val="22"/>
          <w:szCs w:val="22"/>
        </w:rPr>
      </w:pPr>
    </w:p>
    <w:p w14:paraId="4AD2C82A" w14:textId="77777777" w:rsidR="00205365" w:rsidRPr="00A3107C" w:rsidRDefault="00205365" w:rsidP="00BF46AA">
      <w:pPr>
        <w:spacing w:after="200"/>
        <w:rPr>
          <w:rFonts w:eastAsia="Calibri"/>
          <w:b/>
          <w:bCs/>
          <w:sz w:val="22"/>
          <w:szCs w:val="22"/>
        </w:rPr>
      </w:pPr>
      <w:r w:rsidRPr="00A3107C">
        <w:rPr>
          <w:rFonts w:eastAsia="Calibri"/>
          <w:b/>
          <w:bCs/>
          <w:sz w:val="22"/>
          <w:szCs w:val="22"/>
        </w:rPr>
        <w:t>The NYGC ALS Consortium</w:t>
      </w:r>
    </w:p>
    <w:p w14:paraId="1355CDD9"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Hemali Phatnani, Center for Genomics of Neurodegenerative Disease (CGND), New York Genome Center, New York, NY</w:t>
      </w:r>
    </w:p>
    <w:p w14:paraId="5DC6C876"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Justin Kwan, Director of Neurodegeneration Disorders Clinic in the Office of the Clinical Director at the National Institutes of Health, Bethesda, MD</w:t>
      </w:r>
    </w:p>
    <w:p w14:paraId="2E052D69"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Dhruv Sareen, Cedars-Sinai Department of Biomedical Sciences, Board of Governors Regenerative Medicine Institute and Brain Program, Cedars-Sinai Medical Center, and Department of Medicine, University of California, Los Angeles, CA</w:t>
      </w:r>
    </w:p>
    <w:p w14:paraId="17ABE71E"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James R. Broach, Department of Biochemistry and Molecular Biology, Penn State Institute for Personalized Medicine, The Pennsylvania State University, Hershey, PA</w:t>
      </w:r>
    </w:p>
    <w:p w14:paraId="38CE38CC"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Zachary Simmons, Department of Neurology, The Pennsylvania State University, Hershey, PA</w:t>
      </w:r>
    </w:p>
    <w:p w14:paraId="5A65CE36"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Ximena Arcila-Londono, Department of Neurology, Henry Ford Health System, Detroit, MI</w:t>
      </w:r>
    </w:p>
    <w:p w14:paraId="0EA4E13C"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Edward B. Lee, MD, PhD, Department of Pathology and Laboratory Medicine, Perelman School of Medicine, University of Pennsylvania, Philadelphia, PA</w:t>
      </w:r>
    </w:p>
    <w:p w14:paraId="666178B0"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Vivianna M. Van Deerlin, Department of Pathology and Laboratory Medicine, Perelman School of Medicine, University of Pennsylvania, Philadelphia, PA</w:t>
      </w:r>
    </w:p>
    <w:p w14:paraId="445FD320"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Neil A. Shneider, MD, Department of Neurology, Center for Motor Neuron Biology and Disease, Institute for Genomic Medicine, Columbia University, New York, NY</w:t>
      </w:r>
    </w:p>
    <w:p w14:paraId="2B334EA3"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Ernest Fraenkel, Department of Biological Engineering, Massachusetts Institute of Technology, Cambridge, MA</w:t>
      </w:r>
    </w:p>
    <w:p w14:paraId="6A5C9F26"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Lyle W. Ostrow, MD, Department of Neurology, Temple University Lewis Katz School of Medicine, Philadelphia, PN</w:t>
      </w:r>
    </w:p>
    <w:p w14:paraId="7E527022"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Frank Baas, Department of Neurogenetics, Academic Medical Centre, Amsterdam and Leiden University Medical Center, Leiden, The Netherlands</w:t>
      </w:r>
    </w:p>
    <w:p w14:paraId="3BA4C7CE"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Noah Zaitlen, Computational and Medical Genomics, University of California, Los Angeles, CA</w:t>
      </w:r>
    </w:p>
    <w:p w14:paraId="3B9202A0"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James D. Berry, ALS Multidisciplinary Clinic, Neuromuscular Division, Department of Neurology, Harvard Medical School, and Neurological Clinical Research Institute, Massachusetts General Hospital, Boston, MA</w:t>
      </w:r>
    </w:p>
    <w:p w14:paraId="6B7B9754"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Andrea Malaspina, Centre for Neuroscience and Trauma, Blizard Institute, Barts and The London School of Medicine and Dentistry, Queen Mary University of London, London, and Department of Neurology, Basildon University Hospital, Basildon, United Kingdom</w:t>
      </w:r>
    </w:p>
    <w:p w14:paraId="7F695E3C"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Pietro Fratta, MD, Institute of Neurology, National Hospital for Neurology and Neurosurgery, University College London, London, United Kingdom</w:t>
      </w:r>
    </w:p>
    <w:p w14:paraId="08511338"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Gregory A. Cox, The Jackson Laboratory, Bar Harbor, ME</w:t>
      </w:r>
    </w:p>
    <w:p w14:paraId="295B02B8"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Leslie M. Thompson, Department of Psychiatry &amp; Human Behavior, Department of Biological Chemistry, School of Medicine, and Department of Neurobiology and Behavior, School of Biological Sciences, University California, Irvine, CA</w:t>
      </w:r>
    </w:p>
    <w:p w14:paraId="2384093D"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Steve Finkbeiner, Taube/Koret Center for Neurodegenerative Disease Research, Roddenberry Center for Stem Cell Biology and Medicine, Gladstone Institute</w:t>
      </w:r>
    </w:p>
    <w:p w14:paraId="1B632C13"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Efthimios Dardiotis, Department of Neurology &amp; Sensory Organs, University of Thessaly, Thessaly, Greece</w:t>
      </w:r>
    </w:p>
    <w:p w14:paraId="469E903F"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Timothy M. Miller, MD, Department of Neurology, Washington University in St. Louis, St. Louis, MO</w:t>
      </w:r>
    </w:p>
    <w:p w14:paraId="4C109555"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Siddharthan Chandran, Centre for Clinical Brain Sciences, Anne Rowling Regenerative Neurology Clinic, Euan MacDonald Centre for Motor Neurone Disease Research, University of Edinburgh, Edinburgh, United Kingdom</w:t>
      </w:r>
    </w:p>
    <w:p w14:paraId="333DAC8E"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lastRenderedPageBreak/>
        <w:t>Suvankar Pal, Centre for Clinical Brain Sciences, Anne Rowling Regenerative Neurology Clinic, Euan MacDonald Centre for Motor Neurone Disease Research, University of Edinburgh, Edinburgh, United Kingdom</w:t>
      </w:r>
    </w:p>
    <w:p w14:paraId="601192C9"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Eran Hornstein, Department of Molecular Genetics, Weizmann Institute of Science, Rehovot, Israel</w:t>
      </w:r>
    </w:p>
    <w:p w14:paraId="1D3902A3"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Daniel J. MacGowan, Department of Neurology, Icahn School of Medicine at Mount Sinai, New York, NY</w:t>
      </w:r>
    </w:p>
    <w:p w14:paraId="2F26E3FC"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Terry Heiman-Patterson, Center for Neurodegenerative Disorders, Department of Neurology, the Lewis Katz School of Medicine, Temple University, Philadelphia, PA</w:t>
      </w:r>
    </w:p>
    <w:p w14:paraId="0204F9F1"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Molly G. Hammell, New York University, Institute of Systems Genetics, Department of Neuroscience and Physiology, New York, NY</w:t>
      </w:r>
    </w:p>
    <w:p w14:paraId="13F5394B"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Nikolaos. A. Patsopoulos, Computer Science and Systems Biology Program, Ann Romney Center for Neurological Diseases, Department of Neurology and Division of Genetics in Department of Medicine, Brigham and Women’s Hospital, Boston, MA, Harvard Medical School, Boston, MA, and Program in Medical and Population Genetics, Broad Institute, Cambridge, MA</w:t>
      </w:r>
    </w:p>
    <w:p w14:paraId="41A3A234"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Oleg Butovsky, Ann Romney Center for Neurologic Diseases, Brigham and Women's Hospital, Harvard Medical School, Boston, MA</w:t>
      </w:r>
    </w:p>
    <w:p w14:paraId="3D9278F6"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Joshua Dubnau, Department of Anesthesiology, Stony Brook University, Stony Brook, NY</w:t>
      </w:r>
    </w:p>
    <w:p w14:paraId="37374790"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Robert Bowser, Department of Neurology, Barrow Neurological Institute, St. Joseph's Hospital and Medical Center, Department of Neurobiology, Barrow Neurological Institute, St. Joseph's Hospital and Medical Center, Phoenix, AZ</w:t>
      </w:r>
    </w:p>
    <w:p w14:paraId="5EC1431E"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Matt Harms, Department of Neurology, Division of Neuromuscular Medicine, Columbia University, New York, NY</w:t>
      </w:r>
    </w:p>
    <w:p w14:paraId="3738ADA4"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Eleonora Aronica, Department of Neuropathology, Academic Medical Center, University of Amsterdam, Amsterdam, The Netherlands</w:t>
      </w:r>
    </w:p>
    <w:p w14:paraId="146A3AF5"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Mary Poss, DVM, Department of Biology and Veterinary and Biomedical Sciences, The Pennsylvania State University, University Park, PA</w:t>
      </w:r>
    </w:p>
    <w:p w14:paraId="4A647C54"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Jennifer Phillips-Cremins, New York Stem Cell Foundation, Department of Bioengineering, School of Engineering and Applied Sciences, University of Pennsylvania, Philadelphia, PA</w:t>
      </w:r>
    </w:p>
    <w:p w14:paraId="0C028C9E"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John Crary, MD, Department of Pathology, Fishberg Department of Neuroscience, Friedman Brain Institute, Ronald M. Loeb Center for Alzheimer's Disease, Icahn School of Medicine at Mount Sinai, New York, NY</w:t>
      </w:r>
    </w:p>
    <w:p w14:paraId="58D944AA"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Nazem Atassi, Department of Neurology, Harvard Medical School, Neurological Clinical Research Institute, Massachusetts General Hospital, Boston, MA</w:t>
      </w:r>
    </w:p>
    <w:p w14:paraId="222C2199"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Dale J. Lange, Department of Neurology, Hospital for Special Surgery and Weill Cornell Medical Center, New York, NY</w:t>
      </w:r>
    </w:p>
    <w:p w14:paraId="1211BD62"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Darius J. Adams, Medical Genetics, Atlantic Health System, Morristown Medical Center, Morristown, NJ, and Overlook Medical Center, Summit, NJ</w:t>
      </w:r>
    </w:p>
    <w:p w14:paraId="4D9B0110"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Leonidas Stefanis, Center of Clinical Research, Experimental Surgery and Translational Research, Biomedical Research Foundation of the Academy of Athens (BRFAA), 4 Soranou Efesiou Street, 11527, Athens, Greece; 1st Department of Neurology, Eginition Hospital, Medical School, National and Kapodistrian University of Athens, Athens, Greece</w:t>
      </w:r>
    </w:p>
    <w:p w14:paraId="4E849FF3"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Marc Gotkine, Neuromuscular/EMG service and ALS/Motor Neuron Disease Clinic, Hebrew University-Hadassah Medical Center, Jerusalem, Israel</w:t>
      </w:r>
    </w:p>
    <w:p w14:paraId="50F8FEA6"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Robert H. Baloh, Board of Governors Regenerative Medicine Institute, Los Angeles, CA; Department of Neurology, Cedars-Sinai Medical Center, Los Angeles, CA</w:t>
      </w:r>
    </w:p>
    <w:p w14:paraId="7B4E0A2E"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Suma Babu, MBBS, Neurological Clinical Research Institute, Massachusetts General Hospital, Boston, MA</w:t>
      </w:r>
    </w:p>
    <w:p w14:paraId="7BE98BC8"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Towfique Raj, Departments of Neuroscience, and Genetics and Genomic Sciences, Ronald M. Loeb Center for Alzheimer's disease, Icahn School of Medicine at Mount Sinai, New York, NY</w:t>
      </w:r>
    </w:p>
    <w:p w14:paraId="49A46846"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Sabrina Paganoni, Harvard Medical School, Department of Physical Medicine &amp; Rehabilitation, Spaulding Rehabilitation Hospital, Boston, MA</w:t>
      </w:r>
    </w:p>
    <w:p w14:paraId="43411F92"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lastRenderedPageBreak/>
        <w:t>Ophir Shalem, Center for Cellular and Molecular Therapeutics, Children's Hospital of Philadelphia, Philadelphia, PA; Department of Genetics, Perelman School of Medicine, University of Pennsylvania, Philadelphia, PA</w:t>
      </w:r>
    </w:p>
    <w:p w14:paraId="3464EB39"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Colin Smith, Centre for Clinical Brain Sciences, University of Edinburgh, Edinburgh, UK; Euan MacDonald Centre for Motor Neurone Disease Research, University of Edinburgh, Edinburgh, UK</w:t>
      </w:r>
    </w:p>
    <w:p w14:paraId="1EA0B29D"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Bin Zhang, Department of Genetics and Genomic Sciences, Icahn Institute of Data Science and Genomic Technology, Icahn School of Medicine at Mount Sinai, New York, NY</w:t>
      </w:r>
    </w:p>
    <w:p w14:paraId="15F100C3"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University of Maryland Brain and Tissue Bank and NIH NeuroBioBank</w:t>
      </w:r>
    </w:p>
    <w:p w14:paraId="59B6F681"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Brent Harris, Department of Neuropathology, Georgetown Brain Bank, Georgetown Lombardi Comprehensive Cancer Center, Georgetown University Medical Center, Washington DC</w:t>
      </w:r>
    </w:p>
    <w:p w14:paraId="5B1B9F82"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Iris Broce, Neuroradiology Section, Department of Radiology and Biomedical Imaging, University of California, San Francisco, San Francisco, CA</w:t>
      </w:r>
    </w:p>
    <w:p w14:paraId="4DC3269A"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Vivian Drory, Neuromuscular Diseases Unit, Department of Neurology, Tel Aviv Sourasky Medical Center, Sackler Faculty of Medicine, Tel-Aviv University, Tel-Aviv, Israel</w:t>
      </w:r>
    </w:p>
    <w:p w14:paraId="52ACBCC2"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John Ravits, Department of Neuroscience, University of California San Diego, La Jolla, CA</w:t>
      </w:r>
    </w:p>
    <w:p w14:paraId="47D23E03"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Corey McMillan, Department of Neurology, University of Pennsylvania Perelman School of Medicine, Philadelphia, PA</w:t>
      </w:r>
    </w:p>
    <w:p w14:paraId="67A1C344"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Vilas Menon, Department of Neurology, Columbia University Medical Center, New York, NY</w:t>
      </w:r>
    </w:p>
    <w:p w14:paraId="43CD0129"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Lani Wu, Department of Pharmaceutical Chemistry, University of California San Francisco, San Francisco, CA</w:t>
      </w:r>
    </w:p>
    <w:p w14:paraId="2AB26C98" w14:textId="77777777" w:rsidR="00205365" w:rsidRPr="00A3107C" w:rsidRDefault="00205365" w:rsidP="00BF46AA">
      <w:pPr>
        <w:numPr>
          <w:ilvl w:val="0"/>
          <w:numId w:val="11"/>
        </w:numPr>
        <w:ind w:left="360"/>
        <w:contextualSpacing/>
        <w:rPr>
          <w:rFonts w:eastAsia="Calibri"/>
          <w:sz w:val="22"/>
          <w:szCs w:val="22"/>
        </w:rPr>
      </w:pPr>
      <w:r w:rsidRPr="00A3107C">
        <w:rPr>
          <w:rFonts w:eastAsia="Calibri"/>
          <w:sz w:val="22"/>
          <w:szCs w:val="22"/>
        </w:rPr>
        <w:t>Steven Altschuler, Department of Pharmaceutical Chemistry, University of California San Francisco, San Francisco, CA.</w:t>
      </w:r>
    </w:p>
    <w:p w14:paraId="08DC9151" w14:textId="77777777" w:rsidR="00C50C6D" w:rsidRPr="00A3107C" w:rsidRDefault="00C50C6D" w:rsidP="00BF46AA">
      <w:pPr>
        <w:pStyle w:val="SMcaption"/>
        <w:rPr>
          <w:sz w:val="22"/>
          <w:szCs w:val="22"/>
        </w:rPr>
      </w:pPr>
    </w:p>
    <w:p w14:paraId="10BF7DE9" w14:textId="77777777" w:rsidR="00B9440A" w:rsidRPr="00A3107C" w:rsidRDefault="00B9440A" w:rsidP="00BF46AA">
      <w:pPr>
        <w:pStyle w:val="SMcaption"/>
        <w:rPr>
          <w:sz w:val="22"/>
          <w:szCs w:val="22"/>
        </w:rPr>
      </w:pPr>
    </w:p>
    <w:sectPr w:rsidR="00B9440A" w:rsidRPr="00A3107C" w:rsidSect="00E853D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2FC38" w14:textId="77777777" w:rsidR="00F150EF" w:rsidRDefault="00F150EF">
      <w:r>
        <w:separator/>
      </w:r>
    </w:p>
  </w:endnote>
  <w:endnote w:type="continuationSeparator" w:id="0">
    <w:p w14:paraId="0229A03B" w14:textId="77777777" w:rsidR="00F150EF" w:rsidRDefault="00F1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32DFF1A6" w:rsidR="00F125EE" w:rsidRDefault="00114193">
    <w:pPr>
      <w:pStyle w:val="Footer"/>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A85B8" w14:textId="77777777" w:rsidR="00F150EF" w:rsidRDefault="00F150EF">
      <w:r>
        <w:separator/>
      </w:r>
    </w:p>
  </w:footnote>
  <w:footnote w:type="continuationSeparator" w:id="0">
    <w:p w14:paraId="47B4D02E" w14:textId="77777777" w:rsidR="00F150EF" w:rsidRDefault="00F15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DD10EBE"/>
    <w:multiLevelType w:val="hybridMultilevel"/>
    <w:tmpl w:val="75C47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7843683">
    <w:abstractNumId w:val="9"/>
  </w:num>
  <w:num w:numId="2" w16cid:durableId="485366509">
    <w:abstractNumId w:val="7"/>
  </w:num>
  <w:num w:numId="3" w16cid:durableId="1888255738">
    <w:abstractNumId w:val="6"/>
  </w:num>
  <w:num w:numId="4" w16cid:durableId="681854557">
    <w:abstractNumId w:val="5"/>
  </w:num>
  <w:num w:numId="5" w16cid:durableId="132017859">
    <w:abstractNumId w:val="4"/>
  </w:num>
  <w:num w:numId="6" w16cid:durableId="934366820">
    <w:abstractNumId w:val="8"/>
  </w:num>
  <w:num w:numId="7" w16cid:durableId="1379206068">
    <w:abstractNumId w:val="3"/>
  </w:num>
  <w:num w:numId="8" w16cid:durableId="855268003">
    <w:abstractNumId w:val="2"/>
  </w:num>
  <w:num w:numId="9" w16cid:durableId="1773744170">
    <w:abstractNumId w:val="1"/>
  </w:num>
  <w:num w:numId="10" w16cid:durableId="297105088">
    <w:abstractNumId w:val="0"/>
  </w:num>
  <w:num w:numId="11" w16cid:durableId="1736877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65EBD"/>
    <w:rsid w:val="00066D0C"/>
    <w:rsid w:val="00083B44"/>
    <w:rsid w:val="000850DC"/>
    <w:rsid w:val="000C07BF"/>
    <w:rsid w:val="000C2771"/>
    <w:rsid w:val="000D46F4"/>
    <w:rsid w:val="000F0DCE"/>
    <w:rsid w:val="000F6BE3"/>
    <w:rsid w:val="00112C5B"/>
    <w:rsid w:val="00114193"/>
    <w:rsid w:val="00115A38"/>
    <w:rsid w:val="0011687B"/>
    <w:rsid w:val="00124F82"/>
    <w:rsid w:val="001560BE"/>
    <w:rsid w:val="0016337A"/>
    <w:rsid w:val="00164269"/>
    <w:rsid w:val="001A1BDE"/>
    <w:rsid w:val="001B13CE"/>
    <w:rsid w:val="001F0876"/>
    <w:rsid w:val="001F167C"/>
    <w:rsid w:val="001F5E91"/>
    <w:rsid w:val="00205365"/>
    <w:rsid w:val="002077B9"/>
    <w:rsid w:val="00262D72"/>
    <w:rsid w:val="00294FBB"/>
    <w:rsid w:val="002C030F"/>
    <w:rsid w:val="002D0B70"/>
    <w:rsid w:val="002F0FB6"/>
    <w:rsid w:val="00311BEF"/>
    <w:rsid w:val="0031671A"/>
    <w:rsid w:val="00331D75"/>
    <w:rsid w:val="00355362"/>
    <w:rsid w:val="00363E44"/>
    <w:rsid w:val="003659A8"/>
    <w:rsid w:val="003669F9"/>
    <w:rsid w:val="00392402"/>
    <w:rsid w:val="00393BAB"/>
    <w:rsid w:val="00395E86"/>
    <w:rsid w:val="003A2FD8"/>
    <w:rsid w:val="003B40E6"/>
    <w:rsid w:val="003E74FB"/>
    <w:rsid w:val="003F5904"/>
    <w:rsid w:val="003F6E14"/>
    <w:rsid w:val="00405336"/>
    <w:rsid w:val="00435ABE"/>
    <w:rsid w:val="0045135C"/>
    <w:rsid w:val="004571D5"/>
    <w:rsid w:val="00461D81"/>
    <w:rsid w:val="0046356B"/>
    <w:rsid w:val="00477182"/>
    <w:rsid w:val="004779CB"/>
    <w:rsid w:val="004A6F57"/>
    <w:rsid w:val="004D0135"/>
    <w:rsid w:val="004E42D8"/>
    <w:rsid w:val="004E7BA2"/>
    <w:rsid w:val="004F25E5"/>
    <w:rsid w:val="004F7EDF"/>
    <w:rsid w:val="005001AC"/>
    <w:rsid w:val="00527D71"/>
    <w:rsid w:val="00532F8E"/>
    <w:rsid w:val="00533910"/>
    <w:rsid w:val="005520A8"/>
    <w:rsid w:val="005607DD"/>
    <w:rsid w:val="00565EC6"/>
    <w:rsid w:val="005A4D27"/>
    <w:rsid w:val="005A558C"/>
    <w:rsid w:val="005C077A"/>
    <w:rsid w:val="005D712F"/>
    <w:rsid w:val="005E28F8"/>
    <w:rsid w:val="005E6513"/>
    <w:rsid w:val="00600D40"/>
    <w:rsid w:val="00607E8E"/>
    <w:rsid w:val="00632CA3"/>
    <w:rsid w:val="00651114"/>
    <w:rsid w:val="00664560"/>
    <w:rsid w:val="00670299"/>
    <w:rsid w:val="00680AE2"/>
    <w:rsid w:val="00691985"/>
    <w:rsid w:val="00697611"/>
    <w:rsid w:val="006A1B64"/>
    <w:rsid w:val="007108F5"/>
    <w:rsid w:val="00713E5B"/>
    <w:rsid w:val="007372D4"/>
    <w:rsid w:val="007402FC"/>
    <w:rsid w:val="007411A1"/>
    <w:rsid w:val="00751CB4"/>
    <w:rsid w:val="00793072"/>
    <w:rsid w:val="007C45B3"/>
    <w:rsid w:val="007D6A5D"/>
    <w:rsid w:val="007E2786"/>
    <w:rsid w:val="00807D35"/>
    <w:rsid w:val="008218C4"/>
    <w:rsid w:val="00867A98"/>
    <w:rsid w:val="00870867"/>
    <w:rsid w:val="0088081F"/>
    <w:rsid w:val="00885C9B"/>
    <w:rsid w:val="008D5D2A"/>
    <w:rsid w:val="008E078A"/>
    <w:rsid w:val="00914B63"/>
    <w:rsid w:val="009354F3"/>
    <w:rsid w:val="009447DC"/>
    <w:rsid w:val="00945471"/>
    <w:rsid w:val="00950234"/>
    <w:rsid w:val="00961BA5"/>
    <w:rsid w:val="009743A9"/>
    <w:rsid w:val="009A5287"/>
    <w:rsid w:val="009A7C5F"/>
    <w:rsid w:val="009B2AC5"/>
    <w:rsid w:val="009B7984"/>
    <w:rsid w:val="009C1133"/>
    <w:rsid w:val="009D1B69"/>
    <w:rsid w:val="009F4BED"/>
    <w:rsid w:val="009F7D93"/>
    <w:rsid w:val="00A02E0C"/>
    <w:rsid w:val="00A3107C"/>
    <w:rsid w:val="00A3403B"/>
    <w:rsid w:val="00A47A4B"/>
    <w:rsid w:val="00A51A12"/>
    <w:rsid w:val="00A53A78"/>
    <w:rsid w:val="00A627D4"/>
    <w:rsid w:val="00A74DA2"/>
    <w:rsid w:val="00A77632"/>
    <w:rsid w:val="00AA1310"/>
    <w:rsid w:val="00AB399E"/>
    <w:rsid w:val="00AC59D0"/>
    <w:rsid w:val="00AD16B1"/>
    <w:rsid w:val="00AD499C"/>
    <w:rsid w:val="00B36869"/>
    <w:rsid w:val="00B43B31"/>
    <w:rsid w:val="00B47CFA"/>
    <w:rsid w:val="00B574A3"/>
    <w:rsid w:val="00B57F00"/>
    <w:rsid w:val="00B63245"/>
    <w:rsid w:val="00B73C69"/>
    <w:rsid w:val="00B77B2A"/>
    <w:rsid w:val="00B82C22"/>
    <w:rsid w:val="00B93DBA"/>
    <w:rsid w:val="00B9440A"/>
    <w:rsid w:val="00BB240B"/>
    <w:rsid w:val="00BB2D2A"/>
    <w:rsid w:val="00BC290E"/>
    <w:rsid w:val="00BC3E04"/>
    <w:rsid w:val="00BD58CF"/>
    <w:rsid w:val="00BF0C92"/>
    <w:rsid w:val="00BF46AA"/>
    <w:rsid w:val="00C04CC1"/>
    <w:rsid w:val="00C4096C"/>
    <w:rsid w:val="00C50C6D"/>
    <w:rsid w:val="00C600D9"/>
    <w:rsid w:val="00C77A5C"/>
    <w:rsid w:val="00C92B22"/>
    <w:rsid w:val="00CB2663"/>
    <w:rsid w:val="00CC1384"/>
    <w:rsid w:val="00CD3720"/>
    <w:rsid w:val="00CD73EF"/>
    <w:rsid w:val="00CE5539"/>
    <w:rsid w:val="00CF1848"/>
    <w:rsid w:val="00CF5C2F"/>
    <w:rsid w:val="00D04BCF"/>
    <w:rsid w:val="00D11A56"/>
    <w:rsid w:val="00D143D9"/>
    <w:rsid w:val="00D30C95"/>
    <w:rsid w:val="00D51C15"/>
    <w:rsid w:val="00D5511B"/>
    <w:rsid w:val="00D766F1"/>
    <w:rsid w:val="00DD2E17"/>
    <w:rsid w:val="00DD50A4"/>
    <w:rsid w:val="00DF7D88"/>
    <w:rsid w:val="00E257C8"/>
    <w:rsid w:val="00E40A10"/>
    <w:rsid w:val="00E41512"/>
    <w:rsid w:val="00E4519A"/>
    <w:rsid w:val="00E853D5"/>
    <w:rsid w:val="00E9773B"/>
    <w:rsid w:val="00EA6F42"/>
    <w:rsid w:val="00EC13A3"/>
    <w:rsid w:val="00EC7C85"/>
    <w:rsid w:val="00ED1374"/>
    <w:rsid w:val="00ED2CBE"/>
    <w:rsid w:val="00F125EE"/>
    <w:rsid w:val="00F12E98"/>
    <w:rsid w:val="00F150EF"/>
    <w:rsid w:val="00F22029"/>
    <w:rsid w:val="00F515FB"/>
    <w:rsid w:val="00F630EA"/>
    <w:rsid w:val="00F7007E"/>
    <w:rsid w:val="00F716C8"/>
    <w:rsid w:val="00F73193"/>
    <w:rsid w:val="00F73B07"/>
    <w:rsid w:val="00F74F95"/>
    <w:rsid w:val="00F80705"/>
    <w:rsid w:val="00FA1481"/>
    <w:rsid w:val="00FF04E3"/>
    <w:rsid w:val="00FF76FE"/>
    <w:rsid w:val="49592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aliases w:val="Chapter_Heading"/>
    <w:basedOn w:val="Normal"/>
    <w:next w:val="Normal"/>
    <w:link w:val="Heading1Char"/>
    <w:uiPriority w:val="9"/>
    <w:qFormat/>
    <w:rsid w:val="00B43B31"/>
    <w:pPr>
      <w:keepNext/>
      <w:spacing w:before="240" w:after="60"/>
      <w:outlineLvl w:val="0"/>
    </w:pPr>
    <w:rPr>
      <w:b/>
      <w:bCs/>
      <w:kern w:val="32"/>
      <w:szCs w:val="24"/>
    </w:rPr>
  </w:style>
  <w:style w:type="paragraph" w:styleId="Heading2">
    <w:name w:val="heading 2"/>
    <w:basedOn w:val="Normal"/>
    <w:next w:val="Normal"/>
    <w:link w:val="Heading2Char"/>
    <w:uiPriority w:val="9"/>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uiPriority w:val="9"/>
    <w:qFormat/>
    <w:rsid w:val="00C600D9"/>
    <w:pPr>
      <w:keepNext/>
      <w:spacing w:line="480" w:lineRule="auto"/>
      <w:outlineLvl w:val="2"/>
    </w:pPr>
    <w:rPr>
      <w:rFonts w:ascii="Times" w:eastAsia="Times" w:hAnsi="Times"/>
      <w:b/>
    </w:rPr>
  </w:style>
  <w:style w:type="paragraph" w:styleId="Heading4">
    <w:name w:val="heading 4"/>
    <w:basedOn w:val="Normal"/>
    <w:next w:val="Normal"/>
    <w:uiPriority w:val="9"/>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uiPriority w:val="9"/>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uiPriority w:val="9"/>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uiPriority w:val="9"/>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aliases w:val="Chapter_Heading Char"/>
    <w:link w:val="Heading1"/>
    <w:uiPriority w:val="9"/>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uiPriority w:val="35"/>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customStyle="1" w:styleId="PubInfo">
    <w:name w:val="PubInfo"/>
    <w:basedOn w:val="Normal"/>
    <w:qFormat/>
    <w:rsid w:val="00533910"/>
    <w:pPr>
      <w:suppressAutoHyphens/>
      <w:jc w:val="center"/>
    </w:pPr>
    <w:rPr>
      <w:sz w:val="20"/>
      <w:lang w:eastAsia="ar-SA"/>
    </w:rPr>
  </w:style>
  <w:style w:type="paragraph" w:customStyle="1" w:styleId="DoiInfo">
    <w:name w:val="DoiInfo"/>
    <w:basedOn w:val="Normal"/>
    <w:qFormat/>
    <w:rsid w:val="00533910"/>
    <w:pPr>
      <w:suppressAutoHyphens/>
      <w:jc w:val="center"/>
    </w:pPr>
    <w:rPr>
      <w:sz w:val="20"/>
      <w:lang w:eastAsia="ar-SA"/>
    </w:rPr>
  </w:style>
  <w:style w:type="paragraph" w:customStyle="1" w:styleId="Paragraph">
    <w:name w:val="Paragraph"/>
    <w:basedOn w:val="Normal"/>
    <w:rsid w:val="00DD50A4"/>
    <w:pPr>
      <w:spacing w:before="120"/>
      <w:ind w:firstLine="720"/>
    </w:pPr>
    <w:rPr>
      <w:szCs w:val="24"/>
    </w:rPr>
  </w:style>
  <w:style w:type="paragraph" w:customStyle="1" w:styleId="Acknowledgement">
    <w:name w:val="Acknowledgement"/>
    <w:basedOn w:val="Normal"/>
    <w:rsid w:val="00FF76FE"/>
    <w:pPr>
      <w:spacing w:before="120"/>
      <w:ind w:left="720" w:hanging="720"/>
    </w:pPr>
    <w:rPr>
      <w:szCs w:val="24"/>
    </w:rPr>
  </w:style>
  <w:style w:type="character" w:styleId="PlaceholderText">
    <w:name w:val="Placeholder Text"/>
    <w:basedOn w:val="DefaultParagraphFont"/>
    <w:uiPriority w:val="99"/>
    <w:semiHidden/>
    <w:rsid w:val="00F73B0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390225">
      <w:bodyDiv w:val="1"/>
      <w:marLeft w:val="0"/>
      <w:marRight w:val="0"/>
      <w:marTop w:val="0"/>
      <w:marBottom w:val="0"/>
      <w:divBdr>
        <w:top w:val="none" w:sz="0" w:space="0" w:color="auto"/>
        <w:left w:val="none" w:sz="0" w:space="0" w:color="auto"/>
        <w:bottom w:val="none" w:sz="0" w:space="0" w:color="auto"/>
        <w:right w:val="none" w:sz="0" w:space="0" w:color="auto"/>
      </w:divBdr>
      <w:divsChild>
        <w:div w:id="919561781">
          <w:marLeft w:val="640"/>
          <w:marRight w:val="0"/>
          <w:marTop w:val="0"/>
          <w:marBottom w:val="0"/>
          <w:divBdr>
            <w:top w:val="none" w:sz="0" w:space="0" w:color="auto"/>
            <w:left w:val="none" w:sz="0" w:space="0" w:color="auto"/>
            <w:bottom w:val="none" w:sz="0" w:space="0" w:color="auto"/>
            <w:right w:val="none" w:sz="0" w:space="0" w:color="auto"/>
          </w:divBdr>
        </w:div>
        <w:div w:id="151680498">
          <w:marLeft w:val="640"/>
          <w:marRight w:val="0"/>
          <w:marTop w:val="0"/>
          <w:marBottom w:val="0"/>
          <w:divBdr>
            <w:top w:val="none" w:sz="0" w:space="0" w:color="auto"/>
            <w:left w:val="none" w:sz="0" w:space="0" w:color="auto"/>
            <w:bottom w:val="none" w:sz="0" w:space="0" w:color="auto"/>
            <w:right w:val="none" w:sz="0" w:space="0" w:color="auto"/>
          </w:divBdr>
        </w:div>
        <w:div w:id="2091006050">
          <w:marLeft w:val="640"/>
          <w:marRight w:val="0"/>
          <w:marTop w:val="0"/>
          <w:marBottom w:val="0"/>
          <w:divBdr>
            <w:top w:val="none" w:sz="0" w:space="0" w:color="auto"/>
            <w:left w:val="none" w:sz="0" w:space="0" w:color="auto"/>
            <w:bottom w:val="none" w:sz="0" w:space="0" w:color="auto"/>
            <w:right w:val="none" w:sz="0" w:space="0" w:color="auto"/>
          </w:divBdr>
        </w:div>
        <w:div w:id="425003064">
          <w:marLeft w:val="640"/>
          <w:marRight w:val="0"/>
          <w:marTop w:val="0"/>
          <w:marBottom w:val="0"/>
          <w:divBdr>
            <w:top w:val="none" w:sz="0" w:space="0" w:color="auto"/>
            <w:left w:val="none" w:sz="0" w:space="0" w:color="auto"/>
            <w:bottom w:val="none" w:sz="0" w:space="0" w:color="auto"/>
            <w:right w:val="none" w:sz="0" w:space="0" w:color="auto"/>
          </w:divBdr>
        </w:div>
        <w:div w:id="607129007">
          <w:marLeft w:val="640"/>
          <w:marRight w:val="0"/>
          <w:marTop w:val="0"/>
          <w:marBottom w:val="0"/>
          <w:divBdr>
            <w:top w:val="none" w:sz="0" w:space="0" w:color="auto"/>
            <w:left w:val="none" w:sz="0" w:space="0" w:color="auto"/>
            <w:bottom w:val="none" w:sz="0" w:space="0" w:color="auto"/>
            <w:right w:val="none" w:sz="0" w:space="0" w:color="auto"/>
          </w:divBdr>
        </w:div>
        <w:div w:id="1501392011">
          <w:marLeft w:val="640"/>
          <w:marRight w:val="0"/>
          <w:marTop w:val="0"/>
          <w:marBottom w:val="0"/>
          <w:divBdr>
            <w:top w:val="none" w:sz="0" w:space="0" w:color="auto"/>
            <w:left w:val="none" w:sz="0" w:space="0" w:color="auto"/>
            <w:bottom w:val="none" w:sz="0" w:space="0" w:color="auto"/>
            <w:right w:val="none" w:sz="0" w:space="0" w:color="auto"/>
          </w:divBdr>
        </w:div>
        <w:div w:id="1984306459">
          <w:marLeft w:val="640"/>
          <w:marRight w:val="0"/>
          <w:marTop w:val="0"/>
          <w:marBottom w:val="0"/>
          <w:divBdr>
            <w:top w:val="none" w:sz="0" w:space="0" w:color="auto"/>
            <w:left w:val="none" w:sz="0" w:space="0" w:color="auto"/>
            <w:bottom w:val="none" w:sz="0" w:space="0" w:color="auto"/>
            <w:right w:val="none" w:sz="0" w:space="0" w:color="auto"/>
          </w:divBdr>
        </w:div>
        <w:div w:id="552498885">
          <w:marLeft w:val="640"/>
          <w:marRight w:val="0"/>
          <w:marTop w:val="0"/>
          <w:marBottom w:val="0"/>
          <w:divBdr>
            <w:top w:val="none" w:sz="0" w:space="0" w:color="auto"/>
            <w:left w:val="none" w:sz="0" w:space="0" w:color="auto"/>
            <w:bottom w:val="none" w:sz="0" w:space="0" w:color="auto"/>
            <w:right w:val="none" w:sz="0" w:space="0" w:color="auto"/>
          </w:divBdr>
        </w:div>
        <w:div w:id="415438390">
          <w:marLeft w:val="640"/>
          <w:marRight w:val="0"/>
          <w:marTop w:val="0"/>
          <w:marBottom w:val="0"/>
          <w:divBdr>
            <w:top w:val="none" w:sz="0" w:space="0" w:color="auto"/>
            <w:left w:val="none" w:sz="0" w:space="0" w:color="auto"/>
            <w:bottom w:val="none" w:sz="0" w:space="0" w:color="auto"/>
            <w:right w:val="none" w:sz="0" w:space="0" w:color="auto"/>
          </w:divBdr>
        </w:div>
        <w:div w:id="1459568301">
          <w:marLeft w:val="640"/>
          <w:marRight w:val="0"/>
          <w:marTop w:val="0"/>
          <w:marBottom w:val="0"/>
          <w:divBdr>
            <w:top w:val="none" w:sz="0" w:space="0" w:color="auto"/>
            <w:left w:val="none" w:sz="0" w:space="0" w:color="auto"/>
            <w:bottom w:val="none" w:sz="0" w:space="0" w:color="auto"/>
            <w:right w:val="none" w:sz="0" w:space="0" w:color="auto"/>
          </w:divBdr>
        </w:div>
        <w:div w:id="197205654">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6.emf"/><Relationship Id="rId26" Type="http://schemas.openxmlformats.org/officeDocument/2006/relationships/image" Target="media/image14.emf"/><Relationship Id="rId3" Type="http://schemas.openxmlformats.org/officeDocument/2006/relationships/customXml" Target="../customXml/item3.xml"/><Relationship Id="rId21" Type="http://schemas.openxmlformats.org/officeDocument/2006/relationships/image" Target="media/image9.emf"/><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svg"/><Relationship Id="rId25" Type="http://schemas.openxmlformats.org/officeDocument/2006/relationships/image" Target="media/image13.emf"/><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emf"/><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2.emf"/><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svg"/><Relationship Id="rId23" Type="http://schemas.openxmlformats.org/officeDocument/2006/relationships/image" Target="media/image11.svg"/><Relationship Id="rId28" Type="http://schemas.openxmlformats.org/officeDocument/2006/relationships/image" Target="media/image16.svg"/><Relationship Id="rId10" Type="http://schemas.openxmlformats.org/officeDocument/2006/relationships/endnotes" Target="endnotes.xml"/><Relationship Id="rId19" Type="http://schemas.openxmlformats.org/officeDocument/2006/relationships/image" Target="media/image7.emf"/><Relationship Id="rId31" Type="http://schemas.openxmlformats.org/officeDocument/2006/relationships/hyperlink" Target="https://digitalinsights.qiagen.com/IP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svg"/><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0BB4E6076148E28C43F1F78AD22514"/>
        <w:category>
          <w:name w:val="General"/>
          <w:gallery w:val="placeholder"/>
        </w:category>
        <w:types>
          <w:type w:val="bbPlcHdr"/>
        </w:types>
        <w:behaviors>
          <w:behavior w:val="content"/>
        </w:behaviors>
        <w:guid w:val="{F1657262-CBFD-44A1-B845-C29264D64772}"/>
      </w:docPartPr>
      <w:docPartBody>
        <w:p w:rsidR="005A1B58" w:rsidRDefault="00400BC5" w:rsidP="00400BC5">
          <w:pPr>
            <w:pStyle w:val="FB0BB4E6076148E28C43F1F78AD22514"/>
          </w:pPr>
          <w:r w:rsidRPr="00CB53A9">
            <w:rPr>
              <w:rStyle w:val="PlaceholderText"/>
            </w:rPr>
            <w:t>Click or tap here to enter text.</w:t>
          </w:r>
        </w:p>
      </w:docPartBody>
    </w:docPart>
    <w:docPart>
      <w:docPartPr>
        <w:name w:val="77335A12FFB04957AA4994D6FF0D97FB"/>
        <w:category>
          <w:name w:val="General"/>
          <w:gallery w:val="placeholder"/>
        </w:category>
        <w:types>
          <w:type w:val="bbPlcHdr"/>
        </w:types>
        <w:behaviors>
          <w:behavior w:val="content"/>
        </w:behaviors>
        <w:guid w:val="{30A81F1B-856D-4E8F-B3AF-B4804E780446}"/>
      </w:docPartPr>
      <w:docPartBody>
        <w:p w:rsidR="005A1B58" w:rsidRDefault="00400BC5" w:rsidP="00400BC5">
          <w:pPr>
            <w:pStyle w:val="77335A12FFB04957AA4994D6FF0D97FB"/>
          </w:pPr>
          <w:r w:rsidRPr="00D609AF">
            <w:rPr>
              <w:rStyle w:val="PlaceholderText"/>
            </w:rPr>
            <w:t>Click or tap here to enter text.</w:t>
          </w:r>
        </w:p>
      </w:docPartBody>
    </w:docPart>
    <w:docPart>
      <w:docPartPr>
        <w:name w:val="E056D884BD554C949D420D5ED59083F4"/>
        <w:category>
          <w:name w:val="General"/>
          <w:gallery w:val="placeholder"/>
        </w:category>
        <w:types>
          <w:type w:val="bbPlcHdr"/>
        </w:types>
        <w:behaviors>
          <w:behavior w:val="content"/>
        </w:behaviors>
        <w:guid w:val="{5A1D91D5-9C69-4994-B612-F5866AF66F5C}"/>
      </w:docPartPr>
      <w:docPartBody>
        <w:p w:rsidR="005A1B58" w:rsidRDefault="00400BC5" w:rsidP="00400BC5">
          <w:pPr>
            <w:pStyle w:val="E056D884BD554C949D420D5ED59083F4"/>
          </w:pPr>
          <w:r w:rsidRPr="00CB53A9">
            <w:rPr>
              <w:rStyle w:val="PlaceholderText"/>
            </w:rPr>
            <w:t>Click or tap here to enter text.</w:t>
          </w:r>
        </w:p>
      </w:docPartBody>
    </w:docPart>
    <w:docPart>
      <w:docPartPr>
        <w:name w:val="7045AA28EB0A4E32B9074C32770B4979"/>
        <w:category>
          <w:name w:val="General"/>
          <w:gallery w:val="placeholder"/>
        </w:category>
        <w:types>
          <w:type w:val="bbPlcHdr"/>
        </w:types>
        <w:behaviors>
          <w:behavior w:val="content"/>
        </w:behaviors>
        <w:guid w:val="{A926A74D-59E7-4E49-B1D4-A5438DB8AFFC}"/>
      </w:docPartPr>
      <w:docPartBody>
        <w:p w:rsidR="005A1B58" w:rsidRDefault="00400BC5" w:rsidP="00400BC5">
          <w:pPr>
            <w:pStyle w:val="7045AA28EB0A4E32B9074C32770B4979"/>
          </w:pPr>
          <w:r w:rsidRPr="00546D1E">
            <w:rPr>
              <w:rStyle w:val="PlaceholderText"/>
            </w:rPr>
            <w:t>Click or tap here to enter text.</w:t>
          </w:r>
        </w:p>
      </w:docPartBody>
    </w:docPart>
    <w:docPart>
      <w:docPartPr>
        <w:name w:val="0DBB8DDF35A245F392C9A5CE7A6F7C68"/>
        <w:category>
          <w:name w:val="General"/>
          <w:gallery w:val="placeholder"/>
        </w:category>
        <w:types>
          <w:type w:val="bbPlcHdr"/>
        </w:types>
        <w:behaviors>
          <w:behavior w:val="content"/>
        </w:behaviors>
        <w:guid w:val="{91B059C4-0CD2-4C9E-AC33-F60674F07139}"/>
      </w:docPartPr>
      <w:docPartBody>
        <w:p w:rsidR="005A1B58" w:rsidRDefault="00400BC5" w:rsidP="00400BC5">
          <w:pPr>
            <w:pStyle w:val="0DBB8DDF35A245F392C9A5CE7A6F7C68"/>
          </w:pPr>
          <w:r w:rsidRPr="006D60E3">
            <w:rPr>
              <w:rStyle w:val="PlaceholderText"/>
            </w:rPr>
            <w:t>Click or tap here to enter text.</w:t>
          </w:r>
        </w:p>
      </w:docPartBody>
    </w:docPart>
    <w:docPart>
      <w:docPartPr>
        <w:name w:val="E2A19DCB126745BBA8EF5E3111C43276"/>
        <w:category>
          <w:name w:val="General"/>
          <w:gallery w:val="placeholder"/>
        </w:category>
        <w:types>
          <w:type w:val="bbPlcHdr"/>
        </w:types>
        <w:behaviors>
          <w:behavior w:val="content"/>
        </w:behaviors>
        <w:guid w:val="{1BB4C934-1329-4F48-A413-AD9BD388B50F}"/>
      </w:docPartPr>
      <w:docPartBody>
        <w:p w:rsidR="005A1B58" w:rsidRDefault="00400BC5" w:rsidP="00400BC5">
          <w:pPr>
            <w:pStyle w:val="E2A19DCB126745BBA8EF5E3111C43276"/>
          </w:pPr>
          <w:r w:rsidRPr="006D60E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9CD3C9B-DDDD-437F-9C87-D5CC011E6F99}"/>
      </w:docPartPr>
      <w:docPartBody>
        <w:p w:rsidR="005A1B58" w:rsidRDefault="00400BC5">
          <w:r w:rsidRPr="00080BB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BC5"/>
    <w:rsid w:val="00400BC5"/>
    <w:rsid w:val="0045135C"/>
    <w:rsid w:val="004B3C6C"/>
    <w:rsid w:val="005A1B58"/>
    <w:rsid w:val="00855111"/>
    <w:rsid w:val="008E078A"/>
    <w:rsid w:val="00A262A3"/>
    <w:rsid w:val="00A972D4"/>
    <w:rsid w:val="00AC74DA"/>
    <w:rsid w:val="00BD5C47"/>
    <w:rsid w:val="00ED1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0BC5"/>
    <w:rPr>
      <w:color w:val="666666"/>
    </w:rPr>
  </w:style>
  <w:style w:type="paragraph" w:customStyle="1" w:styleId="FB0BB4E6076148E28C43F1F78AD22514">
    <w:name w:val="FB0BB4E6076148E28C43F1F78AD22514"/>
    <w:rsid w:val="00400BC5"/>
  </w:style>
  <w:style w:type="paragraph" w:customStyle="1" w:styleId="77335A12FFB04957AA4994D6FF0D97FB">
    <w:name w:val="77335A12FFB04957AA4994D6FF0D97FB"/>
    <w:rsid w:val="00400BC5"/>
  </w:style>
  <w:style w:type="paragraph" w:customStyle="1" w:styleId="E056D884BD554C949D420D5ED59083F4">
    <w:name w:val="E056D884BD554C949D420D5ED59083F4"/>
    <w:rsid w:val="00400BC5"/>
  </w:style>
  <w:style w:type="paragraph" w:customStyle="1" w:styleId="7045AA28EB0A4E32B9074C32770B4979">
    <w:name w:val="7045AA28EB0A4E32B9074C32770B4979"/>
    <w:rsid w:val="00400BC5"/>
  </w:style>
  <w:style w:type="paragraph" w:customStyle="1" w:styleId="0DBB8DDF35A245F392C9A5CE7A6F7C68">
    <w:name w:val="0DBB8DDF35A245F392C9A5CE7A6F7C68"/>
    <w:rsid w:val="00400BC5"/>
  </w:style>
  <w:style w:type="paragraph" w:customStyle="1" w:styleId="E2A19DCB126745BBA8EF5E3111C43276">
    <w:name w:val="E2A19DCB126745BBA8EF5E3111C43276"/>
    <w:rsid w:val="00400B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B83907B-7218-44AC-8C8B-6497CF3F37AB}">
  <we:reference id="wa104382081" version="1.55.1.0" store="en-US" storeType="OMEX"/>
  <we:alternateReferences>
    <we:reference id="wa104382081" version="1.55.1.0" store="en-US" storeType="OMEX"/>
  </we:alternateReferences>
  <we:properties>
    <we:property name="MENDELEY_CITATIONS" value="[{&quot;citationID&quot;:&quot;MENDELEY_CITATION_144d7975-d3d9-44a1-8edf-33dc04a88fdd&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&quot;,&quot;citationItems&quot;:[{&quot;id&quot;:&quot;895b0320-0736-3620-87fd-cb36da320001&quot;,&quot;itemData&quot;:{&quot;type&quot;:&quot;article-journal&quot;,&quot;id&quot;:&quot;895b0320-0736-3620-87fd-cb36da320001&quot;,&quot;title&quot;:&quot;Metagenes and molecular pattern discovery using matrix factorization&quot;,&quot;author&quot;:[{&quot;family&quot;:&quot;Brunet&quot;,&quot;given&quot;:&quot;Jean-Philippe&quot;,&quot;parse-names&quot;:false,&quot;dropping-particle&quot;:&quot;&quot;,&quot;non-dropping-particle&quot;:&quot;&quot;},{&quot;family&quot;:&quot;Tamayo&quot;,&quot;given&quot;:&quot;Pablo&quot;,&quot;parse-names&quot;:false,&quot;dropping-particle&quot;:&quot;&quot;,&quot;non-dropping-particle&quot;:&quot;&quot;},{&quot;family&quot;:&quot;Golub&quot;,&quot;given&quot;:&quot;Todd R.&quot;,&quot;parse-names&quot;:false,&quot;dropping-particle&quot;:&quot;&quot;,&quot;non-dropping-particle&quot;:&quot;&quot;},{&quot;family&quot;:&quot;Mesirov&quot;,&quot;given&quot;:&quot;Jill P.&quot;,&quot;parse-names&quot;:false,&quot;dropping-particle&quot;:&quot;&quot;,&quot;non-dropping-particle&quot;:&quot;&quot;}],&quot;container-title&quot;:&quot;Proceedings of the National Academy of Sciences&quot;,&quot;DOI&quot;:&quot;10.1073/pnas.0308531101&quot;,&quot;ISSN&quot;:&quot;0027-8424&quot;,&quot;issued&quot;:{&quot;date-parts&quot;:[[2004,3,23]]},&quot;page&quot;:&quot;4164-4169&quot;,&quot;abstract&quot;:&quot;&lt;p&gt; We describe here the use of nonnegative matrix factorization (NMF), an algorithm based on decomposition by parts that can reduce the dimension of expression data from thousands of genes to a handful of metagenes. Coupled with a model selection mechanism, adapted to work for any stochastic clustering algorithm, NMF is an efficient method for identification of distinct molecular patterns and provides a powerful method for class discovery. We demonstrate the ability of NMF to recover meaningful biological information from cancer-related microarray data. NMF appears to have advantages over other methods such as hierarchical clustering or self-organizing maps. We found it less sensitive to &lt;italic&gt;a priori&lt;/italic&gt; selection of genes or initial conditions and able to detect alternative or context-dependent patterns of gene expression in complex biological systems. This ability, similar to semantic polysemy in text, provides a general method for robust molecular pattern discovery. &lt;/p&gt;&quot;,&quot;issue&quot;:&quot;12&quot;,&quot;volume&quot;:&quot;101&quot;,&quot;container-title-short&quot;:&quot;&quot;},&quot;isTemporary&quot;:false}]},{&quot;citationID&quot;:&quot;MENDELEY_CITATION_24905520-16a5-4286-9a2f-a305f4e2b88e&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&quot;,&quot;citationItems&quot;:[{&quot;id&quot;:&quot;92cf57b9-09b0-3b40-830c-8de9d2131682&quot;,&quot;itemData&quot;:{&quot;type&quot;:&quot;article-journal&quot;,&quot;id&quot;:&quot;92cf57b9-09b0-3b40-830c-8de9d2131682&quot;,&quot;title&quot;:&quot;Silhouettes: A graphical aid to the interpretation and validation of cluster analysis&quot;,&quot;author&quot;:[{&quot;family&quot;:&quot;Rousseeuw&quot;,&quot;given&quot;:&quot;Peter J.&quot;,&quot;parse-names&quot;:false,&quot;dropping-particle&quot;:&quot;&quot;,&quot;non-dropping-particle&quot;:&quot;&quot;}],&quot;container-title&quot;:&quot;Journal of Computational and Applied Mathematics&quot;,&quot;container-title-short&quot;:&quot;J Comput Appl Math&quot;,&quot;DOI&quot;:&quot;10.1016/0377-0427(87)90125-7&quot;,&quot;ISSN&quot;:&quot;03770427&quot;,&quot;issued&quot;:{&quot;date-parts&quot;:[[1987,11]]},&quot;page&quot;:&quot;53-65&quot;,&quot;volume&quot;:&quot;20&quot;},&quot;isTemporary&quot;:false}]},{&quot;citationID&quot;:&quot;MENDELEY_CITATION_75ac7417-f78f-463b-89de-3a5cc7f8fc5e&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&quot;,&quot;citationItems&quot;:[{&quot;id&quot;:&quot;a6f4e0cd-35a6-3e52-bb3e-83ed2b1ecdb5&quot;,&quot;itemData&quot;:{&quot;type&quot;:&quot;article-journal&quot;,&quot;id&quot;:&quot;a6f4e0cd-35a6-3e52-bb3e-83ed2b1ecdb5&quot;,&quot;title&quot;:&quot;Single-cell RNA-seq analysis identifies markers of resistance to targeted BRAF inhibitors in melanoma cell populations&quot;,&quot;author&quot;:[{&quot;family&quot;:&quot;Ho&quot;,&quot;given&quot;:&quot;Yu Jui&quot;,&quot;parse-names&quot;:false,&quot;dropping-particle&quot;:&quot;&quot;,&quot;non-dropping-particle&quot;:&quot;&quot;},{&quot;family&quot;:&quot;Anaparthy&quot;,&quot;given&quot;:&quot;Naishitha&quot;,&quot;parse-names&quot;:false,&quot;dropping-particle&quot;:&quot;&quot;,&quot;non-dropping-particle&quot;:&quot;&quot;},{&quot;family&quot;:&quot;Molik&quot;,&quot;given&quot;:&quot;David&quot;,&quot;parse-names&quot;:false,&quot;dropping-particle&quot;:&quot;&quot;,&quot;non-dropping-particle&quot;:&quot;&quot;},{&quot;family&quot;:&quot;Mathew&quot;,&quot;given&quot;:&quot;Grinu&quot;,&quot;parse-names&quot;:false,&quot;dropping-particle&quot;:&quot;&quot;,&quot;non-dropping-particle&quot;:&quot;&quot;},{&quot;family&quot;:&quot;Aicher&quot;,&quot;given&quot;:&quot;Toby&quot;,&quot;parse-names&quot;:false,&quot;dropping-particle&quot;:&quot;&quot;,&quot;non-dropping-particle&quot;:&quot;&quot;},{&quot;family&quot;:&quot;Patel&quot;,&quot;given&quot;:&quot;Ami&quot;,&quot;parse-names&quot;:false,&quot;dropping-particle&quot;:&quot;&quot;,&quot;non-dropping-particle&quot;:&quot;&quot;},{&quot;family&quot;:&quot;Hicks&quot;,&quot;given&quot;:&quot;James&quot;,&quot;parse-names&quot;:false,&quot;dropping-particle&quot;:&quot;&quot;,&quot;non-dropping-particle&quot;:&quot;&quot;},{&quot;family&quot;:&quot;Hammell&quot;,&quot;given&quot;:&quot;Molly Gale&quot;,&quot;parse-names&quot;:false,&quot;dropping-particle&quot;:&quot;&quot;,&quot;non-dropping-particle&quot;:&quot;&quot;}],&quot;container-title&quot;:&quot;Genome Research&quot;,&quot;container-title-short&quot;:&quot;Genome Res&quot;,&quot;DOI&quot;:&quot;10.1101/gr.234062.117&quot;,&quot;ISSN&quot;:&quot;15495469&quot;,&quot;PMID&quot;:&quot;30061114&quot;,&quot;issued&quot;:{&quot;date-parts&quot;:[[2018]]},&quot;page&quot;:&quot;1353-1363&quot;,&quot;abstract&quot;:&quot;Single-cell RNA-seq’s (scRNA-seq) unprecedented cellular resolution at a genome-wide scale enables us to address questions about cellular heterogeneity that are inaccessible using methods that average over bulk tissue extracts. However, scRNA-seq data sets also present additional challenges such as high transcript dropout rates, stochastic transcription events, and complex population substructures. Here, we present a single-cell RNA-seq analysis and klustering evaluation (SAKE), a robust method for scRNA-seq analysis that provides quantitative statistical metrics at each step of the analysis pipeline. Comparing SAKE to multiple single-cell analysis methods shows that most methods perform similarly across a wide range of cellular contexts, with SAKE outperforming these methods in the case of large complex populations. We next applied the SAKE algorithms to identify drug-resistant cellular populations as human melanoma cells respond to targeted BRAF inhibitors (BRAFi). Single-cell RNA-seq data from both the Fluidigm C1 and 10x Genomics platforms were analyzed with SAKE to dissect this problem at multiple scales. Data from both platforms indicate that BRAF inhibitor-resistant cells can emerge from rare populations already present before drug application, with SAKE identifying both novel and known markers of resistance. These experimentally validated markers of BRAFi resistance share overlap with previous analyses in different melanoma cell lines, demonstrating the generality of these findings and highlighting the utility of single-cell analysis to elucidate mechanisms of BRAFi resistance.&quot;,&quot;issue&quot;:&quot;9&quot;,&quot;volume&quot;:&quot;28&quot;},&quot;isTemporary&quot;:false}]},{&quot;citationID&quot;:&quot;MENDELEY_CITATION_c5324383-df38-4ffc-b315-6604978e4f58&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&quot;,&quot;citationItems&quot;:[{&quot;id&quot;:&quot;996966ee-e710-3878-8e28-0523b472cfcb&quot;,&quot;itemData&quot;:{&quot;type&quot;:&quot;article-journal&quot;,&quot;id&quot;:&quot;996966ee-e710-3878-8e28-0523b472cfcb&quot;,&quot;title&quot;:&quot;Missing-Data Adjustments in Large Surveys&quot;,&quot;author&quot;:[{&quot;family&quot;:&quot;Little&quot;,&quot;given&quot;:&quot;Roderick J. A.&quot;,&quot;parse-names&quot;:false,&quot;dropping-particle&quot;:&quot;&quot;,&quot;non-dropping-particle&quot;:&quot;&quot;}],&quot;container-title&quot;:&quot;Journal of Business &amp; Economic Statistics&quot;,&quot;DOI&quot;:&quot;10.2307/1391878&quot;,&quot;ISSN&quot;:&quot;07350015&quot;,&quot;issued&quot;:{&quot;date-parts&quot;:[[1988,7]]},&quot;page&quot;:&quot;287&quot;,&quot;issue&quot;:&quot;3&quot;,&quot;volume&quot;:&quot;6&quot;,&quot;container-title-short&quot;:&quot;&quot;},&quot;isTemporary&quot;:false}]},{&quot;citationID&quot;:&quot;MENDELEY_CITATION_e5865714-aa24-49ac-b4fb-ea028666a4f3&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&quot;,&quot;citationItems&quot;:[{&quot;id&quot;:&quot;ffb47eb6-272c-3f53-b629-0e7b9ceb05ce&quot;,&quot;itemData&quot;:{&quot;type&quot;:&quot;article-journal&quot;,&quot;id&quot;:&quot;ffb47eb6-272c-3f53-b629-0e7b9ceb05ce&quot;,&quot;title&quot;:&quot;mice : Multivariate Imputation by Chained Equations in R&quot;,&quot;author&quot;:[{&quot;family&quot;:&quot;Buuren&quot;,&quot;given&quot;:&quot;Stef&quot;,&quot;parse-names&quot;:false,&quot;dropping-particle&quot;:&quot;van&quot;,&quot;non-dropping-particle&quot;:&quot;&quot;},{&quot;family&quot;:&quot;Groothuis-Oudshoorn&quot;,&quot;given&quot;:&quot;Karin&quot;,&quot;parse-names&quot;:false,&quot;dropping-particle&quot;:&quot;&quot;,&quot;non-dropping-particle&quot;:&quot;&quot;}],&quot;container-title&quot;:&quot;Journal of Statistical Software&quot;,&quot;container-title-short&quot;:&quot;J Stat Softw&quot;,&quot;DOI&quot;:&quot;10.18637/jss.v045.i03&quot;,&quot;ISSN&quot;:&quot;1548-7660&quot;,&quot;issued&quot;:{&quot;date-parts&quot;:[[2011]]},&quot;issue&quot;:&quot;3&quot;,&quot;volume&quot;:&quot;45&quot;},&quot;isTemporary&quot;:false}]},{&quot;citationID&quot;:&quot;MENDELEY_CITATION_66942491-2267-44c4-91aa-4b7d7c102adb&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&quot;,&quot;citationItems&quot;:[{&quot;id&quot;:&quot;228b91ec-6817-3c44-a972-fb8e99b39680&quot;,&quot;itemData&quot;:{&quot;type&quot;:&quot;paper-conference&quot;,&quot;id&quot;:&quot;228b91ec-6817-3c44-a972-fb8e99b39680&quot;,&quot;title&quot;:&quot;ADASYN: Adaptive synthetic sampling approach for imbalanced learning&quot;,&quot;author&quot;:[{&quot;family&quot;:&quot;Haibo He&quot;,&quot;given&quot;:&quot;&quot;,&quot;parse-names&quot;:false,&quot;dropping-particle&quot;:&quot;&quot;,&quot;non-dropping-particle&quot;:&quot;&quot;},{&quot;family&quot;:&quot;Yang Bai&quot;,&quot;given&quot;:&quot;&quot;,&quot;parse-names&quot;:false,&quot;dropping-particle&quot;:&quot;&quot;,&quot;non-dropping-particle&quot;:&quot;&quot;},{&quot;family&quot;:&quot;Garcia&quot;,&quot;given&quot;:&quot;Edwardo A.&quot;,&quot;parse-names&quot;:false,&quot;dropping-particle&quot;:&quot;&quot;,&quot;non-dropping-particle&quot;:&quot;&quot;},{&quot;family&quot;:&quot;Shutao Li&quot;,&quot;given&quot;:&quot;&quot;,&quot;parse-names&quot;:false,&quot;dropping-particle&quot;:&quot;&quot;,&quot;non-dropping-particle&quot;:&quot;&quot;}],&quot;container-title&quot;:&quot;2008 IEEE International Joint Conference on Neural Networks (IEEE World Congress on Computational Intelligence)&quot;,&quot;DOI&quot;:&quot;10.1109/IJCNN.2008.4633969&quot;,&quot;ISBN&quot;:&quot;978-1-4244-1820-6&quot;,&quot;issued&quot;:{&quot;date-parts&quot;:[[2008,6]]},&quot;page&quot;:&quot;1322-1328&quot;,&quot;publisher&quot;:&quot;IEEE&quot;,&quot;container-title-short&quot;:&quot;&quot;},&quot;isTemporary&quot;:false}]},{&quot;citationID&quot;:&quot;MENDELEY_CITATION_cac473a6-272f-4cd6-bd69-e4191f72750d&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&quot;,&quot;citationItems&quot;:[{&quot;id&quot;:&quot;06abd7bf-d9b7-3538-a239-7c5f418f9bd6&quot;,&quot;itemData&quot;:{&quot;type&quot;:&quot;article&quot;,&quot;id&quot;:&quot;06abd7bf-d9b7-3538-a239-7c5f418f9bd6&quot;,&quot;title&quot;:&quot;Scikit-learn: Machine Learning in Python&quot;,&quot;author&quot;:[{&quot;family&quot;:&quot;Pedregosa&quot;,&quot;given&quot;:&quot;Fabian&quot;,&quot;parse-names&quot;:false,&quot;dropping-particle&quot;:&quot;&quot;,&quot;non-dropping-particle&quot;:&quot;&quot;},{&quot;family&quot;:&quot;Varoquaux&quot;,&quot;given&quot;:&quot;Gaël&quot;,&quot;parse-names&quot;:false,&quot;dropping-particle&quot;:&quot;&quot;,&quot;non-dropping-particle&quot;:&quot;&quot;},{&quot;family&quot;:&quot;Gramfort&quot;,&quot;given&quot;:&quot;Alexandre&quot;,&quot;parse-names&quot;:false,&quot;dropping-particle&quot;:&quot;&quot;,&quot;non-dropping-particle&quot;:&quot;&quot;},{&quot;family&quot;:&quot;Michel&quot;,&quot;given&quot;:&quot;Vincent&quot;,&quot;parse-names&quot;:false,&quot;dropping-particle&quot;:&quot;&quot;,&quot;non-dropping-particle&quot;:&quot;&quot;},{&quot;family&quot;:&quot;Thirion&quot;,&quot;given&quot;:&quot;Bertrand&quot;,&quot;parse-names&quot;:false,&quot;dropping-particle&quot;:&quot;&quot;,&quot;non-dropping-particle&quot;:&quot;&quot;},{&quot;family&quot;:&quot;Grisel&quot;,&quot;given&quot;:&quot;Olivier&quot;,&quot;parse-names&quot;:false,&quot;dropping-particle&quot;:&quot;&quot;,&quot;non-dropping-particle&quot;:&quot;&quot;},{&quot;family&quot;:&quot;Blondel&quot;,&quot;given&quot;:&quot;Mathieu&quot;,&quot;parse-names&quot;:false,&quot;dropping-particle&quot;:&quot;&quot;,&quot;non-dropping-particle&quot;:&quot;&quot;},{&quot;family&quot;:&quot;Müller&quot;,&quot;given&quot;:&quot;Andreas&quot;,&quot;parse-names&quot;:false,&quot;dropping-particle&quot;:&quot;&quot;,&quot;non-dropping-particle&quot;:&quot;&quot;},{&quot;family&quot;:&quot;Nothman&quot;,&quot;given&quot;:&quot;Joel&quot;,&quot;parse-names&quot;:false,&quot;dropping-particle&quot;:&quot;&quot;,&quot;non-dropping-particle&quot;:&quot;&quot;},{&quot;family&quot;:&quot;Louppe&quot;,&quot;given&quot;:&quot;Gilles&quot;,&quot;parse-names&quot;:false,&quot;dropping-particle&quot;:&quot;&quot;,&quot;non-dropping-particle&quot;:&quot;&quot;},{&quot;family&quot;:&quot;Prettenhofer&quot;,&quot;given&quot;:&quot;Peter&quot;,&quot;parse-names&quot;:false,&quot;dropping-particle&quot;:&quot;&quot;,&quot;non-dropping-particle&quot;:&quot;&quot;},{&quot;family&quot;:&quot;Weiss&quot;,&quot;given&quot;:&quot;Ron&quot;,&quot;parse-names&quot;:false,&quot;dropping-particle&quot;:&quot;&quot;,&quot;non-dropping-particle&quot;:&quot;&quot;},{&quot;family&quot;:&quot;Dubourg&quot;,&quot;given&quot;:&quot;Vincent&quot;,&quot;parse-names&quot;:false,&quot;dropping-particle&quot;:&quot;&quot;,&quot;non-dropping-particle&quot;:&quot;&quot;},{&quot;family&quot;:&quot;Vanderplas&quot;,&quot;given&quot;:&quot;Jake&quot;,&quot;parse-names&quot;:false,&quot;dropping-particle&quot;:&quot;&quot;,&quot;non-dropping-particle&quot;:&quot;&quot;},{&quot;family&quot;:&quot;Passos&quot;,&quot;given&quot;:&quot;Alexandre&quot;,&quot;parse-names&quot;:false,&quot;dropping-particle&quot;:&quot;&quot;,&quot;non-dropping-particle&quot;:&quot;&quot;},{&quot;family&quot;:&quot;Cournapeau&quot;,&quot;given&quot;:&quot;David&quot;,&quot;parse-names&quot;:false,&quot;dropping-particle&quot;:&quot;&quot;,&quot;non-dropping-particle&quot;:&quot;&quot;},{&quot;family&quot;:&quot;Brucher&quot;,&quot;given&quot;:&quot;Matthieu&quot;,&quot;parse-names&quot;:false,&quot;dropping-particle&quot;:&quot;&quot;,&quot;non-dropping-particle&quot;:&quot;&quot;},{&quot;family&quot;:&quot;Perrot&quot;,&quot;given&quot;:&quot;Matthieu&quot;,&quot;parse-names&quot;:false,&quot;dropping-particle&quot;:&quot;&quot;,&quot;non-dropping-particle&quot;:&quot;&quot;},{&quot;family&quot;:&quot;Duchesnay&quot;,&quot;given&quot;:&quot;Édouard&quot;,&quot;parse-names&quot;:false,&quot;dropping-particle&quot;:&quot;&quot;,&quot;non-dropping-particle&quot;:&quot;&quot;}],&quot;issued&quot;:{&quot;date-parts&quot;:[[2018]]},&quot;container-title-short&quot;:&quot;&quot;},&quot;isTemporary&quot;:false}]},{&quot;properties&quot;:{&quot;noteIndex&quot;:0},&quot;citationID&quot;:&quot;MENDELEY_CITATION_f6062530-7639-4887-a1d6-5995c02646ec&quot;,&quot;isEdited&quot;:false,&quot;manualOverride&quot;:{&quot;isManuallyOverridden&quot;:false,&quot;manualOverrideText&quot;:&quot;&quot;,&quot;citeprocText&quot;:&quot;&lt;sup&gt;8&lt;/sup&gt;&quot;},&quot;citationTag&quot;:&quot;MENDELEY_CITATION_v3_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&quot;,&quot;citationItems&quot;:[{&quot;id&quot;:&quot;b0268092-0dec-3a94-a844-66c530bebbed&quot;,&quot;isTemporary&quot;:false,&quot;itemData&quot;:{&quot;type&quot;:&quot;article-journal&quot;,&quot;id&quot;:&quot;b0268092-0dec-3a94-a844-66c530bebbed&quot;,&quot;title&quot;:&quot;Causal analysis approaches in Ingenuity Pathway Analysis&quot;,&quot;author&quot;:[{&quot;family&quot;:&quot;Krämer&quot;,&quot;given&quot;:&quot;Andreas&quot;,&quot;parse-names&quot;:false,&quot;dropping-particle&quot;:&quot;&quot;,&quot;non-dropping-particle&quot;:&quot;&quot;},{&quot;family&quot;:&quot;Green&quot;,&quot;given&quot;:&quot;Jeff&quot;,&quot;parse-names&quot;:false,&quot;dropping-particle&quot;:&quot;&quot;,&quot;non-dropping-particle&quot;:&quot;&quot;},{&quot;family&quot;:&quot;Pollard&quot;,&quot;given&quot;:&quot;Jack&quot;,&quot;parse-names&quot;:false,&quot;dropping-particle&quot;:&quot;&quot;,&quot;non-dropping-particle&quot;:&quot;&quot;},{&quot;family&quot;:&quot;Tugendreich&quot;,&quot;given&quot;:&quot;Stuart&quot;,&quot;parse-names&quot;:false,&quot;dropping-particle&quot;:&quot;&quot;,&quot;non-dropping-particle&quot;:&quot;&quot;}],&quot;container-title&quot;:&quot;Bioinformatics&quot;,&quot;DOI&quot;:&quot;10.1093/bioinformatics/btt703&quot;,&quot;ISSN&quot;:&quot;1460-2059&quot;,&quot;issued&quot;:{&quot;date-parts&quot;:[[2014,2,15]]},&quot;page&quot;:&quot;523-530&quot;,&quot;issue&quot;:&quot;4&quot;,&quot;volume&quot;:&quot;30&quot;,&quot;container-title-short&quot;:&quot;&quot;}}]},{&quot;properties&quot;:{&quot;noteIndex&quot;:0},&quot;citationID&quot;:&quot;MENDELEY_CITATION_477b5052-9fde-4a7d-b8a7-2c7e1842f914&quot;,&quot;isEdited&quot;:false,&quot;manualOverride&quot;:{&quot;isManuallyOverridden&quot;:false,&quot;manualOverrideText&quot;:&quot;&quot;,&quot;citeprocText&quot;:&quot;&lt;sup&gt;9&lt;/sup&gt;&quot;},&quot;citationTag&quot;:&quot;MENDELEY_CITATION_v3_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&quot;,&quot;citationItems&quot;:[{&quot;id&quot;:&quot;13614508-bf5d-3fd0-9d30-cb58307b97e9&quot;,&quot;isTemporary&quot;:false,&quot;itemData&quot;:{&quot;type&quot;:&quot;article-journal&quot;,&quot;id&quot;:&quot;13614508-bf5d-3fd0-9d30-cb58307b97e9&quot;,&quot;title&quot;:&quot;Fast gene set enrichment analysis&quot;,&quot;author&quot;:[{&quot;family&quot;:&quot;Korotkevich&quot;,&quot;given&quot;:&quot;Gennady&quot;,&quot;parse-names&quot;:false,&quot;dropping-particle&quot;:&quot;&quot;,&quot;non-dropping-particle&quot;:&quot;&quot;},{&quot;family&quot;:&quot;Sukhov&quot;,&quot;given&quot;:&quot;Vladimir&quot;,&quot;parse-names&quot;:false,&quot;dropping-particle&quot;:&quot;&quot;,&quot;non-dropping-particle&quot;:&quot;&quot;},{&quot;family&quot;:&quot;Budin&quot;,&quot;given&quot;:&quot;Nikolay&quot;,&quot;parse-names&quot;:false,&quot;dropping-particle&quot;:&quot;&quot;,&quot;non-dropping-particle&quot;:&quot;&quot;},{&quot;family&quot;:&quot;Shpak&quot;,&quot;given&quot;:&quot;Boris&quot;,&quot;parse-names&quot;:false,&quot;dropping-particle&quot;:&quot;&quot;,&quot;non-dropping-particle&quot;:&quot;&quot;},{&quot;family&quot;:&quot;Artyomov&quot;,&quot;given&quot;:&quot;Maxim&quot;,&quot;parse-names&quot;:false,&quot;dropping-particle&quot;:&quot;&quot;,&quot;non-dropping-particle&quot;:&quot;&quot;},{&quot;family&quot;:&quot;Sergushichev&quot;,&quot;given&quot;:&quot;Alexey&quot;,&quot;parse-names&quot;:false,&quot;dropping-particle&quot;:&quot;&quot;,&quot;non-dropping-particle&quot;:&quot;&quot;}],&quot;container-title&quot;:&quot;bioRxiv&quot;,&quot;issued&quot;:{&quot;date-parts&quot;:[[2016]]},&quot;issue&quot;:&quot;50&quot;,&quot;volume&quot;:&quot;17&quot;,&quot;container-title-short&quot;:&quot;&quot;}}]},{&quot;properties&quot;:{&quot;noteIndex&quot;:0},&quot;citationID&quot;:&quot;MENDELEY_CITATION_33073999-2289-4525-b3fa-7a4294d59f30&quot;,&quot;isEdited&quot;:false,&quot;manualOverride&quot;:{&quot;isManuallyOverridden&quot;:false,&quot;manualOverrideText&quot;:&quot;&quot;,&quot;citeprocText&quot;:&quot;&lt;sup&gt;10&lt;/sup&gt;&quot;},&quot;citationTag&quot;:&quot;MENDELEY_CITATION_v3_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&quot;,&quot;citationItems&quot;:[{&quot;id&quot;:&quot;8e96f378-66b3-30df-bfa2-72a8045ecd6d&quot;,&quot;isTemporary&quot;:false,&quot;itemData&quot;:{&quot;type&quot;:&quot;article-journal&quot;,&quot;id&quot;:&quot;8e96f378-66b3-30df-bfa2-72a8045ecd6d&quot;,&quot;title&quot;:&quot;AmiGO: online access to ontology and annotation data&quot;,&quot;author&quot;:[{&quot;family&quot;:&quot;Carbon&quot;,&quot;given&quot;:&quot;Seth&quot;,&quot;parse-names&quot;:false,&quot;dropping-particle&quot;:&quot;&quot;,&quot;non-dropping-particle&quot;:&quot;&quot;},{&quot;family&quot;:&quot;Ireland&quot;,&quot;given&quot;:&quot;Amelia&quot;,&quot;parse-names&quot;:false,&quot;dropping-particle&quot;:&quot;&quot;,&quot;non-dropping-particle&quot;:&quot;&quot;},{&quot;family&quot;:&quot;Mungall&quot;,&quot;given&quot;:&quot;Christopher J.&quot;,&quot;parse-names&quot;:false,&quot;dropping-particle&quot;:&quot;&quot;,&quot;non-dropping-particle&quot;:&quot;&quot;},{&quot;family&quot;:&quot;Shu&quot;,&quot;given&quot;:&quot;ShengQiang&quot;,&quot;parse-names&quot;:false,&quot;dropping-particle&quot;:&quot;&quot;,&quot;non-dropping-particle&quot;:&quot;&quot;},{&quot;family&quot;:&quot;Marshall&quot;,&quot;given&quot;:&quot;Brad&quot;,&quot;parse-names&quot;:false,&quot;dropping-particle&quot;:&quot;&quot;,&quot;non-dropping-particle&quot;:&quot;&quot;},{&quot;family&quot;:&quot;Lewis&quot;,&quot;given&quot;:&quot;Suzanna&quot;,&quot;parse-names&quot;:false,&quot;dropping-particle&quot;:&quot;&quot;,&quot;non-dropping-particle&quot;:&quot;&quot;}],&quot;container-title&quot;:&quot;Bioinformatics&quot;,&quot;DOI&quot;:&quot;10.1093/bioinformatics/btn615&quot;,&quot;ISSN&quot;:&quot;1460-2059&quot;,&quot;issued&quot;:{&quot;date-parts&quot;:[[2009,1,15]]},&quot;page&quot;:&quot;288-289&quot;,&quot;issue&quot;:&quot;2&quot;,&quot;volume&quot;:&quot;25&quot;,&quot;container-title-short&quot;:&quot;&quot;}}]},{&quot;properties&quot;:{&quot;noteIndex&quot;:0},&quot;citationID&quot;:&quot;MENDELEY_CITATION_4a8a06b9-cd4b-45ab-b565-76e183e09668&quot;,&quot;isEdited&quot;:false,&quot;manualOverride&quot;:{&quot;isManuallyOverridden&quot;:false,&quot;manualOverrideText&quot;:&quot;&quot;,&quot;citeprocText&quot;:&quot;&lt;sup&gt;11&lt;/sup&gt;&quot;},&quot;citationTag&quot;:&quot;MENDELEY_CITATION_v3_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&quot;,&quot;citationItems&quot;:[{&quot;id&quot;:&quot;654a9927-8e32-350c-afb4-7e46cd1c3c7a&quot;,&quot;isTemporary&quot;:false,&quot;itemData&quot;:{&quot;type&quot;:&quot;article-journal&quot;,&quot;id&quot;:&quot;654a9927-8e32-350c-afb4-7e46cd1c3c7a&quot;,&quot;title&quot;:&quot;Mapping identifiers for the integration of genomic datasets with the R/Bioconductor package biomaRt&quot;,&quot;author&quot;:[{&quot;family&quot;:&quot;Durinck&quot;,&quot;given&quot;:&quot;Steffen&quot;,&quot;parse-names&quot;:false,&quot;dropping-particle&quot;:&quot;&quot;,&quot;non-dropping-particle&quot;:&quot;&quot;},{&quot;family&quot;:&quot;Spellman&quot;,&quot;given&quot;:&quot;Paul T&quot;,&quot;parse-names&quot;:false,&quot;dropping-particle&quot;:&quot;&quot;,&quot;non-dropping-particle&quot;:&quot;&quot;},{&quot;family&quot;:&quot;Birney&quot;,&quot;given&quot;:&quot;Ewan&quot;,&quot;parse-names&quot;:false,&quot;dropping-particle&quot;:&quot;&quot;,&quot;non-dropping-particle&quot;:&quot;&quot;},{&quot;family&quot;:&quot;Huber&quot;,&quot;given&quot;:&quot;Wolfgang&quot;,&quot;parse-names&quot;:false,&quot;dropping-particle&quot;:&quot;&quot;,&quot;non-dropping-particle&quot;:&quot;&quot;}],&quot;container-title&quot;:&quot;Nature Protocols&quot;,&quot;container-title-short&quot;:&quot;Nat Protoc&quot;,&quot;DOI&quot;:&quot;10.1038/nprot.2009.97&quot;,&quot;ISSN&quot;:&quot;1754-2189&quot;,&quot;issued&quot;:{&quot;date-parts&quot;:[[2009,8,23]]},&quot;page&quot;:&quot;1184-1191&quot;,&quot;issue&quot;:&quot;8&quot;,&quot;volume&quot;:&quot;4&quot;}}]}]"/>
    <we:property name="MENDELEY_CITATIONS_LOCALE_CODE" value="&quot;en-GB&quot;"/>
    <we:property name="MENDELEY_CITATIONS_STYLE" value="{&quot;id&quot;:&quot;https://www.zotero.org/styles/european-journal-of-human-genetics&quot;,&quot;title&quot;:&quot;European Journal of Human Genetic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2.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960B96-CD85-4614-BF9C-F2568A2A3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25</Pages>
  <Words>4494</Words>
  <Characters>25622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30056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Nick Pasternack</cp:lastModifiedBy>
  <cp:revision>8</cp:revision>
  <cp:lastPrinted>2018-01-11T19:53:00Z</cp:lastPrinted>
  <dcterms:created xsi:type="dcterms:W3CDTF">2025-03-08T14:33:00Z</dcterms:created>
  <dcterms:modified xsi:type="dcterms:W3CDTF">2025-07-05T00:07:00Z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ies>
</file>