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9255A8" w14:textId="77777777" w:rsidR="00AF66CE" w:rsidRPr="005B0A9D" w:rsidRDefault="00AF66CE" w:rsidP="00AF66CE">
      <w:pPr>
        <w:rPr>
          <w:rFonts w:ascii="Arial" w:hAnsi="Arial" w:cs="Arial"/>
        </w:rPr>
      </w:pPr>
    </w:p>
    <w:p w14:paraId="55ECCAA6" w14:textId="77777777" w:rsidR="00AF66CE" w:rsidRPr="005B0A9D" w:rsidRDefault="00AF66CE" w:rsidP="00AF66CE">
      <w:pPr>
        <w:rPr>
          <w:rFonts w:ascii="Arial" w:hAnsi="Arial" w:cs="Arial"/>
        </w:rPr>
      </w:pPr>
      <w:r w:rsidRPr="005B0A9D">
        <w:rPr>
          <w:rFonts w:ascii="Arial" w:hAnsi="Arial" w:cs="Arial"/>
        </w:rPr>
        <w:t>Supplementary Methods: Population Branch Statistic (PBS)</w:t>
      </w:r>
    </w:p>
    <w:p w14:paraId="52DA6CFD" w14:textId="296D060F" w:rsidR="00F5227B" w:rsidRPr="005B0A9D" w:rsidRDefault="00F5227B" w:rsidP="00AF66CE">
      <w:pPr>
        <w:rPr>
          <w:rFonts w:ascii="Arial" w:hAnsi="Arial" w:cs="Arial"/>
        </w:rPr>
      </w:pPr>
    </w:p>
    <w:p w14:paraId="0F21EC9C" w14:textId="5612DE49" w:rsidR="00AF66CE" w:rsidRPr="005B0A9D" w:rsidRDefault="00F5227B" w:rsidP="00AF66CE">
      <w:pPr>
        <w:rPr>
          <w:rFonts w:ascii="Arial" w:eastAsiaTheme="majorEastAsia" w:hAnsi="Arial" w:cs="Arial"/>
          <w:color w:val="000000" w:themeColor="text1"/>
        </w:rPr>
      </w:pPr>
      <w:bookmarkStart w:id="0" w:name="_Hlk208133703"/>
      <w:r w:rsidRPr="005B0A9D">
        <w:rPr>
          <w:rFonts w:ascii="Arial" w:hAnsi="Arial" w:cs="Arial"/>
          <w:color w:val="000000" w:themeColor="text1"/>
        </w:rPr>
        <w:t>To contextual</w:t>
      </w:r>
      <w:r w:rsidR="005B0A9D">
        <w:rPr>
          <w:rFonts w:ascii="Arial" w:hAnsi="Arial" w:cs="Arial"/>
          <w:color w:val="000000" w:themeColor="text1"/>
        </w:rPr>
        <w:t>ise</w:t>
      </w:r>
      <w:r w:rsidRPr="005B0A9D">
        <w:rPr>
          <w:rFonts w:ascii="Arial" w:hAnsi="Arial" w:cs="Arial"/>
          <w:color w:val="000000" w:themeColor="text1"/>
        </w:rPr>
        <w:t xml:space="preserve"> population differentiation of candidate variants, we computed PBS for 1000 Genomes super</w:t>
      </w:r>
      <w:r w:rsidRPr="005B0A9D">
        <w:rPr>
          <w:rFonts w:ascii="Arial" w:hAnsi="Arial" w:cs="Arial"/>
          <w:color w:val="000000" w:themeColor="text1"/>
        </w:rPr>
        <w:noBreakHyphen/>
        <w:t>populations (AFR, EUR, EAS) using super</w:t>
      </w:r>
      <w:r w:rsidRPr="005B0A9D">
        <w:rPr>
          <w:rFonts w:ascii="Arial" w:hAnsi="Arial" w:cs="Arial"/>
          <w:color w:val="000000" w:themeColor="text1"/>
        </w:rPr>
        <w:noBreakHyphen/>
        <w:t xml:space="preserve">population allele frequencies from </w:t>
      </w:r>
      <w:proofErr w:type="spellStart"/>
      <w:r w:rsidRPr="005B0A9D">
        <w:rPr>
          <w:rFonts w:ascii="Arial" w:hAnsi="Arial" w:cs="Arial"/>
          <w:color w:val="000000" w:themeColor="text1"/>
        </w:rPr>
        <w:t>LDlink</w:t>
      </w:r>
      <w:proofErr w:type="spellEnd"/>
      <w:r w:rsidRPr="005B0A9D">
        <w:rPr>
          <w:rFonts w:ascii="Arial" w:hAnsi="Arial" w:cs="Arial"/>
          <w:color w:val="000000" w:themeColor="text1"/>
        </w:rPr>
        <w:t xml:space="preserve">/1000G summaries. Pairwise </w:t>
      </w:r>
      <w:r w:rsidRPr="005B0A9D">
        <w:rPr>
          <w:rStyle w:val="s1"/>
          <w:rFonts w:ascii="Arial" w:eastAsiaTheme="majorEastAsia" w:hAnsi="Arial" w:cs="Arial"/>
          <w:color w:val="000000" w:themeColor="text1"/>
        </w:rPr>
        <w:t>F</w:t>
      </w:r>
      <w:r w:rsidR="005B0A9D">
        <w:rPr>
          <w:rStyle w:val="s1"/>
          <w:rFonts w:ascii="Arial" w:eastAsiaTheme="majorEastAsia" w:hAnsi="Arial" w:cs="Arial"/>
          <w:color w:val="000000" w:themeColor="text1"/>
        </w:rPr>
        <w:t>ST</w:t>
      </w:r>
      <w:r w:rsidRPr="005B0A9D">
        <w:rPr>
          <w:rFonts w:ascii="Arial" w:hAnsi="Arial" w:cs="Arial"/>
          <w:color w:val="000000" w:themeColor="text1"/>
        </w:rPr>
        <w:t xml:space="preserve"> between populations was estimated from allele frequencies, transformed to branch lengths and combined. Negative PBS values were truncated to 0 for interpretation. PBS was calculated for rs76129761 and rs806372 (CNR1) and rs2069840 and rs34880821 (</w:t>
      </w:r>
      <w:r w:rsidRPr="005B0A9D">
        <w:rPr>
          <w:rFonts w:ascii="Arial" w:hAnsi="Arial" w:cs="Arial"/>
          <w:i/>
          <w:iCs/>
          <w:color w:val="000000" w:themeColor="text1"/>
        </w:rPr>
        <w:t>IL-6</w:t>
      </w:r>
      <w:r w:rsidRPr="005B0A9D">
        <w:rPr>
          <w:rFonts w:ascii="Arial" w:hAnsi="Arial" w:cs="Arial"/>
          <w:color w:val="000000" w:themeColor="text1"/>
        </w:rPr>
        <w:t>). Variants lacking reliable 1000G super</w:t>
      </w:r>
      <w:r w:rsidRPr="005B0A9D">
        <w:rPr>
          <w:rFonts w:ascii="Arial" w:hAnsi="Arial" w:cs="Arial"/>
          <w:color w:val="000000" w:themeColor="text1"/>
        </w:rPr>
        <w:noBreakHyphen/>
        <w:t>population coverage were not analysed.</w:t>
      </w:r>
      <w:bookmarkEnd w:id="0"/>
      <w:r w:rsidR="005B0A9D">
        <w:rPr>
          <w:rStyle w:val="apple-converted-space"/>
          <w:rFonts w:ascii="Arial" w:eastAsiaTheme="majorEastAsia" w:hAnsi="Arial" w:cs="Arial"/>
          <w:color w:val="000000" w:themeColor="text1"/>
        </w:rPr>
        <w:t xml:space="preserve"> </w:t>
      </w:r>
      <w:r w:rsidR="00AF66CE" w:rsidRPr="005B0A9D">
        <w:rPr>
          <w:rFonts w:ascii="Arial" w:hAnsi="Arial" w:cs="Arial"/>
        </w:rPr>
        <w:t>These FST estimates were transformed into additive distances using a log10 transform (−log10(1 − FST)), and branch lengths were combined to yield PBS for each focal population X: PBS_X = (T_XY + T_XZ − T_YZ)/2</w:t>
      </w:r>
      <w:r w:rsidR="00735F64">
        <w:rPr>
          <w:rFonts w:ascii="Arial" w:hAnsi="Arial" w:cs="Arial"/>
        </w:rPr>
        <w:t>.</w:t>
      </w:r>
      <w:r w:rsidR="00AF66CE" w:rsidRPr="005B0A9D">
        <w:rPr>
          <w:rFonts w:ascii="Arial" w:hAnsi="Arial" w:cs="Arial"/>
        </w:rPr>
        <w:t xml:space="preserve">  Variant</w:t>
      </w:r>
      <w:r w:rsidR="00AF66CE" w:rsidRPr="00F5227B">
        <w:rPr>
          <w:rFonts w:ascii="Cambria Math" w:hAnsi="Cambria Math" w:cs="Cambria Math"/>
        </w:rPr>
        <w:t>‑</w:t>
      </w:r>
      <w:r w:rsidR="00AF66CE" w:rsidRPr="005B0A9D">
        <w:rPr>
          <w:rFonts w:ascii="Arial" w:hAnsi="Arial" w:cs="Arial"/>
        </w:rPr>
        <w:t>specific allele frequencies (AF) were obtained from 1000 Genomes Phase 3 super</w:t>
      </w:r>
      <w:r w:rsidR="00AF66CE" w:rsidRPr="00F5227B">
        <w:rPr>
          <w:rFonts w:ascii="Cambria Math" w:hAnsi="Cambria Math" w:cs="Cambria Math"/>
        </w:rPr>
        <w:t>‑</w:t>
      </w:r>
      <w:r w:rsidR="00AF66CE" w:rsidRPr="005B0A9D">
        <w:rPr>
          <w:rFonts w:ascii="Arial" w:hAnsi="Arial" w:cs="Arial"/>
        </w:rPr>
        <w:t>populations (AFR, EUR, EAS).  Variants rs72643906 (</w:t>
      </w:r>
      <w:r w:rsidR="00AF66CE" w:rsidRPr="005B0A9D">
        <w:rPr>
          <w:rFonts w:ascii="Arial" w:hAnsi="Arial" w:cs="Arial"/>
          <w:i/>
          <w:iCs/>
        </w:rPr>
        <w:t>IDO1</w:t>
      </w:r>
      <w:r w:rsidR="00AF66CE" w:rsidRPr="005B0A9D">
        <w:rPr>
          <w:rFonts w:ascii="Arial" w:hAnsi="Arial" w:cs="Arial"/>
        </w:rPr>
        <w:t>) and rs933717388 (</w:t>
      </w:r>
      <w:r w:rsidR="00AF66CE" w:rsidRPr="005B0A9D">
        <w:rPr>
          <w:rFonts w:ascii="Arial" w:hAnsi="Arial" w:cs="Arial"/>
          <w:i/>
          <w:iCs/>
        </w:rPr>
        <w:t>KISS1R</w:t>
      </w:r>
      <w:r w:rsidR="00AF66CE" w:rsidRPr="005B0A9D">
        <w:rPr>
          <w:rFonts w:ascii="Arial" w:hAnsi="Arial" w:cs="Arial"/>
        </w:rPr>
        <w:t>) lacked reliable AFs across these populations and were not included.</w:t>
      </w:r>
    </w:p>
    <w:p w14:paraId="237ECBF4" w14:textId="77777777" w:rsidR="00AF66CE" w:rsidRPr="005B0A9D" w:rsidRDefault="00AF66CE" w:rsidP="00AF66CE">
      <w:pPr>
        <w:rPr>
          <w:rFonts w:ascii="Arial" w:hAnsi="Arial" w:cs="Arial"/>
        </w:rPr>
      </w:pPr>
    </w:p>
    <w:p w14:paraId="3F04DED5" w14:textId="2957C54C" w:rsidR="00AF66CE" w:rsidRPr="005B0A9D" w:rsidRDefault="00AF66CE" w:rsidP="00AF66CE">
      <w:pPr>
        <w:rPr>
          <w:rFonts w:ascii="Arial" w:hAnsi="Arial" w:cs="Arial"/>
        </w:rPr>
      </w:pPr>
      <w:r w:rsidRPr="005B0A9D">
        <w:rPr>
          <w:rFonts w:ascii="Arial" w:hAnsi="Arial" w:cs="Arial"/>
        </w:rPr>
        <w:t>Table S1 – 1000 Genomes super</w:t>
      </w:r>
      <w:r w:rsidRPr="00F5227B">
        <w:rPr>
          <w:rFonts w:ascii="Cambria Math" w:hAnsi="Cambria Math" w:cs="Cambria Math"/>
        </w:rPr>
        <w:t>‑</w:t>
      </w:r>
      <w:r w:rsidRPr="005B0A9D">
        <w:rPr>
          <w:rFonts w:ascii="Arial" w:hAnsi="Arial" w:cs="Arial"/>
        </w:rPr>
        <w:t>population allele frequencies and PBS values</w:t>
      </w:r>
      <w:r w:rsidR="005D1784">
        <w:rPr>
          <w:rFonts w:ascii="Arial" w:hAnsi="Arial" w:cs="Arial"/>
        </w:rPr>
        <w:t xml:space="preserve">. </w:t>
      </w:r>
      <w:r w:rsidRPr="005B0A9D">
        <w:rPr>
          <w:rFonts w:ascii="Arial" w:hAnsi="Arial" w:cs="Arial"/>
        </w:rPr>
        <w:t>Frequencies are alternate</w:t>
      </w:r>
      <w:r w:rsidRPr="00F5227B">
        <w:rPr>
          <w:rFonts w:ascii="Cambria Math" w:hAnsi="Cambria Math" w:cs="Cambria Math"/>
        </w:rPr>
        <w:t>‑</w:t>
      </w:r>
      <w:r w:rsidRPr="005B0A9D">
        <w:rPr>
          <w:rFonts w:ascii="Arial" w:hAnsi="Arial" w:cs="Arial"/>
        </w:rPr>
        <w:t>allele frequencies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76"/>
        <w:gridCol w:w="766"/>
        <w:gridCol w:w="888"/>
        <w:gridCol w:w="888"/>
        <w:gridCol w:w="888"/>
        <w:gridCol w:w="1132"/>
        <w:gridCol w:w="1132"/>
        <w:gridCol w:w="1132"/>
        <w:gridCol w:w="814"/>
      </w:tblGrid>
      <w:tr w:rsidR="00AF66CE" w:rsidRPr="00F5227B" w14:paraId="0728D07D" w14:textId="77777777" w:rsidTr="006E23CF">
        <w:trPr>
          <w:trHeight w:val="300"/>
        </w:trPr>
        <w:tc>
          <w:tcPr>
            <w:tcW w:w="1376" w:type="dxa"/>
            <w:noWrap/>
            <w:hideMark/>
          </w:tcPr>
          <w:p w14:paraId="64D1F7A9" w14:textId="77777777" w:rsidR="00AF66CE" w:rsidRPr="005B0A9D" w:rsidRDefault="00AF66CE" w:rsidP="00AF66C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B0A9D">
              <w:rPr>
                <w:rFonts w:ascii="Arial" w:hAnsi="Arial" w:cs="Arial"/>
                <w:b/>
                <w:bCs/>
                <w:sz w:val="24"/>
                <w:szCs w:val="24"/>
              </w:rPr>
              <w:t>Variant</w:t>
            </w:r>
          </w:p>
        </w:tc>
        <w:tc>
          <w:tcPr>
            <w:tcW w:w="766" w:type="dxa"/>
            <w:noWrap/>
            <w:hideMark/>
          </w:tcPr>
          <w:p w14:paraId="661701DC" w14:textId="77777777" w:rsidR="00AF66CE" w:rsidRPr="005B0A9D" w:rsidRDefault="00AF66CE" w:rsidP="00AF66C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B0A9D">
              <w:rPr>
                <w:rFonts w:ascii="Arial" w:hAnsi="Arial" w:cs="Arial"/>
                <w:b/>
                <w:bCs/>
                <w:sz w:val="24"/>
                <w:szCs w:val="24"/>
              </w:rPr>
              <w:t>Alt allele</w:t>
            </w:r>
          </w:p>
        </w:tc>
        <w:tc>
          <w:tcPr>
            <w:tcW w:w="888" w:type="dxa"/>
            <w:noWrap/>
            <w:hideMark/>
          </w:tcPr>
          <w:p w14:paraId="1BAF423F" w14:textId="77777777" w:rsidR="00AF66CE" w:rsidRPr="005B0A9D" w:rsidRDefault="00AF66CE" w:rsidP="00AF66C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B0A9D">
              <w:rPr>
                <w:rFonts w:ascii="Arial" w:hAnsi="Arial" w:cs="Arial"/>
                <w:b/>
                <w:bCs/>
                <w:sz w:val="24"/>
                <w:szCs w:val="24"/>
              </w:rPr>
              <w:t>AFR AF</w:t>
            </w:r>
          </w:p>
        </w:tc>
        <w:tc>
          <w:tcPr>
            <w:tcW w:w="888" w:type="dxa"/>
            <w:noWrap/>
            <w:hideMark/>
          </w:tcPr>
          <w:p w14:paraId="2D8D1EE3" w14:textId="77777777" w:rsidR="00AF66CE" w:rsidRPr="005B0A9D" w:rsidRDefault="00AF66CE" w:rsidP="00AF66C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B0A9D">
              <w:rPr>
                <w:rFonts w:ascii="Arial" w:hAnsi="Arial" w:cs="Arial"/>
                <w:b/>
                <w:bCs/>
                <w:sz w:val="24"/>
                <w:szCs w:val="24"/>
              </w:rPr>
              <w:t>EUR AF</w:t>
            </w:r>
          </w:p>
        </w:tc>
        <w:tc>
          <w:tcPr>
            <w:tcW w:w="888" w:type="dxa"/>
            <w:noWrap/>
            <w:hideMark/>
          </w:tcPr>
          <w:p w14:paraId="19E6C68E" w14:textId="77777777" w:rsidR="00AF66CE" w:rsidRPr="005B0A9D" w:rsidRDefault="00AF66CE" w:rsidP="00AF66C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B0A9D">
              <w:rPr>
                <w:rFonts w:ascii="Arial" w:hAnsi="Arial" w:cs="Arial"/>
                <w:b/>
                <w:bCs/>
                <w:sz w:val="24"/>
                <w:szCs w:val="24"/>
              </w:rPr>
              <w:t>EAS AF</w:t>
            </w:r>
          </w:p>
        </w:tc>
        <w:tc>
          <w:tcPr>
            <w:tcW w:w="1132" w:type="dxa"/>
            <w:noWrap/>
            <w:hideMark/>
          </w:tcPr>
          <w:p w14:paraId="455BF221" w14:textId="77777777" w:rsidR="00AF66CE" w:rsidRPr="005B0A9D" w:rsidRDefault="00AF66CE" w:rsidP="00AF66C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B0A9D">
              <w:rPr>
                <w:rFonts w:ascii="Arial" w:hAnsi="Arial" w:cs="Arial"/>
                <w:b/>
                <w:bCs/>
                <w:sz w:val="24"/>
                <w:szCs w:val="24"/>
              </w:rPr>
              <w:t>PBS AFR</w:t>
            </w:r>
          </w:p>
        </w:tc>
        <w:tc>
          <w:tcPr>
            <w:tcW w:w="1132" w:type="dxa"/>
            <w:noWrap/>
            <w:hideMark/>
          </w:tcPr>
          <w:p w14:paraId="7364ACD5" w14:textId="77777777" w:rsidR="00AF66CE" w:rsidRPr="005B0A9D" w:rsidRDefault="00AF66CE" w:rsidP="00AF66C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B0A9D">
              <w:rPr>
                <w:rFonts w:ascii="Arial" w:hAnsi="Arial" w:cs="Arial"/>
                <w:b/>
                <w:bCs/>
                <w:sz w:val="24"/>
                <w:szCs w:val="24"/>
              </w:rPr>
              <w:t>PBS EUR</w:t>
            </w:r>
          </w:p>
        </w:tc>
        <w:tc>
          <w:tcPr>
            <w:tcW w:w="1132" w:type="dxa"/>
            <w:noWrap/>
            <w:hideMark/>
          </w:tcPr>
          <w:p w14:paraId="78476734" w14:textId="77777777" w:rsidR="00AF66CE" w:rsidRPr="005B0A9D" w:rsidRDefault="00AF66CE" w:rsidP="00AF66C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B0A9D">
              <w:rPr>
                <w:rFonts w:ascii="Arial" w:hAnsi="Arial" w:cs="Arial"/>
                <w:b/>
                <w:bCs/>
                <w:sz w:val="24"/>
                <w:szCs w:val="24"/>
              </w:rPr>
              <w:t>PBS EAS</w:t>
            </w:r>
          </w:p>
        </w:tc>
        <w:tc>
          <w:tcPr>
            <w:tcW w:w="814" w:type="dxa"/>
            <w:noWrap/>
            <w:hideMark/>
          </w:tcPr>
          <w:p w14:paraId="664F3172" w14:textId="77777777" w:rsidR="00AF66CE" w:rsidRPr="005B0A9D" w:rsidRDefault="00AF66CE" w:rsidP="00AF66C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5B0A9D">
              <w:rPr>
                <w:rFonts w:ascii="Arial" w:hAnsi="Arial" w:cs="Arial"/>
                <w:b/>
                <w:bCs/>
                <w:sz w:val="24"/>
                <w:szCs w:val="24"/>
              </w:rPr>
              <w:t>Gene</w:t>
            </w:r>
          </w:p>
        </w:tc>
      </w:tr>
      <w:tr w:rsidR="00AF66CE" w:rsidRPr="00F5227B" w14:paraId="5530570F" w14:textId="77777777" w:rsidTr="006E23CF">
        <w:trPr>
          <w:trHeight w:val="300"/>
        </w:trPr>
        <w:tc>
          <w:tcPr>
            <w:tcW w:w="1376" w:type="dxa"/>
            <w:noWrap/>
            <w:hideMark/>
          </w:tcPr>
          <w:p w14:paraId="43D2F85E" w14:textId="77777777" w:rsidR="00AF66CE" w:rsidRPr="005B0A9D" w:rsidRDefault="00AF66CE" w:rsidP="00AF66CE">
            <w:pPr>
              <w:rPr>
                <w:rFonts w:ascii="Arial" w:hAnsi="Arial" w:cs="Arial"/>
                <w:sz w:val="24"/>
                <w:szCs w:val="24"/>
              </w:rPr>
            </w:pPr>
            <w:r w:rsidRPr="005B0A9D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CNR1 </w:t>
            </w:r>
            <w:r w:rsidRPr="005B0A9D">
              <w:rPr>
                <w:rFonts w:ascii="Arial" w:hAnsi="Arial" w:cs="Arial"/>
                <w:sz w:val="24"/>
                <w:szCs w:val="24"/>
              </w:rPr>
              <w:t>rs76129761 (allele C)</w:t>
            </w:r>
          </w:p>
        </w:tc>
        <w:tc>
          <w:tcPr>
            <w:tcW w:w="766" w:type="dxa"/>
            <w:noWrap/>
            <w:hideMark/>
          </w:tcPr>
          <w:p w14:paraId="0F8F0764" w14:textId="77777777" w:rsidR="00AF66CE" w:rsidRPr="005B0A9D" w:rsidRDefault="00AF66CE" w:rsidP="00AF66CE">
            <w:pPr>
              <w:rPr>
                <w:rFonts w:ascii="Arial" w:hAnsi="Arial" w:cs="Arial"/>
                <w:sz w:val="24"/>
                <w:szCs w:val="24"/>
              </w:rPr>
            </w:pPr>
            <w:r w:rsidRPr="005B0A9D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888" w:type="dxa"/>
            <w:noWrap/>
            <w:hideMark/>
          </w:tcPr>
          <w:p w14:paraId="7D1B479D" w14:textId="77777777" w:rsidR="00AF66CE" w:rsidRPr="005B0A9D" w:rsidRDefault="00AF66CE" w:rsidP="00AF66CE">
            <w:pPr>
              <w:rPr>
                <w:rFonts w:ascii="Arial" w:hAnsi="Arial" w:cs="Arial"/>
                <w:sz w:val="24"/>
                <w:szCs w:val="24"/>
              </w:rPr>
            </w:pPr>
            <w:r w:rsidRPr="005B0A9D">
              <w:rPr>
                <w:rFonts w:ascii="Arial" w:hAnsi="Arial" w:cs="Arial"/>
                <w:sz w:val="24"/>
                <w:szCs w:val="24"/>
              </w:rPr>
              <w:t>0.0159</w:t>
            </w:r>
          </w:p>
        </w:tc>
        <w:tc>
          <w:tcPr>
            <w:tcW w:w="888" w:type="dxa"/>
            <w:noWrap/>
            <w:hideMark/>
          </w:tcPr>
          <w:p w14:paraId="1A974C65" w14:textId="77777777" w:rsidR="00AF66CE" w:rsidRPr="005B0A9D" w:rsidRDefault="00AF66CE" w:rsidP="00AF66CE">
            <w:pPr>
              <w:rPr>
                <w:rFonts w:ascii="Arial" w:hAnsi="Arial" w:cs="Arial"/>
                <w:sz w:val="24"/>
                <w:szCs w:val="24"/>
              </w:rPr>
            </w:pPr>
            <w:r w:rsidRPr="005B0A9D">
              <w:rPr>
                <w:rFonts w:ascii="Arial" w:hAnsi="Arial" w:cs="Arial"/>
                <w:sz w:val="24"/>
                <w:szCs w:val="24"/>
              </w:rPr>
              <w:t>0.0398</w:t>
            </w:r>
          </w:p>
        </w:tc>
        <w:tc>
          <w:tcPr>
            <w:tcW w:w="888" w:type="dxa"/>
            <w:noWrap/>
            <w:hideMark/>
          </w:tcPr>
          <w:p w14:paraId="395A89FF" w14:textId="77777777" w:rsidR="00AF66CE" w:rsidRPr="005B0A9D" w:rsidRDefault="00AF66CE" w:rsidP="00AF66CE">
            <w:pPr>
              <w:rPr>
                <w:rFonts w:ascii="Arial" w:hAnsi="Arial" w:cs="Arial"/>
                <w:sz w:val="24"/>
                <w:szCs w:val="24"/>
              </w:rPr>
            </w:pPr>
            <w:r w:rsidRPr="005B0A9D">
              <w:rPr>
                <w:rFonts w:ascii="Arial" w:hAnsi="Arial" w:cs="Arial"/>
                <w:sz w:val="24"/>
                <w:szCs w:val="24"/>
              </w:rPr>
              <w:t>0.0099</w:t>
            </w:r>
          </w:p>
        </w:tc>
        <w:tc>
          <w:tcPr>
            <w:tcW w:w="1132" w:type="dxa"/>
            <w:noWrap/>
            <w:hideMark/>
          </w:tcPr>
          <w:p w14:paraId="616CC42A" w14:textId="77777777" w:rsidR="00AF66CE" w:rsidRPr="005B0A9D" w:rsidRDefault="00AF66CE" w:rsidP="00AF66CE">
            <w:pPr>
              <w:rPr>
                <w:rFonts w:ascii="Arial" w:hAnsi="Arial" w:cs="Arial"/>
                <w:sz w:val="24"/>
                <w:szCs w:val="24"/>
              </w:rPr>
            </w:pPr>
            <w:r w:rsidRPr="005B0A9D">
              <w:rPr>
                <w:rFonts w:ascii="Arial" w:hAnsi="Arial" w:cs="Arial"/>
                <w:sz w:val="24"/>
                <w:szCs w:val="24"/>
              </w:rPr>
              <w:t>-0.0033</w:t>
            </w:r>
          </w:p>
        </w:tc>
        <w:tc>
          <w:tcPr>
            <w:tcW w:w="1132" w:type="dxa"/>
            <w:noWrap/>
            <w:hideMark/>
          </w:tcPr>
          <w:p w14:paraId="24AE78DE" w14:textId="77777777" w:rsidR="00AF66CE" w:rsidRPr="005B0A9D" w:rsidRDefault="00AF66CE" w:rsidP="00AF66CE">
            <w:pPr>
              <w:rPr>
                <w:rFonts w:ascii="Arial" w:hAnsi="Arial" w:cs="Arial"/>
                <w:sz w:val="24"/>
                <w:szCs w:val="24"/>
              </w:rPr>
            </w:pPr>
            <w:r w:rsidRPr="005B0A9D">
              <w:rPr>
                <w:rFonts w:ascii="Arial" w:hAnsi="Arial" w:cs="Arial"/>
                <w:sz w:val="24"/>
                <w:szCs w:val="24"/>
              </w:rPr>
              <w:t>0.013905</w:t>
            </w:r>
          </w:p>
        </w:tc>
        <w:tc>
          <w:tcPr>
            <w:tcW w:w="1132" w:type="dxa"/>
            <w:noWrap/>
            <w:hideMark/>
          </w:tcPr>
          <w:p w14:paraId="545FAEEB" w14:textId="77777777" w:rsidR="00AF66CE" w:rsidRPr="005B0A9D" w:rsidRDefault="00AF66CE" w:rsidP="00AF66CE">
            <w:pPr>
              <w:rPr>
                <w:rFonts w:ascii="Arial" w:hAnsi="Arial" w:cs="Arial"/>
                <w:sz w:val="24"/>
                <w:szCs w:val="24"/>
              </w:rPr>
            </w:pPr>
            <w:r w:rsidRPr="005B0A9D">
              <w:rPr>
                <w:rFonts w:ascii="Arial" w:hAnsi="Arial" w:cs="Arial"/>
                <w:sz w:val="24"/>
                <w:szCs w:val="24"/>
              </w:rPr>
              <w:t>0.004714</w:t>
            </w:r>
          </w:p>
        </w:tc>
        <w:tc>
          <w:tcPr>
            <w:tcW w:w="814" w:type="dxa"/>
            <w:noWrap/>
            <w:hideMark/>
          </w:tcPr>
          <w:p w14:paraId="75C65824" w14:textId="77777777" w:rsidR="00AF66CE" w:rsidRPr="005B0A9D" w:rsidRDefault="00AF66CE" w:rsidP="00AF66CE">
            <w:pPr>
              <w:rPr>
                <w:rFonts w:ascii="Arial" w:hAnsi="Arial" w:cs="Arial"/>
                <w:sz w:val="24"/>
                <w:szCs w:val="24"/>
              </w:rPr>
            </w:pPr>
            <w:r w:rsidRPr="005B0A9D">
              <w:rPr>
                <w:rFonts w:ascii="Arial" w:hAnsi="Arial" w:cs="Arial"/>
                <w:sz w:val="24"/>
                <w:szCs w:val="24"/>
              </w:rPr>
              <w:t>CNR1</w:t>
            </w:r>
          </w:p>
        </w:tc>
      </w:tr>
      <w:tr w:rsidR="00AF66CE" w:rsidRPr="00F5227B" w14:paraId="5B1F09DB" w14:textId="77777777" w:rsidTr="006E23CF">
        <w:trPr>
          <w:trHeight w:val="300"/>
        </w:trPr>
        <w:tc>
          <w:tcPr>
            <w:tcW w:w="1376" w:type="dxa"/>
            <w:noWrap/>
            <w:hideMark/>
          </w:tcPr>
          <w:p w14:paraId="3A88CF90" w14:textId="77777777" w:rsidR="00AF66CE" w:rsidRPr="005B0A9D" w:rsidRDefault="00AF66CE" w:rsidP="00AF66CE">
            <w:pPr>
              <w:rPr>
                <w:rFonts w:ascii="Arial" w:hAnsi="Arial" w:cs="Arial"/>
                <w:sz w:val="24"/>
                <w:szCs w:val="24"/>
              </w:rPr>
            </w:pPr>
            <w:r w:rsidRPr="005B0A9D">
              <w:rPr>
                <w:rFonts w:ascii="Arial" w:hAnsi="Arial" w:cs="Arial"/>
                <w:i/>
                <w:iCs/>
                <w:sz w:val="24"/>
                <w:szCs w:val="24"/>
              </w:rPr>
              <w:t>CNR1</w:t>
            </w:r>
            <w:r w:rsidRPr="005B0A9D">
              <w:rPr>
                <w:rFonts w:ascii="Arial" w:hAnsi="Arial" w:cs="Arial"/>
                <w:sz w:val="24"/>
                <w:szCs w:val="24"/>
              </w:rPr>
              <w:t xml:space="preserve"> rs806372 (allele C)</w:t>
            </w:r>
          </w:p>
        </w:tc>
        <w:tc>
          <w:tcPr>
            <w:tcW w:w="766" w:type="dxa"/>
            <w:noWrap/>
            <w:hideMark/>
          </w:tcPr>
          <w:p w14:paraId="2D8F9D7B" w14:textId="77777777" w:rsidR="00AF66CE" w:rsidRPr="005B0A9D" w:rsidRDefault="00AF66CE" w:rsidP="00AF66CE">
            <w:pPr>
              <w:rPr>
                <w:rFonts w:ascii="Arial" w:hAnsi="Arial" w:cs="Arial"/>
                <w:sz w:val="24"/>
                <w:szCs w:val="24"/>
              </w:rPr>
            </w:pPr>
            <w:r w:rsidRPr="005B0A9D">
              <w:rPr>
                <w:rFonts w:ascii="Arial" w:hAnsi="Arial" w:cs="Arial"/>
                <w:sz w:val="24"/>
                <w:szCs w:val="24"/>
              </w:rPr>
              <w:t>C</w:t>
            </w:r>
          </w:p>
        </w:tc>
        <w:tc>
          <w:tcPr>
            <w:tcW w:w="888" w:type="dxa"/>
            <w:noWrap/>
            <w:hideMark/>
          </w:tcPr>
          <w:p w14:paraId="79994D2C" w14:textId="77777777" w:rsidR="00AF66CE" w:rsidRPr="005B0A9D" w:rsidRDefault="00AF66CE" w:rsidP="00AF66CE">
            <w:pPr>
              <w:rPr>
                <w:rFonts w:ascii="Arial" w:hAnsi="Arial" w:cs="Arial"/>
                <w:sz w:val="24"/>
                <w:szCs w:val="24"/>
              </w:rPr>
            </w:pPr>
            <w:r w:rsidRPr="005B0A9D">
              <w:rPr>
                <w:rFonts w:ascii="Arial" w:hAnsi="Arial" w:cs="Arial"/>
                <w:sz w:val="24"/>
                <w:szCs w:val="24"/>
              </w:rPr>
              <w:t>0.0765</w:t>
            </w:r>
          </w:p>
        </w:tc>
        <w:tc>
          <w:tcPr>
            <w:tcW w:w="888" w:type="dxa"/>
            <w:noWrap/>
            <w:hideMark/>
          </w:tcPr>
          <w:p w14:paraId="09329ADB" w14:textId="77777777" w:rsidR="00AF66CE" w:rsidRPr="005B0A9D" w:rsidRDefault="00AF66CE" w:rsidP="00AF66CE">
            <w:pPr>
              <w:rPr>
                <w:rFonts w:ascii="Arial" w:hAnsi="Arial" w:cs="Arial"/>
                <w:sz w:val="24"/>
                <w:szCs w:val="24"/>
              </w:rPr>
            </w:pPr>
            <w:r w:rsidRPr="005B0A9D">
              <w:rPr>
                <w:rFonts w:ascii="Arial" w:hAnsi="Arial" w:cs="Arial"/>
                <w:sz w:val="24"/>
                <w:szCs w:val="24"/>
              </w:rPr>
              <w:t>0.1193</w:t>
            </w:r>
          </w:p>
        </w:tc>
        <w:tc>
          <w:tcPr>
            <w:tcW w:w="888" w:type="dxa"/>
            <w:noWrap/>
            <w:hideMark/>
          </w:tcPr>
          <w:p w14:paraId="756B7F6C" w14:textId="77777777" w:rsidR="00AF66CE" w:rsidRPr="005B0A9D" w:rsidRDefault="00AF66CE" w:rsidP="00AF66CE">
            <w:pPr>
              <w:rPr>
                <w:rFonts w:ascii="Arial" w:hAnsi="Arial" w:cs="Arial"/>
                <w:sz w:val="24"/>
                <w:szCs w:val="24"/>
              </w:rPr>
            </w:pPr>
            <w:r w:rsidRPr="005B0A9D">
              <w:rPr>
                <w:rFonts w:ascii="Arial" w:hAnsi="Arial" w:cs="Arial"/>
                <w:sz w:val="24"/>
                <w:szCs w:val="24"/>
              </w:rPr>
              <w:t>0.501</w:t>
            </w:r>
          </w:p>
        </w:tc>
        <w:tc>
          <w:tcPr>
            <w:tcW w:w="1132" w:type="dxa"/>
            <w:noWrap/>
            <w:hideMark/>
          </w:tcPr>
          <w:p w14:paraId="38045775" w14:textId="77777777" w:rsidR="00AF66CE" w:rsidRPr="005B0A9D" w:rsidRDefault="00AF66CE" w:rsidP="00AF66CE">
            <w:pPr>
              <w:rPr>
                <w:rFonts w:ascii="Arial" w:hAnsi="Arial" w:cs="Arial"/>
                <w:sz w:val="24"/>
                <w:szCs w:val="24"/>
              </w:rPr>
            </w:pPr>
            <w:r w:rsidRPr="005B0A9D">
              <w:rPr>
                <w:rFonts w:ascii="Arial" w:hAnsi="Arial" w:cs="Arial"/>
                <w:sz w:val="24"/>
                <w:szCs w:val="24"/>
              </w:rPr>
              <w:t>0.085855</w:t>
            </w:r>
          </w:p>
        </w:tc>
        <w:tc>
          <w:tcPr>
            <w:tcW w:w="1132" w:type="dxa"/>
            <w:noWrap/>
            <w:hideMark/>
          </w:tcPr>
          <w:p w14:paraId="199BFBB2" w14:textId="77777777" w:rsidR="00AF66CE" w:rsidRPr="005B0A9D" w:rsidRDefault="00AF66CE" w:rsidP="00AF66CE">
            <w:pPr>
              <w:rPr>
                <w:rFonts w:ascii="Arial" w:hAnsi="Arial" w:cs="Arial"/>
                <w:sz w:val="24"/>
                <w:szCs w:val="24"/>
              </w:rPr>
            </w:pPr>
            <w:r w:rsidRPr="005B0A9D">
              <w:rPr>
                <w:rFonts w:ascii="Arial" w:hAnsi="Arial" w:cs="Arial"/>
                <w:sz w:val="24"/>
                <w:szCs w:val="24"/>
              </w:rPr>
              <w:t>-0.07543</w:t>
            </w:r>
          </w:p>
        </w:tc>
        <w:tc>
          <w:tcPr>
            <w:tcW w:w="1132" w:type="dxa"/>
            <w:noWrap/>
            <w:hideMark/>
          </w:tcPr>
          <w:p w14:paraId="1013AD7D" w14:textId="77777777" w:rsidR="00AF66CE" w:rsidRPr="005B0A9D" w:rsidRDefault="00AF66CE" w:rsidP="00AF66CE">
            <w:pPr>
              <w:rPr>
                <w:rFonts w:ascii="Arial" w:hAnsi="Arial" w:cs="Arial"/>
                <w:sz w:val="24"/>
                <w:szCs w:val="24"/>
              </w:rPr>
            </w:pPr>
            <w:r w:rsidRPr="005B0A9D">
              <w:rPr>
                <w:rFonts w:ascii="Arial" w:hAnsi="Arial" w:cs="Arial"/>
                <w:sz w:val="24"/>
                <w:szCs w:val="24"/>
              </w:rPr>
              <w:t>0.491669</w:t>
            </w:r>
          </w:p>
        </w:tc>
        <w:tc>
          <w:tcPr>
            <w:tcW w:w="814" w:type="dxa"/>
            <w:noWrap/>
            <w:hideMark/>
          </w:tcPr>
          <w:p w14:paraId="5DF3555F" w14:textId="77777777" w:rsidR="00AF66CE" w:rsidRPr="005B0A9D" w:rsidRDefault="00AF66CE" w:rsidP="00AF66CE">
            <w:pPr>
              <w:rPr>
                <w:rFonts w:ascii="Arial" w:hAnsi="Arial" w:cs="Arial"/>
                <w:sz w:val="24"/>
                <w:szCs w:val="24"/>
              </w:rPr>
            </w:pPr>
            <w:r w:rsidRPr="005B0A9D">
              <w:rPr>
                <w:rFonts w:ascii="Arial" w:hAnsi="Arial" w:cs="Arial"/>
                <w:sz w:val="24"/>
                <w:szCs w:val="24"/>
              </w:rPr>
              <w:t>CNR1</w:t>
            </w:r>
          </w:p>
        </w:tc>
      </w:tr>
      <w:tr w:rsidR="00AF66CE" w:rsidRPr="00F5227B" w14:paraId="2230CD6D" w14:textId="77777777" w:rsidTr="006E23CF">
        <w:trPr>
          <w:trHeight w:val="300"/>
        </w:trPr>
        <w:tc>
          <w:tcPr>
            <w:tcW w:w="1376" w:type="dxa"/>
            <w:noWrap/>
            <w:hideMark/>
          </w:tcPr>
          <w:p w14:paraId="50CA096C" w14:textId="59CB9EEF" w:rsidR="00AF66CE" w:rsidRPr="005B0A9D" w:rsidRDefault="00AF66CE" w:rsidP="00AF66CE">
            <w:pPr>
              <w:rPr>
                <w:rFonts w:ascii="Arial" w:hAnsi="Arial" w:cs="Arial"/>
                <w:sz w:val="24"/>
                <w:szCs w:val="24"/>
              </w:rPr>
            </w:pPr>
            <w:r w:rsidRPr="005B0A9D">
              <w:rPr>
                <w:rFonts w:ascii="Arial" w:hAnsi="Arial" w:cs="Arial"/>
                <w:i/>
                <w:iCs/>
                <w:sz w:val="24"/>
                <w:szCs w:val="24"/>
              </w:rPr>
              <w:t>IL</w:t>
            </w:r>
            <w:r w:rsidR="00F5227B" w:rsidRPr="005B0A9D">
              <w:rPr>
                <w:rFonts w:ascii="Arial" w:hAnsi="Arial" w:cs="Arial"/>
                <w:i/>
                <w:iCs/>
                <w:sz w:val="24"/>
                <w:szCs w:val="24"/>
              </w:rPr>
              <w:t>-</w:t>
            </w:r>
            <w:r w:rsidRPr="005B0A9D">
              <w:rPr>
                <w:rFonts w:ascii="Arial" w:hAnsi="Arial" w:cs="Arial"/>
                <w:i/>
                <w:iCs/>
                <w:sz w:val="24"/>
                <w:szCs w:val="24"/>
              </w:rPr>
              <w:t>6</w:t>
            </w:r>
            <w:r w:rsidRPr="005B0A9D">
              <w:rPr>
                <w:rFonts w:ascii="Arial" w:hAnsi="Arial" w:cs="Arial"/>
                <w:sz w:val="24"/>
                <w:szCs w:val="24"/>
              </w:rPr>
              <w:t xml:space="preserve"> rs2069840 (allele A)</w:t>
            </w:r>
          </w:p>
        </w:tc>
        <w:tc>
          <w:tcPr>
            <w:tcW w:w="766" w:type="dxa"/>
            <w:noWrap/>
            <w:hideMark/>
          </w:tcPr>
          <w:p w14:paraId="71D85F87" w14:textId="77777777" w:rsidR="00AF66CE" w:rsidRPr="005B0A9D" w:rsidRDefault="00AF66CE" w:rsidP="00AF66CE">
            <w:pPr>
              <w:rPr>
                <w:rFonts w:ascii="Arial" w:hAnsi="Arial" w:cs="Arial"/>
                <w:sz w:val="24"/>
                <w:szCs w:val="24"/>
              </w:rPr>
            </w:pPr>
            <w:r w:rsidRPr="005B0A9D">
              <w:rPr>
                <w:rFonts w:ascii="Arial" w:hAnsi="Arial" w:cs="Arial"/>
                <w:sz w:val="24"/>
                <w:szCs w:val="24"/>
              </w:rPr>
              <w:t>A</w:t>
            </w:r>
          </w:p>
        </w:tc>
        <w:tc>
          <w:tcPr>
            <w:tcW w:w="888" w:type="dxa"/>
            <w:noWrap/>
            <w:hideMark/>
          </w:tcPr>
          <w:p w14:paraId="14D5C272" w14:textId="77777777" w:rsidR="00AF66CE" w:rsidRPr="005B0A9D" w:rsidRDefault="00AF66CE" w:rsidP="00AF66CE">
            <w:pPr>
              <w:rPr>
                <w:rFonts w:ascii="Arial" w:hAnsi="Arial" w:cs="Arial"/>
                <w:sz w:val="24"/>
                <w:szCs w:val="24"/>
              </w:rPr>
            </w:pPr>
            <w:r w:rsidRPr="005B0A9D">
              <w:rPr>
                <w:rFonts w:ascii="Arial" w:hAnsi="Arial" w:cs="Arial"/>
                <w:sz w:val="24"/>
                <w:szCs w:val="24"/>
              </w:rPr>
              <w:t>0.1</w:t>
            </w:r>
          </w:p>
        </w:tc>
        <w:tc>
          <w:tcPr>
            <w:tcW w:w="888" w:type="dxa"/>
            <w:noWrap/>
            <w:hideMark/>
          </w:tcPr>
          <w:p w14:paraId="67914164" w14:textId="77777777" w:rsidR="00AF66CE" w:rsidRPr="005B0A9D" w:rsidRDefault="00AF66CE" w:rsidP="00AF66CE">
            <w:pPr>
              <w:rPr>
                <w:rFonts w:ascii="Arial" w:hAnsi="Arial" w:cs="Arial"/>
                <w:sz w:val="24"/>
                <w:szCs w:val="24"/>
              </w:rPr>
            </w:pPr>
            <w:r w:rsidRPr="005B0A9D">
              <w:rPr>
                <w:rFonts w:ascii="Arial" w:hAnsi="Arial" w:cs="Arial"/>
                <w:sz w:val="24"/>
                <w:szCs w:val="24"/>
              </w:rPr>
              <w:t>0.2525</w:t>
            </w:r>
          </w:p>
        </w:tc>
        <w:tc>
          <w:tcPr>
            <w:tcW w:w="888" w:type="dxa"/>
            <w:noWrap/>
            <w:hideMark/>
          </w:tcPr>
          <w:p w14:paraId="4A867916" w14:textId="77777777" w:rsidR="00AF66CE" w:rsidRPr="005B0A9D" w:rsidRDefault="00AF66CE" w:rsidP="00AF66CE">
            <w:pPr>
              <w:rPr>
                <w:rFonts w:ascii="Arial" w:hAnsi="Arial" w:cs="Arial"/>
                <w:sz w:val="24"/>
                <w:szCs w:val="24"/>
              </w:rPr>
            </w:pPr>
            <w:r w:rsidRPr="005B0A9D">
              <w:rPr>
                <w:rFonts w:ascii="Arial" w:hAnsi="Arial" w:cs="Arial"/>
                <w:sz w:val="24"/>
                <w:szCs w:val="24"/>
              </w:rPr>
              <w:t>0.0605</w:t>
            </w:r>
          </w:p>
        </w:tc>
        <w:tc>
          <w:tcPr>
            <w:tcW w:w="1132" w:type="dxa"/>
            <w:noWrap/>
            <w:hideMark/>
          </w:tcPr>
          <w:p w14:paraId="23E02014" w14:textId="77777777" w:rsidR="00AF66CE" w:rsidRPr="005B0A9D" w:rsidRDefault="00AF66CE" w:rsidP="00AF66CE">
            <w:pPr>
              <w:rPr>
                <w:rFonts w:ascii="Arial" w:hAnsi="Arial" w:cs="Arial"/>
                <w:sz w:val="24"/>
                <w:szCs w:val="24"/>
              </w:rPr>
            </w:pPr>
            <w:r w:rsidRPr="005B0A9D">
              <w:rPr>
                <w:rFonts w:ascii="Arial" w:hAnsi="Arial" w:cs="Arial"/>
                <w:sz w:val="24"/>
                <w:szCs w:val="24"/>
              </w:rPr>
              <w:t>-0.02814</w:t>
            </w:r>
          </w:p>
        </w:tc>
        <w:tc>
          <w:tcPr>
            <w:tcW w:w="1132" w:type="dxa"/>
            <w:noWrap/>
            <w:hideMark/>
          </w:tcPr>
          <w:p w14:paraId="683B65FF" w14:textId="77777777" w:rsidR="00AF66CE" w:rsidRPr="005B0A9D" w:rsidRDefault="00AF66CE" w:rsidP="00AF66CE">
            <w:pPr>
              <w:rPr>
                <w:rFonts w:ascii="Arial" w:hAnsi="Arial" w:cs="Arial"/>
                <w:sz w:val="24"/>
                <w:szCs w:val="24"/>
              </w:rPr>
            </w:pPr>
            <w:r w:rsidRPr="005B0A9D">
              <w:rPr>
                <w:rFonts w:ascii="Arial" w:hAnsi="Arial" w:cs="Arial"/>
                <w:sz w:val="24"/>
                <w:szCs w:val="24"/>
              </w:rPr>
              <w:t>0.111623</w:t>
            </w:r>
          </w:p>
        </w:tc>
        <w:tc>
          <w:tcPr>
            <w:tcW w:w="1132" w:type="dxa"/>
            <w:noWrap/>
            <w:hideMark/>
          </w:tcPr>
          <w:p w14:paraId="49C4D375" w14:textId="77777777" w:rsidR="00AF66CE" w:rsidRPr="005B0A9D" w:rsidRDefault="00AF66CE" w:rsidP="00AF66CE">
            <w:pPr>
              <w:rPr>
                <w:rFonts w:ascii="Arial" w:hAnsi="Arial" w:cs="Arial"/>
                <w:sz w:val="24"/>
                <w:szCs w:val="24"/>
              </w:rPr>
            </w:pPr>
            <w:r w:rsidRPr="005B0A9D">
              <w:rPr>
                <w:rFonts w:ascii="Arial" w:hAnsi="Arial" w:cs="Arial"/>
                <w:sz w:val="24"/>
                <w:szCs w:val="24"/>
              </w:rPr>
              <w:t>0.038768</w:t>
            </w:r>
          </w:p>
        </w:tc>
        <w:tc>
          <w:tcPr>
            <w:tcW w:w="814" w:type="dxa"/>
            <w:noWrap/>
            <w:hideMark/>
          </w:tcPr>
          <w:p w14:paraId="1EF117F5" w14:textId="77777777" w:rsidR="00AF66CE" w:rsidRPr="005B0A9D" w:rsidRDefault="00AF66CE" w:rsidP="00AF66CE">
            <w:pPr>
              <w:rPr>
                <w:rFonts w:ascii="Arial" w:hAnsi="Arial" w:cs="Arial"/>
                <w:sz w:val="24"/>
                <w:szCs w:val="24"/>
              </w:rPr>
            </w:pPr>
            <w:r w:rsidRPr="005B0A9D">
              <w:rPr>
                <w:rFonts w:ascii="Arial" w:hAnsi="Arial" w:cs="Arial"/>
                <w:sz w:val="24"/>
                <w:szCs w:val="24"/>
              </w:rPr>
              <w:t>IL6</w:t>
            </w:r>
          </w:p>
        </w:tc>
      </w:tr>
      <w:tr w:rsidR="00AF66CE" w:rsidRPr="00F5227B" w14:paraId="0D839D66" w14:textId="77777777" w:rsidTr="006E23CF">
        <w:trPr>
          <w:trHeight w:val="300"/>
        </w:trPr>
        <w:tc>
          <w:tcPr>
            <w:tcW w:w="1376" w:type="dxa"/>
            <w:noWrap/>
            <w:hideMark/>
          </w:tcPr>
          <w:p w14:paraId="454583A6" w14:textId="2580DE36" w:rsidR="00AF66CE" w:rsidRPr="005B0A9D" w:rsidRDefault="00AF66CE" w:rsidP="00AF66CE">
            <w:pPr>
              <w:rPr>
                <w:rFonts w:ascii="Arial" w:hAnsi="Arial" w:cs="Arial"/>
                <w:sz w:val="24"/>
                <w:szCs w:val="24"/>
              </w:rPr>
            </w:pPr>
            <w:r w:rsidRPr="005B0A9D">
              <w:rPr>
                <w:rFonts w:ascii="Arial" w:hAnsi="Arial" w:cs="Arial"/>
                <w:i/>
                <w:iCs/>
                <w:sz w:val="24"/>
                <w:szCs w:val="24"/>
              </w:rPr>
              <w:t>IL</w:t>
            </w:r>
            <w:r w:rsidR="00F5227B" w:rsidRPr="005B0A9D">
              <w:rPr>
                <w:rFonts w:ascii="Arial" w:hAnsi="Arial" w:cs="Arial"/>
                <w:i/>
                <w:iCs/>
                <w:sz w:val="24"/>
                <w:szCs w:val="24"/>
              </w:rPr>
              <w:t>-</w:t>
            </w:r>
            <w:r w:rsidRPr="005B0A9D">
              <w:rPr>
                <w:rFonts w:ascii="Arial" w:hAnsi="Arial" w:cs="Arial"/>
                <w:i/>
                <w:iCs/>
                <w:sz w:val="24"/>
                <w:szCs w:val="24"/>
              </w:rPr>
              <w:t xml:space="preserve">6 </w:t>
            </w:r>
            <w:r w:rsidRPr="005B0A9D">
              <w:rPr>
                <w:rFonts w:ascii="Arial" w:hAnsi="Arial" w:cs="Arial"/>
                <w:sz w:val="24"/>
                <w:szCs w:val="24"/>
              </w:rPr>
              <w:t>rs34880821 (allele G)</w:t>
            </w:r>
          </w:p>
        </w:tc>
        <w:tc>
          <w:tcPr>
            <w:tcW w:w="766" w:type="dxa"/>
            <w:noWrap/>
            <w:hideMark/>
          </w:tcPr>
          <w:p w14:paraId="16D841DC" w14:textId="77777777" w:rsidR="00AF66CE" w:rsidRPr="005B0A9D" w:rsidRDefault="00AF66CE" w:rsidP="00AF66CE">
            <w:pPr>
              <w:rPr>
                <w:rFonts w:ascii="Arial" w:hAnsi="Arial" w:cs="Arial"/>
                <w:sz w:val="24"/>
                <w:szCs w:val="24"/>
              </w:rPr>
            </w:pPr>
            <w:r w:rsidRPr="005B0A9D">
              <w:rPr>
                <w:rFonts w:ascii="Arial" w:hAnsi="Arial" w:cs="Arial"/>
                <w:sz w:val="24"/>
                <w:szCs w:val="24"/>
              </w:rPr>
              <w:t>G</w:t>
            </w:r>
          </w:p>
        </w:tc>
        <w:tc>
          <w:tcPr>
            <w:tcW w:w="888" w:type="dxa"/>
            <w:noWrap/>
            <w:hideMark/>
          </w:tcPr>
          <w:p w14:paraId="01636480" w14:textId="77777777" w:rsidR="00AF66CE" w:rsidRPr="005B0A9D" w:rsidRDefault="00AF66CE" w:rsidP="00AF66CE">
            <w:pPr>
              <w:rPr>
                <w:rFonts w:ascii="Arial" w:hAnsi="Arial" w:cs="Arial"/>
                <w:sz w:val="24"/>
                <w:szCs w:val="24"/>
              </w:rPr>
            </w:pPr>
            <w:r w:rsidRPr="005B0A9D">
              <w:rPr>
                <w:rFonts w:ascii="Arial" w:hAnsi="Arial" w:cs="Arial"/>
                <w:sz w:val="24"/>
                <w:szCs w:val="24"/>
              </w:rPr>
              <w:t>0.15</w:t>
            </w:r>
          </w:p>
        </w:tc>
        <w:tc>
          <w:tcPr>
            <w:tcW w:w="888" w:type="dxa"/>
            <w:noWrap/>
            <w:hideMark/>
          </w:tcPr>
          <w:p w14:paraId="5D13323A" w14:textId="77777777" w:rsidR="00AF66CE" w:rsidRPr="005B0A9D" w:rsidRDefault="00AF66CE" w:rsidP="00AF66CE">
            <w:pPr>
              <w:rPr>
                <w:rFonts w:ascii="Arial" w:hAnsi="Arial" w:cs="Arial"/>
                <w:sz w:val="24"/>
                <w:szCs w:val="24"/>
              </w:rPr>
            </w:pPr>
            <w:r w:rsidRPr="005B0A9D">
              <w:rPr>
                <w:rFonts w:ascii="Arial" w:hAnsi="Arial" w:cs="Arial"/>
                <w:sz w:val="24"/>
                <w:szCs w:val="24"/>
              </w:rPr>
              <w:t>0.332</w:t>
            </w:r>
          </w:p>
        </w:tc>
        <w:tc>
          <w:tcPr>
            <w:tcW w:w="888" w:type="dxa"/>
            <w:noWrap/>
            <w:hideMark/>
          </w:tcPr>
          <w:p w14:paraId="447ACFF6" w14:textId="77777777" w:rsidR="00AF66CE" w:rsidRPr="005B0A9D" w:rsidRDefault="00AF66CE" w:rsidP="00AF66CE">
            <w:pPr>
              <w:rPr>
                <w:rFonts w:ascii="Arial" w:hAnsi="Arial" w:cs="Arial"/>
                <w:sz w:val="24"/>
                <w:szCs w:val="24"/>
              </w:rPr>
            </w:pPr>
            <w:r w:rsidRPr="005B0A9D">
              <w:rPr>
                <w:rFonts w:ascii="Arial" w:hAnsi="Arial" w:cs="Arial"/>
                <w:sz w:val="24"/>
                <w:szCs w:val="24"/>
              </w:rPr>
              <w:t>0.0625</w:t>
            </w:r>
          </w:p>
        </w:tc>
        <w:tc>
          <w:tcPr>
            <w:tcW w:w="1132" w:type="dxa"/>
            <w:noWrap/>
            <w:hideMark/>
          </w:tcPr>
          <w:p w14:paraId="3688DD18" w14:textId="77777777" w:rsidR="00AF66CE" w:rsidRPr="005B0A9D" w:rsidRDefault="00AF66CE" w:rsidP="00AF66CE">
            <w:pPr>
              <w:rPr>
                <w:rFonts w:ascii="Arial" w:hAnsi="Arial" w:cs="Arial"/>
                <w:sz w:val="24"/>
                <w:szCs w:val="24"/>
              </w:rPr>
            </w:pPr>
            <w:r w:rsidRPr="005B0A9D">
              <w:rPr>
                <w:rFonts w:ascii="Arial" w:hAnsi="Arial" w:cs="Arial"/>
                <w:sz w:val="24"/>
                <w:szCs w:val="24"/>
              </w:rPr>
              <w:t>-0.06223</w:t>
            </w:r>
          </w:p>
        </w:tc>
        <w:tc>
          <w:tcPr>
            <w:tcW w:w="1132" w:type="dxa"/>
            <w:noWrap/>
            <w:hideMark/>
          </w:tcPr>
          <w:p w14:paraId="3B96BB8F" w14:textId="77777777" w:rsidR="00AF66CE" w:rsidRPr="005B0A9D" w:rsidRDefault="00AF66CE" w:rsidP="00AF66CE">
            <w:pPr>
              <w:rPr>
                <w:rFonts w:ascii="Arial" w:hAnsi="Arial" w:cs="Arial"/>
                <w:sz w:val="24"/>
                <w:szCs w:val="24"/>
              </w:rPr>
            </w:pPr>
            <w:r w:rsidRPr="005B0A9D">
              <w:rPr>
                <w:rFonts w:ascii="Arial" w:hAnsi="Arial" w:cs="Arial"/>
                <w:sz w:val="24"/>
                <w:szCs w:val="24"/>
              </w:rPr>
              <w:t>0.157137</w:t>
            </w:r>
          </w:p>
        </w:tc>
        <w:tc>
          <w:tcPr>
            <w:tcW w:w="1132" w:type="dxa"/>
            <w:noWrap/>
            <w:hideMark/>
          </w:tcPr>
          <w:p w14:paraId="20A62EA0" w14:textId="77777777" w:rsidR="00AF66CE" w:rsidRPr="005B0A9D" w:rsidRDefault="00AF66CE" w:rsidP="00AF66CE">
            <w:pPr>
              <w:rPr>
                <w:rFonts w:ascii="Arial" w:hAnsi="Arial" w:cs="Arial"/>
                <w:sz w:val="24"/>
                <w:szCs w:val="24"/>
              </w:rPr>
            </w:pPr>
            <w:r w:rsidRPr="005B0A9D">
              <w:rPr>
                <w:rFonts w:ascii="Arial" w:hAnsi="Arial" w:cs="Arial"/>
                <w:sz w:val="24"/>
                <w:szCs w:val="24"/>
              </w:rPr>
              <w:t>0.103378</w:t>
            </w:r>
          </w:p>
        </w:tc>
        <w:tc>
          <w:tcPr>
            <w:tcW w:w="814" w:type="dxa"/>
            <w:noWrap/>
            <w:hideMark/>
          </w:tcPr>
          <w:p w14:paraId="22576327" w14:textId="77777777" w:rsidR="00AF66CE" w:rsidRPr="005B0A9D" w:rsidRDefault="00AF66CE" w:rsidP="00AF66CE">
            <w:pPr>
              <w:rPr>
                <w:rFonts w:ascii="Arial" w:hAnsi="Arial" w:cs="Arial"/>
                <w:sz w:val="24"/>
                <w:szCs w:val="24"/>
              </w:rPr>
            </w:pPr>
            <w:r w:rsidRPr="005B0A9D">
              <w:rPr>
                <w:rFonts w:ascii="Arial" w:hAnsi="Arial" w:cs="Arial"/>
                <w:sz w:val="24"/>
                <w:szCs w:val="24"/>
              </w:rPr>
              <w:t>IL6</w:t>
            </w:r>
          </w:p>
        </w:tc>
      </w:tr>
    </w:tbl>
    <w:p w14:paraId="4597EA47" w14:textId="77777777" w:rsidR="005D1784" w:rsidRDefault="005D1784" w:rsidP="00AF66CE">
      <w:pPr>
        <w:rPr>
          <w:rFonts w:ascii="Arial" w:hAnsi="Arial" w:cs="Arial"/>
        </w:rPr>
      </w:pPr>
    </w:p>
    <w:p w14:paraId="7D8025BF" w14:textId="3B28C9EC" w:rsidR="00AD3A0F" w:rsidRPr="005B0A9D" w:rsidRDefault="005D1784" w:rsidP="00AF66CE">
      <w:pPr>
        <w:rPr>
          <w:rFonts w:ascii="Arial" w:hAnsi="Arial" w:cs="Arial"/>
        </w:rPr>
      </w:pPr>
      <w:r w:rsidRPr="005B0A9D">
        <w:rPr>
          <w:rFonts w:ascii="Arial" w:hAnsi="Arial" w:cs="Arial"/>
        </w:rPr>
        <w:t>rs806372 shows strong East</w:t>
      </w:r>
      <w:r w:rsidRPr="00F5227B">
        <w:rPr>
          <w:rFonts w:ascii="Cambria Math" w:hAnsi="Cambria Math" w:cs="Cambria Math"/>
        </w:rPr>
        <w:t>‑</w:t>
      </w:r>
      <w:r w:rsidRPr="005B0A9D">
        <w:rPr>
          <w:rFonts w:ascii="Arial" w:hAnsi="Arial" w:cs="Arial"/>
        </w:rPr>
        <w:t>Asian specific differentiation, while rs2069840 and rs34880821 show moderate European</w:t>
      </w:r>
      <w:r w:rsidRPr="00F5227B">
        <w:rPr>
          <w:rFonts w:ascii="Cambria Math" w:hAnsi="Cambria Math" w:cs="Cambria Math"/>
        </w:rPr>
        <w:t>‑</w:t>
      </w:r>
      <w:r w:rsidRPr="005B0A9D">
        <w:rPr>
          <w:rFonts w:ascii="Arial" w:hAnsi="Arial" w:cs="Arial"/>
        </w:rPr>
        <w:t>specific differentiation.</w:t>
      </w:r>
      <w:r>
        <w:rPr>
          <w:rFonts w:ascii="Arial" w:hAnsi="Arial" w:cs="Arial"/>
        </w:rPr>
        <w:t xml:space="preserve"> </w:t>
      </w:r>
      <w:r w:rsidR="00AF66CE" w:rsidRPr="005B0A9D">
        <w:rPr>
          <w:rFonts w:ascii="Arial" w:hAnsi="Arial" w:cs="Arial"/>
        </w:rPr>
        <w:t>rs806372 has a high PBS in East Asians (~0.49), consistent with strong differentiation in the EAS lineage relative to Africans and Europeans.  Conversely, rs2069840 and rs34880821 show moderate PBS in Europeans (~0.11 – 0.16) and smaller PBS in East Asians, suggesting a more pronounced European</w:t>
      </w:r>
      <w:r w:rsidR="00AF66CE" w:rsidRPr="00F5227B">
        <w:rPr>
          <w:rFonts w:ascii="Cambria Math" w:hAnsi="Cambria Math" w:cs="Cambria Math"/>
        </w:rPr>
        <w:t>‑</w:t>
      </w:r>
      <w:r w:rsidR="00AF66CE" w:rsidRPr="005B0A9D">
        <w:rPr>
          <w:rFonts w:ascii="Arial" w:hAnsi="Arial" w:cs="Arial"/>
        </w:rPr>
        <w:t>specific shift for these IL6 variants.  Variants with negative PBS values in a population (e.g., rs806372 in EUR) indicate that the focal branch length is shorter than expected</w:t>
      </w:r>
      <w:r w:rsidR="00E23FCB" w:rsidRPr="005B0A9D">
        <w:rPr>
          <w:rFonts w:ascii="Arial" w:hAnsi="Arial" w:cs="Arial"/>
        </w:rPr>
        <w:t>.</w:t>
      </w:r>
    </w:p>
    <w:p w14:paraId="3470D8A1" w14:textId="09E3F925" w:rsidR="00AF66CE" w:rsidRPr="005B0A9D" w:rsidRDefault="00AF66CE" w:rsidP="00AF66CE">
      <w:pPr>
        <w:rPr>
          <w:rFonts w:ascii="Arial" w:hAnsi="Arial" w:cs="Arial"/>
          <w:i/>
          <w:iCs/>
          <w:color w:val="000000" w:themeColor="text1"/>
        </w:rPr>
      </w:pPr>
    </w:p>
    <w:p w14:paraId="01A11B7C" w14:textId="77777777" w:rsidR="00AF66CE" w:rsidRPr="005B0A9D" w:rsidRDefault="00AF66CE" w:rsidP="00AF66CE">
      <w:pPr>
        <w:rPr>
          <w:rFonts w:ascii="Arial" w:hAnsi="Arial" w:cs="Arial"/>
          <w:i/>
          <w:iCs/>
          <w:color w:val="000000" w:themeColor="text1"/>
        </w:rPr>
      </w:pPr>
    </w:p>
    <w:p w14:paraId="683363A4" w14:textId="0A69C004" w:rsidR="00AF66CE" w:rsidRPr="005B0A9D" w:rsidRDefault="00735F64" w:rsidP="00AF66CE">
      <w:pPr>
        <w:rPr>
          <w:rStyle w:val="apple-converted-space"/>
          <w:rFonts w:ascii="Arial" w:eastAsiaTheme="majorEastAsia" w:hAnsi="Arial" w:cs="Arial"/>
          <w:i/>
          <w:iCs/>
          <w:color w:val="000000" w:themeColor="text1"/>
        </w:rPr>
      </w:pPr>
      <w:r>
        <w:rPr>
          <w:rStyle w:val="s1"/>
          <w:rFonts w:ascii="Arial" w:eastAsiaTheme="majorEastAsia" w:hAnsi="Arial" w:cs="Arial"/>
          <w:i/>
          <w:iCs/>
          <w:color w:val="000000" w:themeColor="text1"/>
        </w:rPr>
        <w:t>Sources</w:t>
      </w:r>
      <w:r w:rsidR="00400400">
        <w:rPr>
          <w:rStyle w:val="s1"/>
          <w:rFonts w:ascii="Arial" w:eastAsiaTheme="majorEastAsia" w:hAnsi="Arial" w:cs="Arial"/>
          <w:i/>
          <w:iCs/>
          <w:color w:val="000000" w:themeColor="text1"/>
        </w:rPr>
        <w:t xml:space="preserve"> - </w:t>
      </w:r>
      <w:r w:rsidR="00AF66CE" w:rsidRPr="005B0A9D">
        <w:rPr>
          <w:rStyle w:val="s1"/>
          <w:rFonts w:ascii="Arial" w:eastAsiaTheme="majorEastAsia" w:hAnsi="Arial" w:cs="Arial"/>
          <w:i/>
          <w:iCs/>
          <w:color w:val="000000" w:themeColor="text1"/>
        </w:rPr>
        <w:t>Yi X, et al.</w:t>
      </w:r>
      <w:r w:rsidR="00AF66CE" w:rsidRPr="005B0A9D">
        <w:rPr>
          <w:rFonts w:ascii="Arial" w:hAnsi="Arial" w:cs="Arial"/>
          <w:i/>
          <w:iCs/>
          <w:color w:val="000000" w:themeColor="text1"/>
        </w:rPr>
        <w:t xml:space="preserve"> Sequencing of 50 Human Exomes Reveals Adaptation to High Altitude. </w:t>
      </w:r>
      <w:r w:rsidR="00AF66CE" w:rsidRPr="005B0A9D">
        <w:rPr>
          <w:rStyle w:val="s1"/>
          <w:rFonts w:ascii="Arial" w:eastAsiaTheme="majorEastAsia" w:hAnsi="Arial" w:cs="Arial"/>
          <w:i/>
          <w:iCs/>
          <w:color w:val="000000" w:themeColor="text1"/>
        </w:rPr>
        <w:t>Science</w:t>
      </w:r>
      <w:r w:rsidR="00AF66CE" w:rsidRPr="005B0A9D">
        <w:rPr>
          <w:rFonts w:ascii="Arial" w:hAnsi="Arial" w:cs="Arial"/>
          <w:i/>
          <w:iCs/>
          <w:color w:val="000000" w:themeColor="text1"/>
        </w:rPr>
        <w:t xml:space="preserve">. 2010;329:75–78. </w:t>
      </w:r>
    </w:p>
    <w:p w14:paraId="16826B8A" w14:textId="77777777" w:rsidR="00AF66CE" w:rsidRPr="00F5227B" w:rsidRDefault="00AF66CE" w:rsidP="00AF66CE">
      <w:pPr>
        <w:rPr>
          <w:rFonts w:ascii="Arial" w:hAnsi="Arial" w:cs="Arial"/>
          <w:i/>
          <w:iCs/>
          <w:color w:val="000000" w:themeColor="text1"/>
          <w:highlight w:val="yellow"/>
        </w:rPr>
      </w:pPr>
      <w:r w:rsidRPr="005B0A9D">
        <w:rPr>
          <w:rStyle w:val="s1"/>
          <w:rFonts w:ascii="Arial" w:eastAsiaTheme="majorEastAsia" w:hAnsi="Arial" w:cs="Arial"/>
          <w:i/>
          <w:iCs/>
          <w:color w:val="000000" w:themeColor="text1"/>
        </w:rPr>
        <w:lastRenderedPageBreak/>
        <w:t>Shpak M, et al.</w:t>
      </w:r>
      <w:r w:rsidRPr="005B0A9D">
        <w:rPr>
          <w:rFonts w:ascii="Arial" w:hAnsi="Arial" w:cs="Arial"/>
          <w:i/>
          <w:iCs/>
          <w:color w:val="000000" w:themeColor="text1"/>
        </w:rPr>
        <w:t xml:space="preserve"> The Precision and Power of Population Branch Statistics in Detecting Local Adaptation. </w:t>
      </w:r>
      <w:r w:rsidRPr="005B0A9D">
        <w:rPr>
          <w:rStyle w:val="s1"/>
          <w:rFonts w:ascii="Arial" w:eastAsiaTheme="majorEastAsia" w:hAnsi="Arial" w:cs="Arial"/>
          <w:i/>
          <w:iCs/>
          <w:color w:val="000000" w:themeColor="text1"/>
        </w:rPr>
        <w:t>Genome Biology and Evolution</w:t>
      </w:r>
      <w:r w:rsidRPr="005B0A9D">
        <w:rPr>
          <w:rFonts w:ascii="Arial" w:hAnsi="Arial" w:cs="Arial"/>
          <w:i/>
          <w:iCs/>
          <w:color w:val="000000" w:themeColor="text1"/>
        </w:rPr>
        <w:t xml:space="preserve">. 2024. </w:t>
      </w:r>
    </w:p>
    <w:p w14:paraId="6A24FDFC" w14:textId="77777777" w:rsidR="00AF66CE" w:rsidRPr="00AF66CE" w:rsidRDefault="00AF66CE" w:rsidP="00AF66CE">
      <w:pPr>
        <w:spacing w:beforeAutospacing="1"/>
        <w:rPr>
          <w:rFonts w:ascii="Times New Roman" w:eastAsia="Times New Roman" w:hAnsi="Times New Roman" w:cs="Times New Roman"/>
          <w:kern w:val="0"/>
          <w:lang w:eastAsia="en-GB"/>
          <w14:ligatures w14:val="none"/>
        </w:rPr>
      </w:pPr>
      <w:hyperlink r:id="rId5" w:tooltip="Download a file for external citation management software" w:history="1">
        <w:r w:rsidRPr="00AF66CE">
          <w:rPr>
            <w:rFonts w:ascii="Helvetica Neue" w:eastAsia="Times New Roman" w:hAnsi="Helvetica Neue" w:cs="Times New Roman"/>
            <w:color w:val="005EA2"/>
            <w:kern w:val="0"/>
            <w:bdr w:val="none" w:sz="0" w:space="0" w:color="auto" w:frame="1"/>
            <w:lang w:eastAsia="en-GB"/>
            <w14:ligatures w14:val="none"/>
          </w:rPr>
          <w:br/>
        </w:r>
      </w:hyperlink>
    </w:p>
    <w:p w14:paraId="6DE2A548" w14:textId="77777777" w:rsidR="00AF66CE" w:rsidRDefault="00AF66CE" w:rsidP="00AF66CE"/>
    <w:sectPr w:rsidR="00AF66C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4E6273"/>
    <w:multiLevelType w:val="multilevel"/>
    <w:tmpl w:val="5B926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722155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66CE"/>
    <w:rsid w:val="0002211D"/>
    <w:rsid w:val="00025E5D"/>
    <w:rsid w:val="000375B0"/>
    <w:rsid w:val="00065441"/>
    <w:rsid w:val="000719DA"/>
    <w:rsid w:val="00073ECD"/>
    <w:rsid w:val="000961BE"/>
    <w:rsid w:val="000C5AF6"/>
    <w:rsid w:val="000D4A81"/>
    <w:rsid w:val="000F014B"/>
    <w:rsid w:val="000F7A15"/>
    <w:rsid w:val="0010188D"/>
    <w:rsid w:val="00111EC3"/>
    <w:rsid w:val="00176A53"/>
    <w:rsid w:val="00187711"/>
    <w:rsid w:val="001A1983"/>
    <w:rsid w:val="001F7296"/>
    <w:rsid w:val="00255F96"/>
    <w:rsid w:val="002635B1"/>
    <w:rsid w:val="00272380"/>
    <w:rsid w:val="0029554B"/>
    <w:rsid w:val="002C723D"/>
    <w:rsid w:val="002E2575"/>
    <w:rsid w:val="00303160"/>
    <w:rsid w:val="003073D4"/>
    <w:rsid w:val="00321201"/>
    <w:rsid w:val="0033380E"/>
    <w:rsid w:val="003519A5"/>
    <w:rsid w:val="00367E48"/>
    <w:rsid w:val="003840D1"/>
    <w:rsid w:val="003E07F3"/>
    <w:rsid w:val="00400400"/>
    <w:rsid w:val="0043070C"/>
    <w:rsid w:val="00443F47"/>
    <w:rsid w:val="004612F5"/>
    <w:rsid w:val="0048311F"/>
    <w:rsid w:val="004A1296"/>
    <w:rsid w:val="004C1B45"/>
    <w:rsid w:val="004C4CB6"/>
    <w:rsid w:val="005206D4"/>
    <w:rsid w:val="00547C97"/>
    <w:rsid w:val="00571952"/>
    <w:rsid w:val="005848A2"/>
    <w:rsid w:val="005B0A9D"/>
    <w:rsid w:val="005B109D"/>
    <w:rsid w:val="005D1784"/>
    <w:rsid w:val="005D5CAB"/>
    <w:rsid w:val="00603C75"/>
    <w:rsid w:val="006215F4"/>
    <w:rsid w:val="00656657"/>
    <w:rsid w:val="00696958"/>
    <w:rsid w:val="006D5E52"/>
    <w:rsid w:val="006E4654"/>
    <w:rsid w:val="006E66B0"/>
    <w:rsid w:val="006F2CE6"/>
    <w:rsid w:val="00725D2B"/>
    <w:rsid w:val="007310E1"/>
    <w:rsid w:val="00733B2F"/>
    <w:rsid w:val="00735F64"/>
    <w:rsid w:val="00766D28"/>
    <w:rsid w:val="00784752"/>
    <w:rsid w:val="00795BE7"/>
    <w:rsid w:val="00797F95"/>
    <w:rsid w:val="007A0449"/>
    <w:rsid w:val="007F5BA5"/>
    <w:rsid w:val="008251AF"/>
    <w:rsid w:val="0082589B"/>
    <w:rsid w:val="00860EF4"/>
    <w:rsid w:val="008966BA"/>
    <w:rsid w:val="008A56F8"/>
    <w:rsid w:val="008B4067"/>
    <w:rsid w:val="008C7784"/>
    <w:rsid w:val="00906629"/>
    <w:rsid w:val="00922375"/>
    <w:rsid w:val="0094693D"/>
    <w:rsid w:val="00997F78"/>
    <w:rsid w:val="009A75D0"/>
    <w:rsid w:val="009D0E93"/>
    <w:rsid w:val="009E5ED5"/>
    <w:rsid w:val="009F130C"/>
    <w:rsid w:val="00A632E1"/>
    <w:rsid w:val="00A8120F"/>
    <w:rsid w:val="00A82C01"/>
    <w:rsid w:val="00A844E7"/>
    <w:rsid w:val="00AD3A0F"/>
    <w:rsid w:val="00AF66CE"/>
    <w:rsid w:val="00B5199F"/>
    <w:rsid w:val="00B53DBE"/>
    <w:rsid w:val="00B65282"/>
    <w:rsid w:val="00B77D59"/>
    <w:rsid w:val="00B96327"/>
    <w:rsid w:val="00BD7EFD"/>
    <w:rsid w:val="00BF3DA8"/>
    <w:rsid w:val="00C20E55"/>
    <w:rsid w:val="00C94EF4"/>
    <w:rsid w:val="00CE497C"/>
    <w:rsid w:val="00D21BD9"/>
    <w:rsid w:val="00D43503"/>
    <w:rsid w:val="00D82704"/>
    <w:rsid w:val="00D92231"/>
    <w:rsid w:val="00D933FC"/>
    <w:rsid w:val="00DB6076"/>
    <w:rsid w:val="00DE452C"/>
    <w:rsid w:val="00DF42DA"/>
    <w:rsid w:val="00E0741D"/>
    <w:rsid w:val="00E23FCB"/>
    <w:rsid w:val="00E25E8C"/>
    <w:rsid w:val="00E334A1"/>
    <w:rsid w:val="00E57741"/>
    <w:rsid w:val="00E60A3F"/>
    <w:rsid w:val="00E60F59"/>
    <w:rsid w:val="00E94FE7"/>
    <w:rsid w:val="00ED749B"/>
    <w:rsid w:val="00F35A41"/>
    <w:rsid w:val="00F5227B"/>
    <w:rsid w:val="00F70C01"/>
    <w:rsid w:val="00F823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3C6D3B"/>
  <w15:chartTrackingRefBased/>
  <w15:docId w15:val="{0AA369D9-EFF2-B843-872B-7EE8759B5A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F66C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F66C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F66C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F66C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F66C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F66CE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F66CE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F66CE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F66CE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F66C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F66C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F66C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F66C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F66C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F66C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F66C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F66C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F66C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F66CE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F66C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F66CE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F66C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F66CE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F66C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F66C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F66C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F66C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F66C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F66CE"/>
    <w:rPr>
      <w:b/>
      <w:bCs/>
      <w:smallCaps/>
      <w:color w:val="0F4761" w:themeColor="accent1" w:themeShade="BF"/>
      <w:spacing w:val="5"/>
    </w:rPr>
  </w:style>
  <w:style w:type="character" w:styleId="CommentReference">
    <w:name w:val="annotation reference"/>
    <w:basedOn w:val="DefaultParagraphFont"/>
    <w:uiPriority w:val="99"/>
    <w:semiHidden/>
    <w:unhideWhenUsed/>
    <w:rsid w:val="00AF66CE"/>
    <w:rPr>
      <w:sz w:val="16"/>
      <w:szCs w:val="16"/>
    </w:rPr>
  </w:style>
  <w:style w:type="character" w:customStyle="1" w:styleId="s1">
    <w:name w:val="s1"/>
    <w:basedOn w:val="DefaultParagraphFont"/>
    <w:rsid w:val="00AF66CE"/>
  </w:style>
  <w:style w:type="character" w:customStyle="1" w:styleId="apple-converted-space">
    <w:name w:val="apple-converted-space"/>
    <w:basedOn w:val="DefaultParagraphFont"/>
    <w:rsid w:val="00AF66CE"/>
  </w:style>
  <w:style w:type="table" w:styleId="TableGrid">
    <w:name w:val="Table Grid"/>
    <w:basedOn w:val="TableNormal"/>
    <w:uiPriority w:val="39"/>
    <w:rsid w:val="00AF66CE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F5227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pmc.ncbi.nlm.nih.gov/resources/citations/11118325/export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386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Mantzouratou, Anna</dc:creator>
  <cp:keywords/>
  <dc:description/>
  <cp:lastModifiedBy>Amelia Warren</cp:lastModifiedBy>
  <cp:revision>2</cp:revision>
  <dcterms:created xsi:type="dcterms:W3CDTF">2025-09-23T16:33:00Z</dcterms:created>
  <dcterms:modified xsi:type="dcterms:W3CDTF">2025-09-23T16:33:00Z</dcterms:modified>
</cp:coreProperties>
</file>