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206"/>
        <w:tblW w:w="879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1067"/>
        <w:gridCol w:w="1844"/>
        <w:gridCol w:w="1983"/>
      </w:tblGrid>
      <w:tr w:rsidR="00964A45" w:rsidRPr="00F01063" w:rsidTr="00964A45">
        <w:trPr>
          <w:trHeight w:val="596"/>
          <w:tblHeader/>
          <w:tblCellSpacing w:w="15" w:type="dxa"/>
        </w:trPr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Sample ID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Gene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4B00B6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% Bases ≥ 5</w:t>
            </w:r>
            <w:r w:rsidR="00964A45"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4B00B6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 xml:space="preserve">% Bases ≥ </w:t>
            </w:r>
            <w:r w:rsidR="0088471E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20</w:t>
            </w:r>
            <w:r w:rsidR="00964A45"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x</w:t>
            </w:r>
          </w:p>
        </w:tc>
      </w:tr>
      <w:tr w:rsidR="00964A45" w:rsidRPr="00F01063" w:rsidTr="00964A45">
        <w:trPr>
          <w:trHeight w:val="451"/>
          <w:tblCellSpacing w:w="15" w:type="dxa"/>
        </w:trPr>
        <w:tc>
          <w:tcPr>
            <w:tcW w:w="38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Patient 6 (</w:t>
            </w:r>
            <w:proofErr w:type="spellStart"/>
            <w:r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Proband</w:t>
            </w:r>
            <w:proofErr w:type="spellEnd"/>
            <w:r w:rsidRPr="00F01063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TMC6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88471E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94</w:t>
            </w:r>
            <w:r w:rsidR="00964A45" w:rsidRPr="00F0106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%</w:t>
            </w:r>
          </w:p>
        </w:tc>
      </w:tr>
      <w:tr w:rsidR="00964A45" w:rsidRPr="00F01063" w:rsidTr="00964A45">
        <w:trPr>
          <w:trHeight w:val="628"/>
          <w:tblCellSpacing w:w="15" w:type="dxa"/>
        </w:trPr>
        <w:tc>
          <w:tcPr>
            <w:tcW w:w="3858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TMC8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88471E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92.3</w:t>
            </w:r>
            <w:r w:rsidR="00964A45" w:rsidRPr="00F0106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%</w:t>
            </w:r>
          </w:p>
        </w:tc>
      </w:tr>
      <w:tr w:rsidR="00964A45" w:rsidRPr="00F01063" w:rsidTr="00964A45">
        <w:trPr>
          <w:trHeight w:val="451"/>
          <w:tblCellSpacing w:w="15" w:type="dxa"/>
        </w:trPr>
        <w:tc>
          <w:tcPr>
            <w:tcW w:w="38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 w:rsidRPr="00F01063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CIB1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64A45" w:rsidRPr="00F01063" w:rsidRDefault="00964A45" w:rsidP="00E43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100</w:t>
            </w:r>
            <w:r w:rsidRPr="00F0106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en-GB" w:eastAsia="tr-TR"/>
              </w:rPr>
              <w:t>%</w:t>
            </w:r>
          </w:p>
        </w:tc>
      </w:tr>
    </w:tbl>
    <w:p w:rsidR="00E433CA" w:rsidRPr="00E433CA" w:rsidRDefault="00E433CA" w:rsidP="00E433CA">
      <w:pPr>
        <w:ind w:left="-284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S1. Sequencing coverage metrics for </w:t>
      </w:r>
      <w:r w:rsidRPr="00E433CA">
        <w:rPr>
          <w:rFonts w:ascii="Times New Roman" w:hAnsi="Times New Roman" w:cs="Times New Roman"/>
          <w:b/>
          <w:i/>
          <w:sz w:val="24"/>
          <w:szCs w:val="24"/>
          <w:lang w:val="en-GB"/>
        </w:rPr>
        <w:t>TMC6</w:t>
      </w:r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Pr="00E433CA">
        <w:rPr>
          <w:rFonts w:ascii="Times New Roman" w:hAnsi="Times New Roman" w:cs="Times New Roman"/>
          <w:b/>
          <w:i/>
          <w:sz w:val="24"/>
          <w:szCs w:val="24"/>
          <w:lang w:val="en-GB"/>
        </w:rPr>
        <w:t>TMC8</w:t>
      </w:r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and </w:t>
      </w:r>
      <w:r w:rsidRPr="00E433CA">
        <w:rPr>
          <w:rFonts w:ascii="Times New Roman" w:hAnsi="Times New Roman" w:cs="Times New Roman"/>
          <w:b/>
          <w:i/>
          <w:sz w:val="24"/>
          <w:szCs w:val="24"/>
          <w:lang w:val="en-GB"/>
        </w:rPr>
        <w:t>CIB1</w:t>
      </w:r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genes in </w:t>
      </w:r>
      <w:proofErr w:type="spellStart"/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>Proband</w:t>
      </w:r>
      <w:proofErr w:type="spellEnd"/>
      <w:r w:rsidRPr="00E433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P6.</w:t>
      </w:r>
    </w:p>
    <w:p w:rsidR="00E433CA" w:rsidRDefault="00E433CA" w:rsidP="00E433C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964A45" w:rsidRDefault="00964A45" w:rsidP="00964A45">
      <w:pPr>
        <w:ind w:right="-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182880" w:rsidRPr="00182880" w:rsidRDefault="00182880" w:rsidP="00182880">
      <w:pPr>
        <w:ind w:left="-284"/>
        <w:rPr>
          <w:rFonts w:ascii="Times New Roman" w:hAnsi="Times New Roman" w:cs="Times New Roman"/>
          <w:sz w:val="20"/>
          <w:szCs w:val="20"/>
          <w:lang w:val="en-GB"/>
        </w:rPr>
      </w:pPr>
      <w:r w:rsidRPr="00182880">
        <w:rPr>
          <w:rFonts w:ascii="Times New Roman" w:hAnsi="Times New Roman" w:cs="Times New Roman"/>
          <w:sz w:val="20"/>
          <w:szCs w:val="20"/>
          <w:lang w:val="en-GB"/>
        </w:rPr>
        <w:t xml:space="preserve">Table S1. Sequencing coverage metrics for TMC6, TMC8, and CIB1 in </w:t>
      </w:r>
      <w:proofErr w:type="spellStart"/>
      <w:r w:rsidRPr="00182880">
        <w:rPr>
          <w:rFonts w:ascii="Times New Roman" w:hAnsi="Times New Roman" w:cs="Times New Roman"/>
          <w:sz w:val="20"/>
          <w:szCs w:val="20"/>
          <w:lang w:val="en-GB"/>
        </w:rPr>
        <w:t>proband</w:t>
      </w:r>
      <w:proofErr w:type="spellEnd"/>
      <w:r w:rsidRPr="00182880">
        <w:rPr>
          <w:rFonts w:ascii="Times New Roman" w:hAnsi="Times New Roman" w:cs="Times New Roman"/>
          <w:sz w:val="20"/>
          <w:szCs w:val="20"/>
          <w:lang w:val="en-GB"/>
        </w:rPr>
        <w:t xml:space="preserve"> P6.</w:t>
      </w:r>
    </w:p>
    <w:p w:rsidR="00182880" w:rsidRDefault="00182880" w:rsidP="00182880">
      <w:pPr>
        <w:ind w:left="-284"/>
        <w:rPr>
          <w:rFonts w:ascii="Times New Roman" w:hAnsi="Times New Roman" w:cs="Times New Roman"/>
          <w:sz w:val="20"/>
          <w:szCs w:val="20"/>
          <w:lang w:val="en-GB"/>
        </w:rPr>
      </w:pPr>
      <w:r w:rsidRPr="00182880">
        <w:rPr>
          <w:rFonts w:ascii="Times New Roman" w:hAnsi="Times New Roman" w:cs="Times New Roman"/>
          <w:sz w:val="20"/>
          <w:szCs w:val="20"/>
          <w:lang w:val="en-GB"/>
        </w:rPr>
        <w:t xml:space="preserve">Coverage is shown as the percentage of targeted bases achieving ≥5× and ≥20× read depth in CES. </w:t>
      </w:r>
    </w:p>
    <w:p w:rsidR="00182880" w:rsidRDefault="00E433CA" w:rsidP="00182880">
      <w:pPr>
        <w:ind w:left="-284"/>
        <w:rPr>
          <w:rFonts w:ascii="Times New Roman" w:hAnsi="Times New Roman" w:cs="Times New Roman"/>
          <w:sz w:val="20"/>
          <w:szCs w:val="20"/>
          <w:lang w:val="en-GB"/>
        </w:rPr>
      </w:pPr>
      <w:r w:rsidRPr="000A3A43">
        <w:rPr>
          <w:rFonts w:ascii="Times New Roman" w:hAnsi="Times New Roman" w:cs="Times New Roman"/>
          <w:sz w:val="20"/>
          <w:szCs w:val="20"/>
          <w:lang w:val="en-GB"/>
        </w:rPr>
        <w:t xml:space="preserve">Note: </w:t>
      </w:r>
      <w:r w:rsidR="00182880" w:rsidRPr="00182880">
        <w:rPr>
          <w:rFonts w:ascii="Times New Roman" w:hAnsi="Times New Roman" w:cs="Times New Roman"/>
          <w:sz w:val="20"/>
          <w:szCs w:val="20"/>
          <w:lang w:val="en-GB"/>
        </w:rPr>
        <w:t>Other affected individuals in the cohort were evaluated by targeted Sanger sequencing.</w:t>
      </w:r>
    </w:p>
    <w:p w:rsidR="00E433CA" w:rsidRPr="000A3A43" w:rsidRDefault="00E433CA" w:rsidP="00182880">
      <w:pPr>
        <w:ind w:left="-284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</w:p>
    <w:p w:rsidR="00E433CA" w:rsidRPr="00E433CA" w:rsidRDefault="00E433CA" w:rsidP="00E433CA">
      <w:pPr>
        <w:rPr>
          <w:rFonts w:ascii="Times New Roman" w:hAnsi="Times New Roman" w:cs="Times New Roman"/>
          <w:sz w:val="24"/>
          <w:szCs w:val="24"/>
        </w:rPr>
      </w:pPr>
    </w:p>
    <w:sectPr w:rsidR="00E433CA" w:rsidRPr="00E43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63"/>
    <w:rsid w:val="000A3A43"/>
    <w:rsid w:val="00182880"/>
    <w:rsid w:val="004B00B6"/>
    <w:rsid w:val="0088471E"/>
    <w:rsid w:val="00964A45"/>
    <w:rsid w:val="00D70A67"/>
    <w:rsid w:val="00E433CA"/>
    <w:rsid w:val="00F01063"/>
    <w:rsid w:val="00F6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F8BB"/>
  <w15:chartTrackingRefBased/>
  <w15:docId w15:val="{3E9663E9-BDD1-4F36-A01D-1B7557E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0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2025-12-10T16:19:00Z</dcterms:created>
  <dcterms:modified xsi:type="dcterms:W3CDTF">2025-12-19T19:30:00Z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f128abf4-4739-40ea-9efc-f350970b7a59</vt:lpwstr>
  </property>
</Properties>
</file>