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33EA" w14:textId="15932E89" w:rsidR="00D52377" w:rsidRDefault="00D52377" w:rsidP="00A746E7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Supplement</w:t>
      </w:r>
      <w:r w:rsidR="0094064F">
        <w:rPr>
          <w:rFonts w:ascii="Arial" w:hAnsi="Arial" w:cs="Arial"/>
          <w:b/>
          <w:sz w:val="22"/>
          <w:szCs w:val="22"/>
        </w:rPr>
        <w:t>al</w:t>
      </w:r>
      <w:r>
        <w:rPr>
          <w:rFonts w:ascii="Arial" w:hAnsi="Arial" w:cs="Arial"/>
          <w:b/>
          <w:sz w:val="22"/>
          <w:szCs w:val="22"/>
        </w:rPr>
        <w:t xml:space="preserve"> Notes</w:t>
      </w:r>
    </w:p>
    <w:p w14:paraId="74F3D9C8" w14:textId="4DD76D12" w:rsidR="00A746E7" w:rsidRPr="00182EA4" w:rsidRDefault="00A746E7" w:rsidP="00A746E7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182EA4">
        <w:rPr>
          <w:rFonts w:ascii="Arial" w:hAnsi="Arial" w:cs="Arial"/>
          <w:b/>
          <w:sz w:val="22"/>
          <w:szCs w:val="22"/>
        </w:rPr>
        <w:t>Patient and clinical phenotyping</w:t>
      </w:r>
    </w:p>
    <w:p w14:paraId="49F6CF5B" w14:textId="30E56E9C" w:rsidR="00A746E7" w:rsidRDefault="00A746E7" w:rsidP="00A746E7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u w:color="FFFFFF"/>
        </w:rPr>
      </w:pPr>
      <w:r w:rsidRPr="00182EA4">
        <w:rPr>
          <w:rFonts w:ascii="Arial" w:hAnsi="Arial" w:cs="Arial"/>
          <w:bCs/>
          <w:sz w:val="22"/>
          <w:szCs w:val="22"/>
        </w:rPr>
        <w:t xml:space="preserve">In the two cases presented </w:t>
      </w:r>
      <w:r>
        <w:rPr>
          <w:rFonts w:ascii="Arial" w:hAnsi="Arial" w:cs="Arial"/>
          <w:bCs/>
          <w:sz w:val="22"/>
          <w:szCs w:val="22"/>
        </w:rPr>
        <w:t xml:space="preserve">in </w:t>
      </w:r>
      <w:r w:rsidR="00E0398A">
        <w:rPr>
          <w:rFonts w:ascii="Arial" w:hAnsi="Arial" w:cs="Arial"/>
          <w:bCs/>
          <w:sz w:val="22"/>
          <w:szCs w:val="22"/>
        </w:rPr>
        <w:t xml:space="preserve">Supplementary </w:t>
      </w:r>
      <w:r w:rsidR="00E50547">
        <w:rPr>
          <w:rFonts w:ascii="Arial" w:hAnsi="Arial" w:cs="Arial"/>
          <w:bCs/>
          <w:sz w:val="22"/>
          <w:szCs w:val="22"/>
        </w:rPr>
        <w:t>F</w:t>
      </w:r>
      <w:r>
        <w:rPr>
          <w:rFonts w:ascii="Arial" w:hAnsi="Arial" w:cs="Arial"/>
          <w:bCs/>
          <w:sz w:val="22"/>
          <w:szCs w:val="22"/>
        </w:rPr>
        <w:t>ig</w:t>
      </w:r>
      <w:r w:rsidR="00E0398A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94064F">
        <w:rPr>
          <w:rFonts w:ascii="Arial" w:hAnsi="Arial" w:cs="Arial"/>
          <w:bCs/>
          <w:sz w:val="22"/>
          <w:szCs w:val="22"/>
        </w:rPr>
        <w:t>S</w:t>
      </w:r>
      <w:r w:rsidR="0056514D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and </w:t>
      </w:r>
      <w:r w:rsidR="00E0398A">
        <w:rPr>
          <w:rFonts w:ascii="Arial" w:hAnsi="Arial" w:cs="Arial"/>
          <w:bCs/>
          <w:sz w:val="22"/>
          <w:szCs w:val="22"/>
        </w:rPr>
        <w:t xml:space="preserve">Supplementary Fig. </w:t>
      </w:r>
      <w:r w:rsidR="0094064F">
        <w:rPr>
          <w:rFonts w:ascii="Arial" w:hAnsi="Arial" w:cs="Arial"/>
          <w:bCs/>
          <w:sz w:val="22"/>
          <w:szCs w:val="22"/>
        </w:rPr>
        <w:t>S</w:t>
      </w:r>
      <w:r w:rsidR="0056514D">
        <w:rPr>
          <w:rFonts w:ascii="Arial" w:hAnsi="Arial" w:cs="Arial"/>
          <w:bCs/>
          <w:sz w:val="22"/>
          <w:szCs w:val="22"/>
        </w:rPr>
        <w:t>3</w:t>
      </w:r>
      <w:r w:rsidRPr="00182EA4">
        <w:rPr>
          <w:rFonts w:ascii="Arial" w:hAnsi="Arial" w:cs="Arial"/>
          <w:bCs/>
          <w:sz w:val="22"/>
          <w:szCs w:val="22"/>
        </w:rPr>
        <w:t xml:space="preserve">, unstained formalin-fixed paraffin-embedded (FFPE) cancer specimen slides were submitted for </w:t>
      </w:r>
      <w:r w:rsidRPr="00182EA4">
        <w:rPr>
          <w:rFonts w:ascii="Arial" w:hAnsi="Arial" w:cs="Arial"/>
          <w:color w:val="000000"/>
          <w:sz w:val="22"/>
          <w:szCs w:val="22"/>
        </w:rPr>
        <w:t>FoundationOne CDx Cancer Genomic Profile analysis.</w:t>
      </w:r>
      <w:r w:rsidRPr="00182EA4">
        <w:rPr>
          <w:rFonts w:ascii="Arial" w:hAnsi="Arial" w:cs="Arial"/>
          <w:bCs/>
          <w:sz w:val="22"/>
          <w:szCs w:val="22"/>
        </w:rPr>
        <w:t xml:space="preserve"> T</w:t>
      </w:r>
      <w:r w:rsidRPr="00182EA4">
        <w:rPr>
          <w:rFonts w:ascii="Arial" w:hAnsi="Arial" w:cs="Arial"/>
          <w:sz w:val="22"/>
          <w:szCs w:val="22"/>
        </w:rPr>
        <w:t xml:space="preserve">he pathogenicity of variants detected in the CGP tests was assessed in the same manner as described for </w:t>
      </w:r>
      <w:r w:rsidRPr="00182EA4">
        <w:rPr>
          <w:rFonts w:ascii="Arial" w:hAnsi="Arial" w:cs="Arial"/>
          <w:i/>
          <w:iCs/>
          <w:sz w:val="22"/>
          <w:szCs w:val="22"/>
        </w:rPr>
        <w:t>BRCA1</w:t>
      </w:r>
      <w:r w:rsidR="008D7B29">
        <w:rPr>
          <w:rFonts w:ascii="Arial" w:hAnsi="Arial" w:cs="Arial"/>
          <w:i/>
          <w:iCs/>
          <w:sz w:val="22"/>
          <w:szCs w:val="22"/>
        </w:rPr>
        <w:t>/2</w:t>
      </w:r>
      <w:r w:rsidRPr="00182EA4">
        <w:rPr>
          <w:rFonts w:ascii="Arial" w:hAnsi="Arial" w:cs="Arial"/>
          <w:sz w:val="22"/>
          <w:szCs w:val="22"/>
        </w:rPr>
        <w:t xml:space="preserve"> above. </w:t>
      </w:r>
      <w:r w:rsidRPr="00182EA4">
        <w:rPr>
          <w:rFonts w:ascii="Arial" w:hAnsi="Arial" w:cs="Arial"/>
          <w:color w:val="000000" w:themeColor="text1"/>
          <w:sz w:val="22"/>
          <w:szCs w:val="22"/>
          <w:u w:color="FFFFFF"/>
        </w:rPr>
        <w:t xml:space="preserve">Clinical information was obtained from the patients or by reviewing medical records. </w:t>
      </w:r>
      <w:r w:rsidR="00B84B67">
        <w:rPr>
          <w:rFonts w:ascii="Arial" w:hAnsi="Arial" w:cs="Arial"/>
          <w:color w:val="000000" w:themeColor="text1"/>
          <w:sz w:val="22"/>
          <w:szCs w:val="22"/>
          <w:u w:color="FFFFFF"/>
        </w:rPr>
        <w:t xml:space="preserve">The </w:t>
      </w:r>
      <w:r w:rsidR="00B84B67">
        <w:rPr>
          <w:rFonts w:ascii="Arial" w:hAnsi="Arial" w:cs="Arial"/>
          <w:sz w:val="22"/>
          <w:szCs w:val="22"/>
        </w:rPr>
        <w:t>p</w:t>
      </w:r>
      <w:r w:rsidR="00952A9C" w:rsidRPr="00432D4C">
        <w:rPr>
          <w:rFonts w:ascii="Arial" w:hAnsi="Arial" w:cs="Arial"/>
          <w:sz w:val="22"/>
          <w:szCs w:val="22"/>
        </w:rPr>
        <w:t>edigree</w:t>
      </w:r>
      <w:r w:rsidR="00B84B67">
        <w:rPr>
          <w:rFonts w:ascii="Arial" w:hAnsi="Arial" w:cs="Arial"/>
          <w:sz w:val="22"/>
          <w:szCs w:val="22"/>
        </w:rPr>
        <w:t>s</w:t>
      </w:r>
      <w:r w:rsidR="00952A9C" w:rsidRPr="00432D4C">
        <w:rPr>
          <w:rFonts w:ascii="Arial" w:hAnsi="Arial" w:cs="Arial"/>
          <w:sz w:val="22"/>
          <w:szCs w:val="22"/>
        </w:rPr>
        <w:t xml:space="preserve"> shown </w:t>
      </w:r>
      <w:r w:rsidR="00B84B67">
        <w:rPr>
          <w:rFonts w:ascii="Arial" w:hAnsi="Arial" w:cs="Arial"/>
          <w:sz w:val="22"/>
          <w:szCs w:val="22"/>
        </w:rPr>
        <w:t>in</w:t>
      </w:r>
      <w:r w:rsidR="00B84B67" w:rsidRPr="00432D4C">
        <w:rPr>
          <w:rFonts w:ascii="Arial" w:hAnsi="Arial" w:cs="Arial"/>
          <w:sz w:val="22"/>
          <w:szCs w:val="22"/>
        </w:rPr>
        <w:t xml:space="preserve"> </w:t>
      </w:r>
      <w:r w:rsidR="00952A9C">
        <w:rPr>
          <w:rFonts w:ascii="Arial" w:hAnsi="Arial" w:cs="Arial"/>
          <w:sz w:val="22"/>
          <w:szCs w:val="22"/>
        </w:rPr>
        <w:t xml:space="preserve">Supplementary </w:t>
      </w:r>
      <w:r w:rsidR="00952A9C" w:rsidRPr="00432D4C">
        <w:rPr>
          <w:rFonts w:ascii="Arial" w:hAnsi="Arial" w:cs="Arial"/>
          <w:sz w:val="22"/>
          <w:szCs w:val="22"/>
        </w:rPr>
        <w:t>Fig</w:t>
      </w:r>
      <w:r w:rsidR="00B84B67">
        <w:rPr>
          <w:rFonts w:ascii="Arial" w:hAnsi="Arial" w:cs="Arial"/>
          <w:sz w:val="22"/>
          <w:szCs w:val="22"/>
        </w:rPr>
        <w:t>s</w:t>
      </w:r>
      <w:r w:rsidR="00952A9C">
        <w:rPr>
          <w:rFonts w:ascii="Arial" w:hAnsi="Arial" w:cs="Arial"/>
          <w:sz w:val="22"/>
          <w:szCs w:val="22"/>
        </w:rPr>
        <w:t>.</w:t>
      </w:r>
      <w:r w:rsidR="00952A9C" w:rsidRPr="00432D4C">
        <w:rPr>
          <w:rFonts w:ascii="Arial" w:hAnsi="Arial" w:cs="Arial"/>
          <w:sz w:val="22"/>
          <w:szCs w:val="22"/>
        </w:rPr>
        <w:t xml:space="preserve"> S2 and S3 ha</w:t>
      </w:r>
      <w:r w:rsidR="00B84B67">
        <w:rPr>
          <w:rFonts w:ascii="Arial" w:hAnsi="Arial" w:cs="Arial"/>
          <w:sz w:val="22"/>
          <w:szCs w:val="22"/>
        </w:rPr>
        <w:t>ve</w:t>
      </w:r>
      <w:r w:rsidR="00952A9C" w:rsidRPr="00432D4C">
        <w:rPr>
          <w:rFonts w:ascii="Arial" w:hAnsi="Arial" w:cs="Arial"/>
          <w:sz w:val="22"/>
          <w:szCs w:val="22"/>
        </w:rPr>
        <w:t xml:space="preserve"> been partially modified </w:t>
      </w:r>
      <w:r w:rsidR="00B84B67">
        <w:rPr>
          <w:rFonts w:ascii="Arial" w:hAnsi="Arial" w:cs="Arial"/>
          <w:sz w:val="22"/>
          <w:szCs w:val="22"/>
        </w:rPr>
        <w:t>to ensure</w:t>
      </w:r>
      <w:r w:rsidR="00B84B67" w:rsidRPr="00432D4C">
        <w:rPr>
          <w:rFonts w:ascii="Arial" w:hAnsi="Arial" w:cs="Arial"/>
          <w:sz w:val="22"/>
          <w:szCs w:val="22"/>
        </w:rPr>
        <w:t xml:space="preserve"> </w:t>
      </w:r>
      <w:r w:rsidR="00B84B67">
        <w:rPr>
          <w:rFonts w:ascii="Arial" w:hAnsi="Arial" w:cs="Arial"/>
          <w:sz w:val="22"/>
          <w:szCs w:val="22"/>
        </w:rPr>
        <w:t xml:space="preserve">patient </w:t>
      </w:r>
      <w:r w:rsidR="00952A9C" w:rsidRPr="00432D4C">
        <w:rPr>
          <w:rFonts w:ascii="Arial" w:hAnsi="Arial" w:cs="Arial"/>
          <w:sz w:val="22"/>
          <w:szCs w:val="22"/>
        </w:rPr>
        <w:t>confidentiality, while retaining relevant clinical features.</w:t>
      </w:r>
    </w:p>
    <w:p w14:paraId="4FA0517E" w14:textId="77777777" w:rsidR="00A746E7" w:rsidRDefault="00A746E7" w:rsidP="00A746E7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u w:color="FFFFFF"/>
        </w:rPr>
      </w:pPr>
    </w:p>
    <w:p w14:paraId="32C740B8" w14:textId="12C1B719" w:rsidR="00A746E7" w:rsidRPr="00182EA4" w:rsidRDefault="00A746E7" w:rsidP="00A746E7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182EA4">
        <w:rPr>
          <w:rFonts w:ascii="Arial" w:hAnsi="Arial" w:cs="Arial"/>
          <w:b/>
          <w:bCs/>
          <w:color w:val="000000"/>
          <w:sz w:val="22"/>
          <w:szCs w:val="22"/>
        </w:rPr>
        <w:t xml:space="preserve">A case of duodenal cancer harboring a </w:t>
      </w:r>
      <w:r w:rsidRPr="00182EA4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BRCA2</w:t>
      </w:r>
      <w:r w:rsidRPr="00182EA4">
        <w:rPr>
          <w:rFonts w:ascii="Arial" w:hAnsi="Arial" w:cs="Arial"/>
          <w:b/>
          <w:bCs/>
          <w:color w:val="000000"/>
          <w:sz w:val="22"/>
          <w:szCs w:val="22"/>
        </w:rPr>
        <w:t>:c.67</w:t>
      </w:r>
      <w:r>
        <w:rPr>
          <w:rFonts w:ascii="Arial" w:hAnsi="Arial" w:cs="Arial"/>
          <w:b/>
          <w:bCs/>
          <w:color w:val="000000"/>
          <w:sz w:val="22"/>
          <w:szCs w:val="22"/>
        </w:rPr>
        <w:t>G&gt;C</w:t>
      </w:r>
      <w:r w:rsidRPr="00182EA4">
        <w:rPr>
          <w:rFonts w:ascii="Arial" w:hAnsi="Arial" w:cs="Arial"/>
          <w:b/>
          <w:bCs/>
          <w:color w:val="000000"/>
          <w:sz w:val="22"/>
          <w:szCs w:val="22"/>
        </w:rPr>
        <w:t xml:space="preserve"> germline variant</w:t>
      </w:r>
    </w:p>
    <w:p w14:paraId="210AB47A" w14:textId="0CEC9BF1" w:rsidR="00A746E7" w:rsidRPr="00182EA4" w:rsidRDefault="00A746E7" w:rsidP="00A746E7">
      <w:pPr>
        <w:spacing w:line="480" w:lineRule="auto"/>
        <w:rPr>
          <w:rFonts w:ascii="Arial" w:hAnsi="Arial" w:cs="Arial"/>
          <w:sz w:val="22"/>
          <w:szCs w:val="22"/>
        </w:rPr>
      </w:pPr>
      <w:r w:rsidRPr="00182EA4">
        <w:rPr>
          <w:rFonts w:ascii="Arial" w:hAnsi="Arial" w:cs="Arial"/>
          <w:sz w:val="22"/>
          <w:szCs w:val="22"/>
        </w:rPr>
        <w:t>A 62-year-old man presented with local recurrence and multiple distant metastases in the liver and lung following radical pancreatoduodenectomy (</w:t>
      </w:r>
      <w:r w:rsidR="00A7554F">
        <w:rPr>
          <w:rFonts w:ascii="Arial" w:hAnsi="Arial" w:cs="Arial"/>
          <w:sz w:val="22"/>
          <w:szCs w:val="22"/>
        </w:rPr>
        <w:t xml:space="preserve">Supplementary </w:t>
      </w:r>
      <w:r w:rsidRPr="00182EA4">
        <w:rPr>
          <w:rFonts w:ascii="Arial" w:hAnsi="Arial" w:cs="Arial"/>
          <w:sz w:val="22"/>
          <w:szCs w:val="22"/>
        </w:rPr>
        <w:t>Fig</w:t>
      </w:r>
      <w:r w:rsidR="00A7554F">
        <w:rPr>
          <w:rFonts w:ascii="Arial" w:hAnsi="Arial" w:cs="Arial"/>
          <w:sz w:val="22"/>
          <w:szCs w:val="22"/>
        </w:rPr>
        <w:t>.</w:t>
      </w:r>
      <w:r w:rsidRPr="00182EA4">
        <w:rPr>
          <w:rFonts w:ascii="Arial" w:hAnsi="Arial" w:cs="Arial"/>
          <w:sz w:val="22"/>
          <w:szCs w:val="22"/>
        </w:rPr>
        <w:t xml:space="preserve"> </w:t>
      </w:r>
      <w:r w:rsidR="0094064F">
        <w:rPr>
          <w:rFonts w:ascii="Arial" w:hAnsi="Arial" w:cs="Arial"/>
          <w:sz w:val="22"/>
          <w:szCs w:val="22"/>
        </w:rPr>
        <w:t>S</w:t>
      </w:r>
      <w:r w:rsidR="00FA6BE3">
        <w:rPr>
          <w:rFonts w:ascii="Arial" w:hAnsi="Arial" w:cs="Arial"/>
          <w:sz w:val="22"/>
          <w:szCs w:val="22"/>
        </w:rPr>
        <w:t>2</w:t>
      </w:r>
      <w:r w:rsidRPr="00182EA4">
        <w:rPr>
          <w:rFonts w:ascii="Arial" w:hAnsi="Arial" w:cs="Arial"/>
          <w:sz w:val="22"/>
          <w:szCs w:val="22"/>
        </w:rPr>
        <w:t>A). His family history included four cases of breast cancer involving third-degree relatives (</w:t>
      </w:r>
      <w:r w:rsidR="00A7554F">
        <w:rPr>
          <w:rFonts w:ascii="Arial" w:hAnsi="Arial" w:cs="Arial"/>
          <w:sz w:val="22"/>
          <w:szCs w:val="22"/>
        </w:rPr>
        <w:t xml:space="preserve">Supplementary </w:t>
      </w:r>
      <w:r w:rsidR="00A7554F" w:rsidRPr="00182EA4">
        <w:rPr>
          <w:rFonts w:ascii="Arial" w:hAnsi="Arial" w:cs="Arial"/>
          <w:sz w:val="22"/>
          <w:szCs w:val="22"/>
        </w:rPr>
        <w:t>Fig</w:t>
      </w:r>
      <w:r w:rsidR="00A7554F">
        <w:rPr>
          <w:rFonts w:ascii="Arial" w:hAnsi="Arial" w:cs="Arial"/>
          <w:sz w:val="22"/>
          <w:szCs w:val="22"/>
        </w:rPr>
        <w:t>.</w:t>
      </w:r>
      <w:r w:rsidR="00A7554F" w:rsidRPr="00182EA4">
        <w:rPr>
          <w:rFonts w:ascii="Arial" w:hAnsi="Arial" w:cs="Arial"/>
          <w:sz w:val="22"/>
          <w:szCs w:val="22"/>
        </w:rPr>
        <w:t xml:space="preserve"> </w:t>
      </w:r>
      <w:r w:rsidR="0094064F">
        <w:rPr>
          <w:rFonts w:ascii="Arial" w:hAnsi="Arial" w:cs="Arial"/>
          <w:sz w:val="22"/>
          <w:szCs w:val="22"/>
        </w:rPr>
        <w:t>S</w:t>
      </w:r>
      <w:r w:rsidR="00FA6BE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B</w:t>
      </w:r>
      <w:r w:rsidRPr="00182EA4">
        <w:rPr>
          <w:rFonts w:ascii="Arial" w:hAnsi="Arial" w:cs="Arial"/>
          <w:sz w:val="22"/>
          <w:szCs w:val="22"/>
        </w:rPr>
        <w:t xml:space="preserve">). A FFPE specimen from the duodenal cancer was submitted for FoundationOne CDx Cancer Genomic Profile testing, concurrently with the initiation of modified FOLFOX6 (mFOLFOX6) chemotherapy. The CGP test identified </w:t>
      </w:r>
      <w:r w:rsidRPr="00182EA4">
        <w:rPr>
          <w:rFonts w:ascii="Arial" w:hAnsi="Arial" w:cs="Arial"/>
          <w:i/>
          <w:iCs/>
          <w:sz w:val="22"/>
          <w:szCs w:val="22"/>
        </w:rPr>
        <w:t>MDM2</w:t>
      </w:r>
      <w:r w:rsidRPr="00182EA4">
        <w:rPr>
          <w:rFonts w:ascii="Arial" w:hAnsi="Arial" w:cs="Arial"/>
          <w:sz w:val="22"/>
          <w:szCs w:val="22"/>
        </w:rPr>
        <w:t xml:space="preserve"> amplification</w:t>
      </w:r>
      <w:r w:rsidR="009E13BB">
        <w:rPr>
          <w:rFonts w:ascii="Arial" w:hAnsi="Arial" w:cs="Arial"/>
          <w:sz w:val="22"/>
          <w:szCs w:val="22"/>
        </w:rPr>
        <w:t xml:space="preserve"> (</w:t>
      </w:r>
      <w:r w:rsidR="009E13BB" w:rsidRPr="009E13BB">
        <w:rPr>
          <w:rFonts w:ascii="Arial" w:hAnsi="Arial" w:cs="Arial"/>
          <w:sz w:val="22"/>
          <w:szCs w:val="22"/>
        </w:rPr>
        <w:t>chr12:69153996-69277205</w:t>
      </w:r>
      <w:r w:rsidR="009E13BB">
        <w:rPr>
          <w:rFonts w:ascii="Arial" w:hAnsi="Arial" w:cs="Arial"/>
          <w:sz w:val="22"/>
          <w:szCs w:val="22"/>
        </w:rPr>
        <w:t>)</w:t>
      </w:r>
      <w:r w:rsidRPr="00182EA4">
        <w:rPr>
          <w:rFonts w:ascii="Arial" w:hAnsi="Arial" w:cs="Arial"/>
          <w:sz w:val="22"/>
          <w:szCs w:val="22"/>
        </w:rPr>
        <w:t xml:space="preserve"> and </w:t>
      </w:r>
      <w:r w:rsidRPr="00182EA4">
        <w:rPr>
          <w:rFonts w:ascii="Arial" w:hAnsi="Arial" w:cs="Arial"/>
          <w:i/>
          <w:iCs/>
          <w:sz w:val="22"/>
          <w:szCs w:val="22"/>
        </w:rPr>
        <w:t>CREBBP</w:t>
      </w:r>
      <w:r w:rsidRPr="00182EA4">
        <w:rPr>
          <w:rFonts w:ascii="Arial" w:hAnsi="Arial" w:cs="Arial"/>
          <w:sz w:val="22"/>
          <w:szCs w:val="22"/>
        </w:rPr>
        <w:t xml:space="preserve"> duplication </w:t>
      </w:r>
      <w:r w:rsidR="008D7B29">
        <w:rPr>
          <w:rFonts w:ascii="Arial" w:hAnsi="Arial" w:cs="Arial"/>
          <w:sz w:val="22"/>
          <w:szCs w:val="22"/>
        </w:rPr>
        <w:t>spanning</w:t>
      </w:r>
      <w:r w:rsidRPr="00182EA4">
        <w:rPr>
          <w:rFonts w:ascii="Arial" w:hAnsi="Arial" w:cs="Arial"/>
          <w:sz w:val="22"/>
          <w:szCs w:val="22"/>
        </w:rPr>
        <w:t xml:space="preserve"> intron</w:t>
      </w:r>
      <w:r>
        <w:rPr>
          <w:rFonts w:ascii="Arial" w:hAnsi="Arial" w:cs="Arial"/>
          <w:sz w:val="22"/>
          <w:szCs w:val="22"/>
        </w:rPr>
        <w:t xml:space="preserve"> </w:t>
      </w:r>
      <w:r w:rsidRPr="00182EA4">
        <w:rPr>
          <w:rFonts w:ascii="Arial" w:hAnsi="Arial" w:cs="Arial"/>
          <w:sz w:val="22"/>
          <w:szCs w:val="22"/>
        </w:rPr>
        <w:t>2</w:t>
      </w:r>
      <w:r w:rsidR="008D7B29">
        <w:rPr>
          <w:rFonts w:ascii="Arial" w:hAnsi="Arial" w:cs="Arial"/>
          <w:sz w:val="22"/>
          <w:szCs w:val="22"/>
        </w:rPr>
        <w:t xml:space="preserve"> to </w:t>
      </w:r>
      <w:r w:rsidRPr="00182EA4">
        <w:rPr>
          <w:rFonts w:ascii="Arial" w:hAnsi="Arial" w:cs="Arial"/>
          <w:sz w:val="22"/>
          <w:szCs w:val="22"/>
        </w:rPr>
        <w:t>exon</w:t>
      </w:r>
      <w:r>
        <w:rPr>
          <w:rFonts w:ascii="MS Mincho" w:eastAsia="MS Mincho" w:hAnsi="MS Mincho" w:cs="MS Mincho"/>
          <w:sz w:val="22"/>
          <w:szCs w:val="22"/>
        </w:rPr>
        <w:t xml:space="preserve"> </w:t>
      </w:r>
      <w:r w:rsidRPr="00182EA4">
        <w:rPr>
          <w:rFonts w:ascii="Arial" w:hAnsi="Arial" w:cs="Arial"/>
          <w:sz w:val="22"/>
          <w:szCs w:val="22"/>
        </w:rPr>
        <w:t xml:space="preserve">12, which were determined to be pathogenic alterations, while </w:t>
      </w:r>
      <w:r w:rsidRPr="00182EA4">
        <w:rPr>
          <w:rFonts w:ascii="Arial" w:hAnsi="Arial" w:cs="Arial"/>
          <w:i/>
          <w:iCs/>
          <w:sz w:val="22"/>
          <w:szCs w:val="22"/>
        </w:rPr>
        <w:t>BRCA2</w:t>
      </w:r>
      <w:r w:rsidRPr="00182EA4">
        <w:rPr>
          <w:rFonts w:ascii="Arial" w:hAnsi="Arial" w:cs="Arial"/>
          <w:sz w:val="22"/>
          <w:szCs w:val="22"/>
        </w:rPr>
        <w:t>:c.67G&gt;C</w:t>
      </w:r>
      <w:r w:rsidR="0094064F">
        <w:rPr>
          <w:rFonts w:ascii="Arial" w:hAnsi="Arial" w:cs="Arial"/>
          <w:sz w:val="22"/>
          <w:szCs w:val="22"/>
        </w:rPr>
        <w:t xml:space="preserve"> (p.D23H, </w:t>
      </w:r>
      <w:r w:rsidR="0094064F">
        <w:rPr>
          <w:rStyle w:val="Emphasis"/>
          <w:rFonts w:ascii="Arial" w:eastAsiaTheme="majorEastAsia" w:hAnsi="Arial" w:cs="Arial"/>
          <w:i w:val="0"/>
          <w:iCs w:val="0"/>
          <w:sz w:val="22"/>
          <w:szCs w:val="22"/>
        </w:rPr>
        <w:t>NM_000059.4)</w:t>
      </w:r>
      <w:r w:rsidRPr="00182EA4">
        <w:rPr>
          <w:rFonts w:ascii="Arial" w:hAnsi="Arial" w:cs="Arial"/>
          <w:sz w:val="22"/>
          <w:szCs w:val="22"/>
        </w:rPr>
        <w:t xml:space="preserve"> was reported as VUS, with a variant allele frequency (VAF) of 0.635 (</w:t>
      </w:r>
      <w:r w:rsidR="00A7554F">
        <w:rPr>
          <w:rFonts w:ascii="Arial" w:hAnsi="Arial" w:cs="Arial"/>
          <w:sz w:val="22"/>
          <w:szCs w:val="22"/>
        </w:rPr>
        <w:t xml:space="preserve">Supplementary </w:t>
      </w:r>
      <w:r w:rsidR="00A7554F" w:rsidRPr="00182EA4">
        <w:rPr>
          <w:rFonts w:ascii="Arial" w:hAnsi="Arial" w:cs="Arial"/>
          <w:sz w:val="22"/>
          <w:szCs w:val="22"/>
        </w:rPr>
        <w:t>Fig</w:t>
      </w:r>
      <w:r w:rsidR="00A7554F">
        <w:rPr>
          <w:rFonts w:ascii="Arial" w:hAnsi="Arial" w:cs="Arial"/>
          <w:sz w:val="22"/>
          <w:szCs w:val="22"/>
        </w:rPr>
        <w:t>.</w:t>
      </w:r>
      <w:r w:rsidR="00A7554F" w:rsidRPr="00182EA4">
        <w:rPr>
          <w:rFonts w:ascii="Arial" w:hAnsi="Arial" w:cs="Arial"/>
          <w:sz w:val="22"/>
          <w:szCs w:val="22"/>
        </w:rPr>
        <w:t xml:space="preserve"> </w:t>
      </w:r>
      <w:r w:rsidR="0094064F">
        <w:rPr>
          <w:rFonts w:ascii="Arial" w:hAnsi="Arial" w:cs="Arial"/>
          <w:sz w:val="22"/>
          <w:szCs w:val="22"/>
        </w:rPr>
        <w:t>S</w:t>
      </w:r>
      <w:r w:rsidR="00FA6BE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C</w:t>
      </w:r>
      <w:r w:rsidRPr="00182EA4">
        <w:rPr>
          <w:rFonts w:ascii="Arial" w:hAnsi="Arial" w:cs="Arial"/>
          <w:sz w:val="22"/>
          <w:szCs w:val="22"/>
        </w:rPr>
        <w:t>). Subsequent germline genetic tests confirmed that this variant was of germline origin. The recurrent lesions were extremely sensitive to mFOLFOX6</w:t>
      </w:r>
      <w:r>
        <w:rPr>
          <w:rFonts w:ascii="Arial" w:hAnsi="Arial" w:cs="Arial"/>
          <w:sz w:val="22"/>
          <w:szCs w:val="22"/>
        </w:rPr>
        <w:t>.</w:t>
      </w:r>
      <w:r w:rsidRPr="00BA4C1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Of note, PET accumulation at recurrent lesions disappeared at 9 months from the start of chemotherapy, which has not re</w:t>
      </w:r>
      <w:r w:rsidR="008D7B29">
        <w:rPr>
          <w:rFonts w:ascii="Arial" w:hAnsi="Arial" w:cs="Arial"/>
          <w:color w:val="000000"/>
          <w:sz w:val="22"/>
          <w:szCs w:val="22"/>
        </w:rPr>
        <w:t>curred</w:t>
      </w:r>
      <w:r>
        <w:rPr>
          <w:rFonts w:ascii="Arial" w:hAnsi="Arial" w:cs="Arial"/>
          <w:color w:val="000000"/>
          <w:sz w:val="22"/>
          <w:szCs w:val="22"/>
        </w:rPr>
        <w:t xml:space="preserve"> to date.</w:t>
      </w:r>
      <w:r>
        <w:rPr>
          <w:rFonts w:ascii="Arial" w:hAnsi="Arial" w:cs="Arial"/>
          <w:sz w:val="22"/>
          <w:szCs w:val="22"/>
        </w:rPr>
        <w:t xml:space="preserve"> </w:t>
      </w:r>
      <w:r w:rsidRPr="00182EA4">
        <w:rPr>
          <w:rFonts w:ascii="Arial" w:hAnsi="Arial" w:cs="Arial"/>
          <w:sz w:val="22"/>
          <w:szCs w:val="22"/>
        </w:rPr>
        <w:t>The patient has remained treatment-free for 3 years without recurrence (</w:t>
      </w:r>
      <w:r w:rsidR="00A7554F">
        <w:rPr>
          <w:rFonts w:ascii="Arial" w:hAnsi="Arial" w:cs="Arial"/>
          <w:sz w:val="22"/>
          <w:szCs w:val="22"/>
        </w:rPr>
        <w:t xml:space="preserve">Supplementary </w:t>
      </w:r>
      <w:r w:rsidR="00A7554F" w:rsidRPr="00182EA4">
        <w:rPr>
          <w:rFonts w:ascii="Arial" w:hAnsi="Arial" w:cs="Arial"/>
          <w:sz w:val="22"/>
          <w:szCs w:val="22"/>
        </w:rPr>
        <w:t>Fig</w:t>
      </w:r>
      <w:r w:rsidR="00A7554F">
        <w:rPr>
          <w:rFonts w:ascii="Arial" w:hAnsi="Arial" w:cs="Arial"/>
          <w:sz w:val="22"/>
          <w:szCs w:val="22"/>
        </w:rPr>
        <w:t>.</w:t>
      </w:r>
      <w:r w:rsidR="00A7554F" w:rsidRPr="00182EA4">
        <w:rPr>
          <w:rFonts w:ascii="Arial" w:hAnsi="Arial" w:cs="Arial"/>
          <w:sz w:val="22"/>
          <w:szCs w:val="22"/>
        </w:rPr>
        <w:t xml:space="preserve"> </w:t>
      </w:r>
      <w:r w:rsidR="0094064F">
        <w:rPr>
          <w:rFonts w:ascii="Arial" w:hAnsi="Arial" w:cs="Arial"/>
          <w:sz w:val="22"/>
          <w:szCs w:val="22"/>
        </w:rPr>
        <w:t>S</w:t>
      </w:r>
      <w:r w:rsidR="00FA6BE3">
        <w:rPr>
          <w:rFonts w:ascii="Arial" w:hAnsi="Arial" w:cs="Arial"/>
          <w:sz w:val="22"/>
          <w:szCs w:val="22"/>
        </w:rPr>
        <w:t>2</w:t>
      </w:r>
      <w:r w:rsidRPr="00182EA4">
        <w:rPr>
          <w:rFonts w:ascii="Arial" w:hAnsi="Arial" w:cs="Arial"/>
          <w:sz w:val="22"/>
          <w:szCs w:val="22"/>
        </w:rPr>
        <w:t>A).</w:t>
      </w:r>
    </w:p>
    <w:p w14:paraId="32BA79CC" w14:textId="77777777" w:rsidR="00A746E7" w:rsidRPr="00182EA4" w:rsidRDefault="00A746E7" w:rsidP="00A746E7">
      <w:pPr>
        <w:spacing w:line="480" w:lineRule="auto"/>
        <w:rPr>
          <w:rFonts w:ascii="Arial" w:hAnsi="Arial" w:cs="Arial"/>
          <w:sz w:val="22"/>
          <w:szCs w:val="22"/>
        </w:rPr>
      </w:pPr>
    </w:p>
    <w:p w14:paraId="36DF59E8" w14:textId="77777777" w:rsidR="00A746E7" w:rsidRPr="00182EA4" w:rsidRDefault="00A746E7" w:rsidP="00A746E7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182EA4">
        <w:rPr>
          <w:rFonts w:ascii="Arial" w:hAnsi="Arial" w:cs="Arial"/>
          <w:b/>
          <w:bCs/>
          <w:color w:val="000000"/>
          <w:sz w:val="22"/>
          <w:szCs w:val="22"/>
        </w:rPr>
        <w:t>A case of castration-resistant prostat</w:t>
      </w:r>
      <w:r>
        <w:rPr>
          <w:rFonts w:ascii="Arial" w:hAnsi="Arial" w:cs="Arial"/>
          <w:b/>
          <w:bCs/>
          <w:color w:val="000000"/>
          <w:sz w:val="22"/>
          <w:szCs w:val="22"/>
        </w:rPr>
        <w:t>e</w:t>
      </w:r>
      <w:r w:rsidRPr="00182EA4">
        <w:rPr>
          <w:rFonts w:ascii="Arial" w:hAnsi="Arial" w:cs="Arial"/>
          <w:b/>
          <w:bCs/>
          <w:color w:val="000000"/>
          <w:sz w:val="22"/>
          <w:szCs w:val="22"/>
        </w:rPr>
        <w:t xml:space="preserve"> cancer harboring a </w:t>
      </w:r>
      <w:r w:rsidRPr="00182EA4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BRCA2</w:t>
      </w:r>
      <w:r w:rsidRPr="00182EA4">
        <w:rPr>
          <w:rFonts w:ascii="Arial" w:hAnsi="Arial" w:cs="Arial"/>
          <w:b/>
          <w:bCs/>
          <w:color w:val="000000"/>
          <w:sz w:val="22"/>
          <w:szCs w:val="22"/>
        </w:rPr>
        <w:t>:c.67</w:t>
      </w:r>
      <w:r>
        <w:rPr>
          <w:rFonts w:ascii="Arial" w:hAnsi="Arial" w:cs="Arial"/>
          <w:b/>
          <w:bCs/>
          <w:color w:val="000000"/>
          <w:sz w:val="22"/>
          <w:szCs w:val="22"/>
        </w:rPr>
        <w:t>G&gt;C</w:t>
      </w:r>
      <w:r w:rsidRPr="00182EA4">
        <w:rPr>
          <w:rFonts w:ascii="Arial" w:hAnsi="Arial" w:cs="Arial"/>
          <w:b/>
          <w:bCs/>
          <w:color w:val="000000"/>
          <w:sz w:val="22"/>
          <w:szCs w:val="22"/>
        </w:rPr>
        <w:t xml:space="preserve"> germline variant</w:t>
      </w:r>
    </w:p>
    <w:p w14:paraId="508EDB54" w14:textId="3AB25523" w:rsidR="005C6A78" w:rsidRDefault="00A746E7" w:rsidP="00A746E7">
      <w:pPr>
        <w:spacing w:line="480" w:lineRule="auto"/>
      </w:pPr>
      <w:r w:rsidRPr="00182EA4">
        <w:rPr>
          <w:rFonts w:ascii="Arial" w:hAnsi="Arial" w:cs="Arial"/>
          <w:sz w:val="22"/>
          <w:szCs w:val="22"/>
        </w:rPr>
        <w:lastRenderedPageBreak/>
        <w:t xml:space="preserve">Following the previous case of duodenal cancer, we encountered a case of 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castration-resistant prostate cancer harboring a </w:t>
      </w:r>
      <w:r w:rsidRPr="00182EA4">
        <w:rPr>
          <w:rFonts w:ascii="Arial" w:hAnsi="Arial" w:cs="Arial"/>
          <w:i/>
          <w:iCs/>
          <w:color w:val="000000"/>
          <w:sz w:val="22"/>
          <w:szCs w:val="22"/>
        </w:rPr>
        <w:t>BRCA2</w:t>
      </w:r>
      <w:r w:rsidRPr="00182EA4">
        <w:rPr>
          <w:rFonts w:ascii="Arial" w:hAnsi="Arial" w:cs="Arial"/>
          <w:color w:val="000000"/>
          <w:sz w:val="22"/>
          <w:szCs w:val="22"/>
        </w:rPr>
        <w:t>:c.67</w:t>
      </w:r>
      <w:r>
        <w:rPr>
          <w:rFonts w:ascii="Arial" w:hAnsi="Arial" w:cs="Arial"/>
          <w:color w:val="000000"/>
          <w:sz w:val="22"/>
          <w:szCs w:val="22"/>
        </w:rPr>
        <w:t>G&gt;C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 variant. A 64-year-old ma</w:t>
      </w:r>
      <w:r>
        <w:rPr>
          <w:rFonts w:ascii="Arial" w:hAnsi="Arial" w:cs="Arial"/>
          <w:color w:val="000000"/>
          <w:sz w:val="22"/>
          <w:szCs w:val="22"/>
        </w:rPr>
        <w:t>n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 underwent CGP testing in search of molecularly targeted therapies for his castration-resistant prostate cancer. He had a prior history of rectal cancer at the age of 62, and his father and his paternal uncle had been diagnosed with multiple cancers, including gastric, prostate, and pancreatic cancers (</w:t>
      </w:r>
      <w:r w:rsidR="00A7554F">
        <w:rPr>
          <w:rFonts w:ascii="Arial" w:hAnsi="Arial" w:cs="Arial"/>
          <w:sz w:val="22"/>
          <w:szCs w:val="22"/>
        </w:rPr>
        <w:t xml:space="preserve">Supplementary </w:t>
      </w:r>
      <w:r w:rsidR="00A7554F" w:rsidRPr="00182EA4">
        <w:rPr>
          <w:rFonts w:ascii="Arial" w:hAnsi="Arial" w:cs="Arial"/>
          <w:sz w:val="22"/>
          <w:szCs w:val="22"/>
        </w:rPr>
        <w:t>Fig</w:t>
      </w:r>
      <w:r w:rsidR="00A7554F">
        <w:rPr>
          <w:rFonts w:ascii="Arial" w:hAnsi="Arial" w:cs="Arial"/>
          <w:sz w:val="22"/>
          <w:szCs w:val="22"/>
        </w:rPr>
        <w:t>.</w:t>
      </w:r>
      <w:r w:rsidR="00A7554F" w:rsidRPr="00182EA4">
        <w:rPr>
          <w:rFonts w:ascii="Arial" w:hAnsi="Arial" w:cs="Arial"/>
          <w:sz w:val="22"/>
          <w:szCs w:val="22"/>
        </w:rPr>
        <w:t xml:space="preserve"> </w:t>
      </w:r>
      <w:r w:rsidR="0094064F">
        <w:rPr>
          <w:rFonts w:ascii="Arial" w:hAnsi="Arial" w:cs="Arial"/>
          <w:sz w:val="22"/>
          <w:szCs w:val="22"/>
        </w:rPr>
        <w:t>S</w:t>
      </w:r>
      <w:r w:rsidR="00FA6BE3">
        <w:rPr>
          <w:rFonts w:ascii="Arial" w:hAnsi="Arial" w:cs="Arial"/>
          <w:sz w:val="22"/>
          <w:szCs w:val="22"/>
        </w:rPr>
        <w:t>3</w:t>
      </w:r>
      <w:r w:rsidRPr="00182EA4">
        <w:rPr>
          <w:rFonts w:ascii="Arial" w:hAnsi="Arial" w:cs="Arial"/>
          <w:sz w:val="22"/>
          <w:szCs w:val="22"/>
        </w:rPr>
        <w:t>A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). The CGP identified </w:t>
      </w:r>
      <w:r w:rsidRPr="00182EA4">
        <w:rPr>
          <w:rFonts w:ascii="Arial" w:hAnsi="Arial" w:cs="Arial"/>
          <w:i/>
          <w:iCs/>
          <w:color w:val="000000"/>
          <w:sz w:val="22"/>
          <w:szCs w:val="22"/>
        </w:rPr>
        <w:t>TBX3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 deletion</w:t>
      </w:r>
      <w:r w:rsidR="009E13BB">
        <w:rPr>
          <w:rFonts w:ascii="Arial" w:hAnsi="Arial" w:cs="Arial"/>
          <w:color w:val="000000"/>
          <w:sz w:val="22"/>
          <w:szCs w:val="22"/>
        </w:rPr>
        <w:t xml:space="preserve"> (</w:t>
      </w:r>
      <w:r w:rsidR="009E13BB" w:rsidRPr="009E13BB">
        <w:rPr>
          <w:rFonts w:ascii="Arial" w:hAnsi="Arial" w:cs="Arial"/>
          <w:color w:val="000000"/>
          <w:sz w:val="22"/>
          <w:szCs w:val="22"/>
        </w:rPr>
        <w:t>chr12:115109645-115121005</w:t>
      </w:r>
      <w:r w:rsidR="009E13BB">
        <w:rPr>
          <w:rFonts w:ascii="Arial" w:hAnsi="Arial" w:cs="Arial"/>
          <w:color w:val="000000"/>
          <w:sz w:val="22"/>
          <w:szCs w:val="22"/>
        </w:rPr>
        <w:t>)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 and a pathogenic </w:t>
      </w:r>
      <w:r w:rsidRPr="00182EA4">
        <w:rPr>
          <w:rFonts w:ascii="Arial" w:hAnsi="Arial" w:cs="Arial"/>
          <w:i/>
          <w:iCs/>
          <w:color w:val="000000"/>
          <w:sz w:val="22"/>
          <w:szCs w:val="22"/>
        </w:rPr>
        <w:t>BRIP1</w:t>
      </w:r>
      <w:r w:rsidRPr="00182EA4">
        <w:rPr>
          <w:rFonts w:ascii="Arial" w:hAnsi="Arial" w:cs="Arial"/>
          <w:color w:val="000000"/>
          <w:sz w:val="22"/>
          <w:szCs w:val="22"/>
        </w:rPr>
        <w:t>: c.2255_2256del</w:t>
      </w:r>
      <w:r w:rsidR="0094064F">
        <w:rPr>
          <w:rFonts w:ascii="Arial" w:hAnsi="Arial" w:cs="Arial"/>
          <w:color w:val="000000"/>
          <w:sz w:val="22"/>
          <w:szCs w:val="22"/>
        </w:rPr>
        <w:t xml:space="preserve"> (p.K752fs*12, </w:t>
      </w:r>
      <w:r w:rsidR="0094064F" w:rsidRPr="00182EA4">
        <w:rPr>
          <w:rFonts w:ascii="Arial" w:hAnsi="Arial" w:cs="Arial"/>
          <w:color w:val="000000"/>
          <w:sz w:val="22"/>
          <w:szCs w:val="22"/>
        </w:rPr>
        <w:t>NM_032043</w:t>
      </w:r>
      <w:r w:rsidR="0094064F">
        <w:rPr>
          <w:rFonts w:ascii="Arial" w:hAnsi="Arial" w:cs="Arial"/>
          <w:color w:val="000000"/>
          <w:sz w:val="22"/>
          <w:szCs w:val="22"/>
        </w:rPr>
        <w:t>.2</w:t>
      </w:r>
      <w:r w:rsidR="00555362">
        <w:rPr>
          <w:rFonts w:ascii="Arial" w:hAnsi="Arial" w:cs="Arial"/>
          <w:color w:val="000000"/>
          <w:sz w:val="22"/>
          <w:szCs w:val="22"/>
        </w:rPr>
        <w:t xml:space="preserve">) 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variant, while </w:t>
      </w:r>
      <w:r w:rsidRPr="00182EA4">
        <w:rPr>
          <w:rFonts w:ascii="Arial" w:hAnsi="Arial" w:cs="Arial"/>
          <w:i/>
          <w:iCs/>
          <w:color w:val="000000"/>
          <w:sz w:val="22"/>
          <w:szCs w:val="22"/>
        </w:rPr>
        <w:t>BRCA2</w:t>
      </w:r>
      <w:r w:rsidRPr="00182EA4">
        <w:rPr>
          <w:rFonts w:ascii="Arial" w:hAnsi="Arial" w:cs="Arial"/>
          <w:color w:val="000000"/>
          <w:sz w:val="22"/>
          <w:szCs w:val="22"/>
        </w:rPr>
        <w:t>:c.67</w:t>
      </w:r>
      <w:r>
        <w:rPr>
          <w:rFonts w:ascii="Arial" w:hAnsi="Arial" w:cs="Arial"/>
          <w:color w:val="000000"/>
          <w:sz w:val="22"/>
          <w:szCs w:val="22"/>
        </w:rPr>
        <w:t>G&gt;C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 was detected but classified as VUS (</w:t>
      </w:r>
      <w:r w:rsidR="00A7554F">
        <w:rPr>
          <w:rFonts w:ascii="Arial" w:hAnsi="Arial" w:cs="Arial"/>
          <w:sz w:val="22"/>
          <w:szCs w:val="22"/>
        </w:rPr>
        <w:t xml:space="preserve">Supplementary </w:t>
      </w:r>
      <w:r w:rsidR="00A7554F" w:rsidRPr="00182EA4">
        <w:rPr>
          <w:rFonts w:ascii="Arial" w:hAnsi="Arial" w:cs="Arial"/>
          <w:sz w:val="22"/>
          <w:szCs w:val="22"/>
        </w:rPr>
        <w:t>Fig</w:t>
      </w:r>
      <w:r w:rsidR="00A7554F">
        <w:rPr>
          <w:rFonts w:ascii="Arial" w:hAnsi="Arial" w:cs="Arial"/>
          <w:sz w:val="22"/>
          <w:szCs w:val="22"/>
        </w:rPr>
        <w:t>.</w:t>
      </w:r>
      <w:r w:rsidR="00A7554F" w:rsidRPr="00182EA4">
        <w:rPr>
          <w:rFonts w:ascii="Arial" w:hAnsi="Arial" w:cs="Arial"/>
          <w:sz w:val="22"/>
          <w:szCs w:val="22"/>
        </w:rPr>
        <w:t xml:space="preserve"> </w:t>
      </w:r>
      <w:r w:rsidR="0094064F">
        <w:rPr>
          <w:rFonts w:ascii="Arial" w:hAnsi="Arial" w:cs="Arial"/>
          <w:sz w:val="22"/>
          <w:szCs w:val="22"/>
        </w:rPr>
        <w:t>S</w:t>
      </w:r>
      <w:r w:rsidR="00FA6BE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B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). At that point, the clinical relevance of the two HR-related variants remained unclear. Subsequent single-site genetic tests revealed that both </w:t>
      </w:r>
      <w:r w:rsidRPr="00182EA4">
        <w:rPr>
          <w:rFonts w:ascii="Arial" w:hAnsi="Arial" w:cs="Arial"/>
          <w:i/>
          <w:iCs/>
          <w:color w:val="000000"/>
          <w:sz w:val="22"/>
          <w:szCs w:val="22"/>
        </w:rPr>
        <w:t>BRCA2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 and </w:t>
      </w:r>
      <w:r w:rsidRPr="00182EA4">
        <w:rPr>
          <w:rFonts w:ascii="Arial" w:hAnsi="Arial" w:cs="Arial"/>
          <w:i/>
          <w:iCs/>
          <w:color w:val="000000"/>
          <w:sz w:val="22"/>
          <w:szCs w:val="22"/>
        </w:rPr>
        <w:t>BRIP1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 variants were of germline origin</w:t>
      </w:r>
      <w:r w:rsidRPr="003B1611">
        <w:rPr>
          <w:rFonts w:ascii="Arial" w:hAnsi="Arial" w:cs="Arial"/>
          <w:color w:val="000000"/>
          <w:sz w:val="22"/>
          <w:szCs w:val="22"/>
        </w:rPr>
        <w:t xml:space="preserve">. </w:t>
      </w:r>
      <w:r w:rsidRPr="003B1611">
        <w:rPr>
          <w:rFonts w:ascii="Arial" w:hAnsi="Arial" w:cs="Arial"/>
          <w:sz w:val="22"/>
          <w:szCs w:val="22"/>
        </w:rPr>
        <w:t>The patient had previously received multiple lines of therapy, including androgen dep</w:t>
      </w:r>
      <w:r>
        <w:rPr>
          <w:rFonts w:ascii="Arial" w:hAnsi="Arial" w:cs="Arial"/>
          <w:sz w:val="22"/>
          <w:szCs w:val="22"/>
        </w:rPr>
        <w:t>rivation</w:t>
      </w:r>
      <w:r w:rsidRPr="003B1611">
        <w:rPr>
          <w:rFonts w:ascii="Arial" w:hAnsi="Arial" w:cs="Arial"/>
          <w:sz w:val="22"/>
          <w:szCs w:val="22"/>
        </w:rPr>
        <w:t xml:space="preserve"> therapy, darolutamide, docetaxel, and cabazitaxel, without durable disease control. </w:t>
      </w:r>
      <w:r w:rsidRPr="00182EA4">
        <w:rPr>
          <w:rFonts w:ascii="Arial" w:hAnsi="Arial" w:cs="Arial"/>
          <w:color w:val="000000"/>
          <w:sz w:val="22"/>
          <w:szCs w:val="22"/>
        </w:rPr>
        <w:t xml:space="preserve">Based on the </w:t>
      </w:r>
      <w:r w:rsidRPr="003B2581">
        <w:rPr>
          <w:rFonts w:ascii="Arial" w:hAnsi="Arial" w:cs="Arial"/>
          <w:color w:val="000000"/>
          <w:sz w:val="22"/>
          <w:szCs w:val="22"/>
        </w:rPr>
        <w:t xml:space="preserve">CGP results, </w:t>
      </w:r>
      <w:r w:rsidRPr="003B2581">
        <w:rPr>
          <w:rFonts w:ascii="Arial" w:hAnsi="Arial" w:cs="Arial"/>
          <w:sz w:val="22"/>
          <w:szCs w:val="22"/>
        </w:rPr>
        <w:t>combination therapy with talazoparib and enzalutamide was initiated.</w:t>
      </w:r>
      <w:r>
        <w:rPr>
          <w:rFonts w:ascii="Arial" w:eastAsia="MS Mincho" w:hAnsi="Arial" w:cs="Arial"/>
          <w:color w:val="000000"/>
          <w:sz w:val="22"/>
          <w:szCs w:val="22"/>
        </w:rPr>
        <w:t xml:space="preserve"> </w:t>
      </w:r>
      <w:r w:rsidRPr="006E39C0">
        <w:rPr>
          <w:rFonts w:ascii="Arial" w:hAnsi="Arial" w:cs="Arial"/>
          <w:sz w:val="22"/>
          <w:szCs w:val="22"/>
        </w:rPr>
        <w:t xml:space="preserve">Given that both </w:t>
      </w:r>
      <w:r w:rsidRPr="006E39C0">
        <w:rPr>
          <w:rFonts w:ascii="Arial" w:hAnsi="Arial" w:cs="Arial"/>
          <w:i/>
          <w:iCs/>
          <w:sz w:val="22"/>
          <w:szCs w:val="22"/>
        </w:rPr>
        <w:t>BRCA2</w:t>
      </w:r>
      <w:r w:rsidRPr="006E39C0">
        <w:rPr>
          <w:rFonts w:ascii="Arial" w:hAnsi="Arial" w:cs="Arial"/>
          <w:sz w:val="22"/>
          <w:szCs w:val="22"/>
        </w:rPr>
        <w:t xml:space="preserve"> and </w:t>
      </w:r>
      <w:r w:rsidRPr="006E39C0">
        <w:rPr>
          <w:rFonts w:ascii="Arial" w:hAnsi="Arial" w:cs="Arial"/>
          <w:i/>
          <w:iCs/>
          <w:sz w:val="22"/>
          <w:szCs w:val="22"/>
        </w:rPr>
        <w:t>BRIP1</w:t>
      </w:r>
      <w:r w:rsidRPr="006E39C0">
        <w:rPr>
          <w:rFonts w:ascii="Arial" w:hAnsi="Arial" w:cs="Arial"/>
          <w:sz w:val="22"/>
          <w:szCs w:val="22"/>
        </w:rPr>
        <w:t xml:space="preserve"> are involved in </w:t>
      </w:r>
      <w:r>
        <w:rPr>
          <w:rFonts w:ascii="Arial" w:hAnsi="Arial" w:cs="Arial"/>
          <w:sz w:val="22"/>
          <w:szCs w:val="22"/>
        </w:rPr>
        <w:t>HR</w:t>
      </w:r>
      <w:r w:rsidRPr="006E39C0">
        <w:rPr>
          <w:rFonts w:ascii="Arial" w:hAnsi="Arial" w:cs="Arial"/>
          <w:sz w:val="22"/>
          <w:szCs w:val="22"/>
        </w:rPr>
        <w:t xml:space="preserve"> repair, the observed therapeutic response cannot be </w:t>
      </w:r>
      <w:r>
        <w:rPr>
          <w:rFonts w:ascii="Arial" w:hAnsi="Arial" w:cs="Arial"/>
          <w:sz w:val="22"/>
          <w:szCs w:val="22"/>
        </w:rPr>
        <w:t>solely</w:t>
      </w:r>
      <w:r w:rsidRPr="006E39C0">
        <w:rPr>
          <w:rFonts w:ascii="Arial" w:hAnsi="Arial" w:cs="Arial"/>
          <w:sz w:val="22"/>
          <w:szCs w:val="22"/>
        </w:rPr>
        <w:t xml:space="preserve"> attributed to </w:t>
      </w:r>
      <w:r>
        <w:rPr>
          <w:rFonts w:ascii="Arial" w:hAnsi="Arial" w:cs="Arial"/>
          <w:sz w:val="22"/>
          <w:szCs w:val="22"/>
        </w:rPr>
        <w:t>a single</w:t>
      </w:r>
      <w:r w:rsidRPr="006E39C0">
        <w:rPr>
          <w:rFonts w:ascii="Arial" w:hAnsi="Arial" w:cs="Arial"/>
          <w:sz w:val="22"/>
          <w:szCs w:val="22"/>
        </w:rPr>
        <w:t xml:space="preserve"> variant. Nevertheless, the marked</w:t>
      </w:r>
      <w:r>
        <w:rPr>
          <w:rFonts w:ascii="Arial" w:hAnsi="Arial" w:cs="Arial"/>
          <w:sz w:val="22"/>
          <w:szCs w:val="22"/>
        </w:rPr>
        <w:t xml:space="preserve"> </w:t>
      </w:r>
      <w:r w:rsidRPr="006E39C0">
        <w:rPr>
          <w:rFonts w:ascii="Arial" w:hAnsi="Arial" w:cs="Arial"/>
          <w:sz w:val="22"/>
          <w:szCs w:val="22"/>
        </w:rPr>
        <w:t xml:space="preserve">decline </w:t>
      </w:r>
      <w:r>
        <w:rPr>
          <w:rFonts w:ascii="Arial" w:hAnsi="Arial" w:cs="Arial"/>
          <w:sz w:val="22"/>
          <w:szCs w:val="22"/>
        </w:rPr>
        <w:t xml:space="preserve">in PSA levels </w:t>
      </w:r>
      <w:r w:rsidRPr="006E39C0">
        <w:rPr>
          <w:rFonts w:ascii="Arial" w:hAnsi="Arial" w:cs="Arial"/>
          <w:sz w:val="22"/>
          <w:szCs w:val="22"/>
        </w:rPr>
        <w:t xml:space="preserve">(from 117.1 ng/mL to </w:t>
      </w:r>
      <w:r w:rsidR="00D37264">
        <w:rPr>
          <w:rFonts w:ascii="Arial" w:hAnsi="Arial" w:cs="Arial"/>
          <w:sz w:val="22"/>
          <w:szCs w:val="22"/>
        </w:rPr>
        <w:t>1.46</w:t>
      </w:r>
      <w:r w:rsidRPr="006E39C0">
        <w:rPr>
          <w:rFonts w:ascii="Arial" w:hAnsi="Arial" w:cs="Arial"/>
          <w:sz w:val="22"/>
          <w:szCs w:val="22"/>
        </w:rPr>
        <w:t xml:space="preserve"> ng/mL) underscores the clinical relevance of HR deficiency in this patient (</w:t>
      </w:r>
      <w:r w:rsidR="00A7554F">
        <w:rPr>
          <w:rFonts w:ascii="Arial" w:hAnsi="Arial" w:cs="Arial"/>
          <w:sz w:val="22"/>
          <w:szCs w:val="22"/>
        </w:rPr>
        <w:t xml:space="preserve">Supplementary </w:t>
      </w:r>
      <w:r w:rsidR="00A7554F" w:rsidRPr="00182EA4">
        <w:rPr>
          <w:rFonts w:ascii="Arial" w:hAnsi="Arial" w:cs="Arial"/>
          <w:sz w:val="22"/>
          <w:szCs w:val="22"/>
        </w:rPr>
        <w:t>Fig</w:t>
      </w:r>
      <w:r w:rsidR="00A7554F">
        <w:rPr>
          <w:rFonts w:ascii="Arial" w:hAnsi="Arial" w:cs="Arial"/>
          <w:sz w:val="22"/>
          <w:szCs w:val="22"/>
        </w:rPr>
        <w:t>.</w:t>
      </w:r>
      <w:r w:rsidR="00A7554F" w:rsidRPr="00182EA4">
        <w:rPr>
          <w:rFonts w:ascii="Arial" w:hAnsi="Arial" w:cs="Arial"/>
          <w:sz w:val="22"/>
          <w:szCs w:val="22"/>
        </w:rPr>
        <w:t xml:space="preserve"> </w:t>
      </w:r>
      <w:r w:rsidR="0094064F">
        <w:rPr>
          <w:rFonts w:ascii="Arial" w:hAnsi="Arial" w:cs="Arial"/>
          <w:sz w:val="22"/>
          <w:szCs w:val="22"/>
        </w:rPr>
        <w:t>S</w:t>
      </w:r>
      <w:r w:rsidR="00FA6BE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C</w:t>
      </w:r>
      <w:r w:rsidRPr="006E39C0">
        <w:rPr>
          <w:rFonts w:ascii="Arial" w:hAnsi="Arial" w:cs="Arial"/>
          <w:sz w:val="22"/>
          <w:szCs w:val="22"/>
        </w:rPr>
        <w:t>).</w:t>
      </w:r>
      <w:r w:rsidR="005C6A78" w:rsidRPr="005C6A78">
        <w:t xml:space="preserve"> </w:t>
      </w:r>
    </w:p>
    <w:p w14:paraId="3188E81B" w14:textId="35D73768" w:rsidR="00F72ECB" w:rsidRPr="003609EC" w:rsidRDefault="005C6A78" w:rsidP="00A746E7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3609EC">
        <w:rPr>
          <w:rFonts w:ascii="Arial" w:hAnsi="Arial" w:cs="Arial"/>
          <w:color w:val="000000" w:themeColor="text1"/>
          <w:sz w:val="22"/>
          <w:szCs w:val="22"/>
        </w:rPr>
        <w:t>Year X denotes an anonymized calendar year used to protect patient privacy.</w:t>
      </w:r>
    </w:p>
    <w:p w14:paraId="0D9C839A" w14:textId="77777777" w:rsidR="00F72ECB" w:rsidRDefault="00F72ECB">
      <w:pPr>
        <w:spacing w:after="16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B23300C" w14:textId="70476809" w:rsidR="00F72ECB" w:rsidRPr="00F72ECB" w:rsidRDefault="00F72ECB" w:rsidP="00F72ECB">
      <w:pPr>
        <w:spacing w:line="48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F72ECB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Supplementa</w:t>
      </w:r>
      <w:r w:rsidR="0094064F">
        <w:rPr>
          <w:rFonts w:ascii="Arial" w:hAnsi="Arial" w:cs="Arial"/>
          <w:b/>
          <w:bCs/>
          <w:color w:val="000000"/>
          <w:sz w:val="22"/>
          <w:szCs w:val="22"/>
        </w:rPr>
        <w:t>l</w:t>
      </w:r>
      <w:r w:rsidRPr="00F72ECB">
        <w:rPr>
          <w:rFonts w:ascii="Arial" w:hAnsi="Arial" w:cs="Arial"/>
          <w:b/>
          <w:bCs/>
          <w:color w:val="000000"/>
          <w:sz w:val="22"/>
          <w:szCs w:val="22"/>
        </w:rPr>
        <w:t xml:space="preserve"> Figure Legends</w:t>
      </w:r>
    </w:p>
    <w:p w14:paraId="0CB277C8" w14:textId="62549735" w:rsidR="000F6D53" w:rsidRDefault="000F6D53" w:rsidP="000F6D5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Supplementary </w:t>
      </w:r>
      <w:r w:rsidRPr="00432D4C">
        <w:rPr>
          <w:rFonts w:ascii="Arial" w:hAnsi="Arial" w:cs="Arial"/>
          <w:color w:val="000000"/>
          <w:sz w:val="22"/>
          <w:szCs w:val="22"/>
        </w:rPr>
        <w:t>Fig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432D4C">
        <w:rPr>
          <w:rFonts w:ascii="Arial" w:hAnsi="Arial" w:cs="Arial"/>
          <w:color w:val="000000"/>
          <w:sz w:val="22"/>
          <w:szCs w:val="22"/>
        </w:rPr>
        <w:t xml:space="preserve"> </w:t>
      </w:r>
      <w:r w:rsidR="00FE68EF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1:</w:t>
      </w:r>
      <w:r w:rsidRPr="00432D4C">
        <w:rPr>
          <w:rFonts w:ascii="Arial" w:hAnsi="Arial" w:cs="Arial"/>
          <w:color w:val="000000"/>
          <w:sz w:val="22"/>
          <w:szCs w:val="22"/>
        </w:rPr>
        <w:t xml:space="preserve"> </w:t>
      </w:r>
      <w:r w:rsidRPr="00432D4C">
        <w:rPr>
          <w:rFonts w:ascii="Arial" w:hAnsi="Arial" w:cs="Arial"/>
          <w:sz w:val="22"/>
          <w:szCs w:val="22"/>
        </w:rPr>
        <w:t xml:space="preserve">Distribution of </w:t>
      </w:r>
      <w:r w:rsidRPr="00432D4C">
        <w:rPr>
          <w:rFonts w:ascii="Arial" w:hAnsi="Arial" w:cs="Arial"/>
          <w:i/>
          <w:iCs/>
          <w:sz w:val="22"/>
          <w:szCs w:val="22"/>
        </w:rPr>
        <w:t>in silico</w:t>
      </w:r>
      <w:r w:rsidRPr="00432D4C">
        <w:rPr>
          <w:rFonts w:ascii="Arial" w:hAnsi="Arial" w:cs="Arial"/>
          <w:sz w:val="22"/>
          <w:szCs w:val="22"/>
        </w:rPr>
        <w:t xml:space="preserve"> predictor scores in </w:t>
      </w:r>
      <w:r w:rsidRPr="00432D4C">
        <w:rPr>
          <w:rFonts w:ascii="Arial" w:eastAsia="MS Mincho" w:hAnsi="Arial" w:cs="Arial"/>
          <w:sz w:val="22"/>
          <w:szCs w:val="22"/>
        </w:rPr>
        <w:t>a</w:t>
      </w:r>
      <w:r w:rsidRPr="00432D4C">
        <w:rPr>
          <w:rFonts w:ascii="Arial" w:hAnsi="Arial" w:cs="Arial"/>
          <w:sz w:val="22"/>
          <w:szCs w:val="22"/>
        </w:rPr>
        <w:t xml:space="preserve"> real-world CGP dataset</w:t>
      </w:r>
      <w:r w:rsidR="00B84B67">
        <w:rPr>
          <w:rFonts w:ascii="Arial" w:hAnsi="Arial" w:cs="Arial"/>
          <w:sz w:val="22"/>
          <w:szCs w:val="22"/>
        </w:rPr>
        <w:t>.</w:t>
      </w:r>
    </w:p>
    <w:p w14:paraId="273A79E1" w14:textId="0442DA52" w:rsidR="000F6D53" w:rsidRPr="00ED27AE" w:rsidRDefault="000F6D53" w:rsidP="00FA6BE3">
      <w:pPr>
        <w:spacing w:line="480" w:lineRule="auto"/>
        <w:rPr>
          <w:rFonts w:ascii="Arial" w:hAnsi="Arial" w:cs="Arial"/>
          <w:sz w:val="22"/>
          <w:szCs w:val="22"/>
        </w:rPr>
      </w:pPr>
      <w:r w:rsidRPr="00432D4C">
        <w:rPr>
          <w:rFonts w:ascii="Arial" w:hAnsi="Arial" w:cs="Arial"/>
          <w:sz w:val="22"/>
          <w:szCs w:val="22"/>
        </w:rPr>
        <w:t xml:space="preserve">Histograms of scores from ten </w:t>
      </w:r>
      <w:r w:rsidRPr="00432D4C">
        <w:rPr>
          <w:rFonts w:ascii="Arial" w:hAnsi="Arial" w:cs="Arial"/>
          <w:i/>
          <w:sz w:val="22"/>
          <w:szCs w:val="22"/>
        </w:rPr>
        <w:t>in silico</w:t>
      </w:r>
      <w:r w:rsidRPr="00432D4C">
        <w:rPr>
          <w:rFonts w:ascii="Arial" w:hAnsi="Arial" w:cs="Arial"/>
          <w:sz w:val="22"/>
          <w:szCs w:val="22"/>
        </w:rPr>
        <w:t xml:space="preserve"> predictors (SIFT, </w:t>
      </w:r>
      <w:proofErr w:type="spellStart"/>
      <w:r w:rsidRPr="00432D4C">
        <w:rPr>
          <w:rFonts w:ascii="Arial" w:hAnsi="Arial" w:cs="Arial"/>
          <w:sz w:val="22"/>
          <w:szCs w:val="22"/>
        </w:rPr>
        <w:t>MetaSVM</w:t>
      </w:r>
      <w:proofErr w:type="spellEnd"/>
      <w:r w:rsidRPr="00432D4C">
        <w:rPr>
          <w:rFonts w:ascii="Arial" w:hAnsi="Arial" w:cs="Arial"/>
          <w:sz w:val="22"/>
          <w:szCs w:val="22"/>
        </w:rPr>
        <w:t xml:space="preserve">, REVEL, </w:t>
      </w:r>
      <w:proofErr w:type="spellStart"/>
      <w:r w:rsidRPr="00432D4C">
        <w:rPr>
          <w:rFonts w:ascii="Arial" w:hAnsi="Arial" w:cs="Arial"/>
          <w:sz w:val="22"/>
          <w:szCs w:val="22"/>
        </w:rPr>
        <w:t>BayesDel</w:t>
      </w:r>
      <w:proofErr w:type="spellEnd"/>
      <w:r w:rsidRPr="00432D4C">
        <w:rPr>
          <w:rFonts w:ascii="Arial" w:hAnsi="Arial" w:cs="Arial"/>
          <w:sz w:val="22"/>
          <w:szCs w:val="22"/>
        </w:rPr>
        <w:t xml:space="preserve">, PolyPhen-2, CADD, </w:t>
      </w:r>
      <w:proofErr w:type="spellStart"/>
      <w:r w:rsidRPr="00432D4C">
        <w:rPr>
          <w:rFonts w:ascii="Arial" w:hAnsi="Arial" w:cs="Arial"/>
          <w:sz w:val="22"/>
          <w:szCs w:val="22"/>
        </w:rPr>
        <w:t>SpliceAI</w:t>
      </w:r>
      <w:proofErr w:type="spellEnd"/>
      <w:r w:rsidRPr="00432D4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2D4C">
        <w:rPr>
          <w:rFonts w:ascii="Arial" w:hAnsi="Arial" w:cs="Arial"/>
          <w:sz w:val="22"/>
          <w:szCs w:val="22"/>
        </w:rPr>
        <w:t>PrimateAI</w:t>
      </w:r>
      <w:proofErr w:type="spellEnd"/>
      <w:r w:rsidRPr="00432D4C">
        <w:rPr>
          <w:rFonts w:ascii="Arial" w:hAnsi="Arial" w:cs="Arial"/>
          <w:sz w:val="22"/>
          <w:szCs w:val="22"/>
        </w:rPr>
        <w:t xml:space="preserve">, PhyloP100, and </w:t>
      </w:r>
      <w:proofErr w:type="spellStart"/>
      <w:r w:rsidRPr="00432D4C">
        <w:rPr>
          <w:rFonts w:ascii="Arial" w:hAnsi="Arial" w:cs="Arial"/>
          <w:sz w:val="22"/>
          <w:szCs w:val="22"/>
        </w:rPr>
        <w:t>MaxEntScan</w:t>
      </w:r>
      <w:proofErr w:type="spellEnd"/>
      <w:r w:rsidRPr="00432D4C">
        <w:rPr>
          <w:rFonts w:ascii="Arial" w:hAnsi="Arial" w:cs="Arial"/>
          <w:sz w:val="22"/>
          <w:szCs w:val="22"/>
        </w:rPr>
        <w:t xml:space="preserve">) for 153 </w:t>
      </w:r>
      <w:r w:rsidRPr="00FD591A">
        <w:rPr>
          <w:rFonts w:ascii="Arial" w:hAnsi="Arial" w:cs="Arial"/>
          <w:i/>
          <w:sz w:val="22"/>
          <w:szCs w:val="22"/>
        </w:rPr>
        <w:t>BRCA1/2</w:t>
      </w:r>
      <w:r w:rsidRPr="00432D4C">
        <w:rPr>
          <w:rFonts w:ascii="Arial" w:hAnsi="Arial" w:cs="Arial"/>
          <w:sz w:val="22"/>
          <w:szCs w:val="22"/>
        </w:rPr>
        <w:t xml:space="preserve"> variants of uncertain significance (VUS) identified by clinical genomic profiling (CGP). Red dashed lines with numeric labels indicate the predefined cutoff thresholds for pathogenicity prediction.</w:t>
      </w:r>
    </w:p>
    <w:p w14:paraId="455B0692" w14:textId="77777777" w:rsidR="00FA6BE3" w:rsidRDefault="00FA6BE3" w:rsidP="00F72ECB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3FB62D1D" w14:textId="2499087E" w:rsidR="00F72ECB" w:rsidRPr="00F470B2" w:rsidRDefault="00F72ECB" w:rsidP="00F72ECB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Supplementary </w:t>
      </w:r>
      <w:r w:rsidRPr="00F470B2">
        <w:rPr>
          <w:rFonts w:ascii="Arial" w:hAnsi="Arial" w:cs="Arial"/>
          <w:color w:val="000000"/>
          <w:sz w:val="22"/>
          <w:szCs w:val="22"/>
        </w:rPr>
        <w:t>Fig</w:t>
      </w:r>
      <w:r w:rsidR="00A7554F">
        <w:rPr>
          <w:rFonts w:ascii="Arial" w:hAnsi="Arial" w:cs="Arial"/>
          <w:color w:val="000000"/>
          <w:sz w:val="22"/>
          <w:szCs w:val="22"/>
        </w:rPr>
        <w:t>.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</w:t>
      </w:r>
      <w:r w:rsidR="00FE68EF">
        <w:rPr>
          <w:rFonts w:ascii="Arial" w:hAnsi="Arial" w:cs="Arial"/>
          <w:color w:val="000000"/>
          <w:sz w:val="22"/>
          <w:szCs w:val="22"/>
        </w:rPr>
        <w:t>S</w:t>
      </w:r>
      <w:r w:rsidR="00FA6BE3">
        <w:rPr>
          <w:rFonts w:ascii="Arial" w:hAnsi="Arial" w:cs="Arial"/>
          <w:color w:val="000000"/>
          <w:sz w:val="22"/>
          <w:szCs w:val="22"/>
        </w:rPr>
        <w:t>2</w:t>
      </w:r>
      <w:r w:rsidR="00A7554F">
        <w:rPr>
          <w:rFonts w:ascii="Arial" w:hAnsi="Arial" w:cs="Arial"/>
          <w:color w:val="000000"/>
          <w:sz w:val="22"/>
          <w:szCs w:val="22"/>
        </w:rPr>
        <w:t>: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A case of duodenal cancer harboring a </w:t>
      </w:r>
      <w:r w:rsidRPr="00F470B2">
        <w:rPr>
          <w:rFonts w:ascii="Arial" w:hAnsi="Arial" w:cs="Arial"/>
          <w:i/>
          <w:iCs/>
          <w:color w:val="000000"/>
          <w:sz w:val="22"/>
          <w:szCs w:val="22"/>
        </w:rPr>
        <w:t>BRCA</w:t>
      </w:r>
      <w:proofErr w:type="gramStart"/>
      <w:r w:rsidRPr="00F470B2">
        <w:rPr>
          <w:rFonts w:ascii="Arial" w:hAnsi="Arial" w:cs="Arial"/>
          <w:i/>
          <w:iCs/>
          <w:color w:val="000000"/>
          <w:sz w:val="22"/>
          <w:szCs w:val="22"/>
        </w:rPr>
        <w:t>2</w:t>
      </w:r>
      <w:r w:rsidRPr="00F470B2">
        <w:rPr>
          <w:rFonts w:ascii="Arial" w:hAnsi="Arial" w:cs="Arial"/>
          <w:color w:val="000000"/>
          <w:sz w:val="22"/>
          <w:szCs w:val="22"/>
        </w:rPr>
        <w:t>:c.</w:t>
      </w:r>
      <w:proofErr w:type="gramEnd"/>
      <w:r w:rsidRPr="00F470B2">
        <w:rPr>
          <w:rFonts w:ascii="Arial" w:hAnsi="Arial" w:cs="Arial"/>
          <w:color w:val="000000"/>
          <w:sz w:val="22"/>
          <w:szCs w:val="22"/>
        </w:rPr>
        <w:t>67</w:t>
      </w:r>
      <w:r>
        <w:rPr>
          <w:rFonts w:ascii="Arial" w:hAnsi="Arial" w:cs="Arial"/>
          <w:color w:val="000000"/>
          <w:sz w:val="22"/>
          <w:szCs w:val="22"/>
        </w:rPr>
        <w:t>G&gt;C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germline </w:t>
      </w:r>
      <w:r w:rsidRPr="00F470B2">
        <w:rPr>
          <w:rFonts w:ascii="Arial" w:hAnsi="Arial" w:cs="Arial"/>
          <w:color w:val="000000"/>
          <w:sz w:val="22"/>
          <w:szCs w:val="22"/>
        </w:rPr>
        <w:t>variant</w:t>
      </w:r>
      <w:r w:rsidR="00B84B67">
        <w:rPr>
          <w:rFonts w:ascii="Arial" w:hAnsi="Arial" w:cs="Arial"/>
          <w:color w:val="000000"/>
          <w:sz w:val="22"/>
          <w:szCs w:val="22"/>
        </w:rPr>
        <w:t>.</w:t>
      </w:r>
      <w:r w:rsidR="00B84B6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F470B2">
        <w:rPr>
          <w:rFonts w:ascii="Arial" w:hAnsi="Arial" w:cs="Arial"/>
          <w:b/>
          <w:bCs/>
          <w:color w:val="000000"/>
          <w:sz w:val="22"/>
          <w:szCs w:val="22"/>
        </w:rPr>
        <w:t>(A)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Clinical course during chemotherapy. </w:t>
      </w:r>
      <w:r>
        <w:rPr>
          <w:rFonts w:ascii="Arial" w:hAnsi="Arial" w:cs="Arial"/>
          <w:color w:val="000000"/>
          <w:sz w:val="22"/>
          <w:szCs w:val="22"/>
        </w:rPr>
        <w:t>Arrows indicate the target lesion</w:t>
      </w:r>
      <w:r w:rsidR="00E50547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which was chronologically evaluated by contrast-enhanced CT or PET-CT images</w:t>
      </w:r>
      <w:r>
        <w:rPr>
          <w:rFonts w:ascii="Arial" w:hAnsi="Arial" w:cs="Arial" w:hint="eastAsia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470B2">
        <w:rPr>
          <w:rFonts w:ascii="Arial" w:hAnsi="Arial" w:cs="Arial" w:hint="eastAsia"/>
          <w:b/>
          <w:bCs/>
          <w:color w:val="000000"/>
          <w:sz w:val="22"/>
          <w:szCs w:val="22"/>
        </w:rPr>
        <w:t>(</w:t>
      </w:r>
      <w:r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F470B2">
        <w:rPr>
          <w:rFonts w:ascii="Arial" w:hAnsi="Arial" w:cs="Arial"/>
          <w:b/>
          <w:bCs/>
          <w:color w:val="000000"/>
          <w:sz w:val="22"/>
          <w:szCs w:val="22"/>
        </w:rPr>
        <w:t>)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Pedigree chart.</w:t>
      </w:r>
      <w:r w:rsidRPr="00C23ED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F470B2">
        <w:rPr>
          <w:rFonts w:ascii="Arial" w:hAnsi="Arial" w:cs="Arial"/>
          <w:b/>
          <w:bCs/>
          <w:color w:val="000000"/>
          <w:sz w:val="22"/>
          <w:szCs w:val="22"/>
        </w:rPr>
        <w:t>(</w:t>
      </w:r>
      <w:r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Pr="00F470B2">
        <w:rPr>
          <w:rFonts w:ascii="Arial" w:hAnsi="Arial" w:cs="Arial"/>
          <w:b/>
          <w:bCs/>
          <w:color w:val="000000"/>
          <w:sz w:val="22"/>
          <w:szCs w:val="22"/>
        </w:rPr>
        <w:t>)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DF145F">
        <w:rPr>
          <w:rFonts w:ascii="Arial" w:hAnsi="Arial" w:cs="Arial"/>
          <w:color w:val="000000"/>
          <w:sz w:val="22"/>
          <w:szCs w:val="22"/>
        </w:rPr>
        <w:t>Results of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72662">
        <w:rPr>
          <w:rFonts w:ascii="Arial" w:hAnsi="Arial" w:cs="Arial"/>
          <w:color w:val="000000"/>
          <w:sz w:val="22"/>
          <w:szCs w:val="22"/>
        </w:rPr>
        <w:t xml:space="preserve">comprehensive </w:t>
      </w:r>
      <w:r>
        <w:rPr>
          <w:rFonts w:ascii="Arial" w:hAnsi="Arial" w:cs="Arial"/>
          <w:color w:val="000000"/>
          <w:sz w:val="22"/>
          <w:szCs w:val="22"/>
        </w:rPr>
        <w:t>g</w:t>
      </w:r>
      <w:r w:rsidRPr="00C23EDA">
        <w:rPr>
          <w:rFonts w:ascii="Arial" w:hAnsi="Arial" w:cs="Arial"/>
          <w:color w:val="000000"/>
          <w:sz w:val="22"/>
          <w:szCs w:val="22"/>
        </w:rPr>
        <w:t>enomic profiling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AED90EB" w14:textId="77777777" w:rsidR="00F72ECB" w:rsidRDefault="00F72ECB" w:rsidP="00F72ECB">
      <w:pPr>
        <w:spacing w:line="480" w:lineRule="auto"/>
        <w:rPr>
          <w:rFonts w:ascii="Arial" w:hAnsi="Arial" w:cs="Arial"/>
          <w:bCs/>
          <w:sz w:val="22"/>
          <w:szCs w:val="22"/>
        </w:rPr>
      </w:pPr>
    </w:p>
    <w:p w14:paraId="16DD69FB" w14:textId="7BFA79DC" w:rsidR="00F72ECB" w:rsidRDefault="00F72ECB" w:rsidP="00F72ECB">
      <w:pPr>
        <w:spacing w:line="48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Supplementary </w:t>
      </w:r>
      <w:r w:rsidRPr="00F470B2">
        <w:rPr>
          <w:rFonts w:ascii="Arial" w:hAnsi="Arial" w:cs="Arial"/>
          <w:color w:val="000000"/>
          <w:sz w:val="22"/>
          <w:szCs w:val="22"/>
        </w:rPr>
        <w:t>Fig</w:t>
      </w:r>
      <w:r w:rsidR="00A7554F">
        <w:rPr>
          <w:rFonts w:ascii="Arial" w:hAnsi="Arial" w:cs="Arial"/>
          <w:color w:val="000000"/>
          <w:sz w:val="22"/>
          <w:szCs w:val="22"/>
        </w:rPr>
        <w:t>.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</w:t>
      </w:r>
      <w:r w:rsidR="00FE68EF">
        <w:rPr>
          <w:rFonts w:ascii="Arial" w:hAnsi="Arial" w:cs="Arial"/>
          <w:color w:val="000000"/>
          <w:sz w:val="22"/>
          <w:szCs w:val="22"/>
        </w:rPr>
        <w:t>S</w:t>
      </w:r>
      <w:r w:rsidR="00FA6BE3">
        <w:rPr>
          <w:rFonts w:ascii="Arial" w:hAnsi="Arial" w:cs="Arial"/>
          <w:color w:val="000000"/>
          <w:sz w:val="22"/>
          <w:szCs w:val="22"/>
        </w:rPr>
        <w:t>3</w:t>
      </w:r>
      <w:r w:rsidR="00A7554F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A case of </w:t>
      </w:r>
      <w:r>
        <w:rPr>
          <w:rFonts w:ascii="Arial" w:hAnsi="Arial" w:cs="Arial"/>
          <w:color w:val="000000"/>
          <w:sz w:val="22"/>
          <w:szCs w:val="22"/>
        </w:rPr>
        <w:t>prostate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cancer harboring a </w:t>
      </w:r>
      <w:r w:rsidRPr="00F470B2">
        <w:rPr>
          <w:rFonts w:ascii="Arial" w:hAnsi="Arial" w:cs="Arial"/>
          <w:i/>
          <w:iCs/>
          <w:color w:val="000000"/>
          <w:sz w:val="22"/>
          <w:szCs w:val="22"/>
        </w:rPr>
        <w:t>BRCA</w:t>
      </w:r>
      <w:proofErr w:type="gramStart"/>
      <w:r w:rsidRPr="00F470B2">
        <w:rPr>
          <w:rFonts w:ascii="Arial" w:hAnsi="Arial" w:cs="Arial"/>
          <w:i/>
          <w:iCs/>
          <w:color w:val="000000"/>
          <w:sz w:val="22"/>
          <w:szCs w:val="22"/>
        </w:rPr>
        <w:t>2</w:t>
      </w:r>
      <w:r w:rsidRPr="00F470B2">
        <w:rPr>
          <w:rFonts w:ascii="Arial" w:hAnsi="Arial" w:cs="Arial"/>
          <w:color w:val="000000"/>
          <w:sz w:val="22"/>
          <w:szCs w:val="22"/>
        </w:rPr>
        <w:t>:c.</w:t>
      </w:r>
      <w:proofErr w:type="gramEnd"/>
      <w:r w:rsidRPr="00F470B2">
        <w:rPr>
          <w:rFonts w:ascii="Arial" w:hAnsi="Arial" w:cs="Arial"/>
          <w:color w:val="000000"/>
          <w:sz w:val="22"/>
          <w:szCs w:val="22"/>
        </w:rPr>
        <w:t>67</w:t>
      </w:r>
      <w:r>
        <w:rPr>
          <w:rFonts w:ascii="Arial" w:hAnsi="Arial" w:cs="Arial"/>
          <w:color w:val="000000"/>
          <w:sz w:val="22"/>
          <w:szCs w:val="22"/>
        </w:rPr>
        <w:t>G&gt;C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germline </w:t>
      </w:r>
      <w:r w:rsidRPr="00F470B2">
        <w:rPr>
          <w:rFonts w:ascii="Arial" w:hAnsi="Arial" w:cs="Arial"/>
          <w:color w:val="000000"/>
          <w:sz w:val="22"/>
          <w:szCs w:val="22"/>
        </w:rPr>
        <w:t>variant</w:t>
      </w:r>
      <w:r w:rsidR="00B84B67">
        <w:rPr>
          <w:rFonts w:ascii="Arial" w:hAnsi="Arial" w:cs="Arial"/>
          <w:color w:val="000000"/>
          <w:sz w:val="22"/>
          <w:szCs w:val="22"/>
        </w:rPr>
        <w:t>.</w:t>
      </w:r>
    </w:p>
    <w:p w14:paraId="47377728" w14:textId="018A0FB2" w:rsidR="00F72ECB" w:rsidRDefault="00F72ECB" w:rsidP="00F72ECB">
      <w:pPr>
        <w:spacing w:line="480" w:lineRule="auto"/>
        <w:rPr>
          <w:rFonts w:ascii="Arial" w:hAnsi="Arial" w:cs="Arial"/>
          <w:sz w:val="22"/>
          <w:szCs w:val="22"/>
        </w:rPr>
      </w:pPr>
      <w:r w:rsidRPr="00F470B2">
        <w:rPr>
          <w:rFonts w:ascii="Arial" w:hAnsi="Arial" w:cs="Arial" w:hint="eastAsia"/>
          <w:b/>
          <w:bCs/>
          <w:color w:val="000000"/>
          <w:sz w:val="22"/>
          <w:szCs w:val="22"/>
        </w:rPr>
        <w:t>(</w:t>
      </w: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F470B2">
        <w:rPr>
          <w:rFonts w:ascii="Arial" w:hAnsi="Arial" w:cs="Arial"/>
          <w:b/>
          <w:bCs/>
          <w:color w:val="000000"/>
          <w:sz w:val="22"/>
          <w:szCs w:val="22"/>
        </w:rPr>
        <w:t>)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Pedigree chart.</w:t>
      </w:r>
      <w:r w:rsidRPr="00C23ED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F470B2">
        <w:rPr>
          <w:rFonts w:ascii="Arial" w:hAnsi="Arial" w:cs="Arial"/>
          <w:b/>
          <w:bCs/>
          <w:color w:val="000000"/>
          <w:sz w:val="22"/>
          <w:szCs w:val="22"/>
        </w:rPr>
        <w:t>(</w:t>
      </w:r>
      <w:r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F470B2">
        <w:rPr>
          <w:rFonts w:ascii="Arial" w:hAnsi="Arial" w:cs="Arial"/>
          <w:b/>
          <w:bCs/>
          <w:color w:val="000000"/>
          <w:sz w:val="22"/>
          <w:szCs w:val="22"/>
        </w:rPr>
        <w:t>)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DF145F">
        <w:rPr>
          <w:rFonts w:ascii="Arial" w:hAnsi="Arial" w:cs="Arial"/>
          <w:color w:val="000000"/>
          <w:sz w:val="22"/>
          <w:szCs w:val="22"/>
        </w:rPr>
        <w:t>Results of</w:t>
      </w:r>
      <w:r w:rsidRPr="00B72662">
        <w:rPr>
          <w:rFonts w:ascii="Arial" w:hAnsi="Arial" w:cs="Arial"/>
          <w:color w:val="000000"/>
          <w:sz w:val="22"/>
          <w:szCs w:val="22"/>
        </w:rPr>
        <w:t xml:space="preserve"> comprehensive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g</w:t>
      </w:r>
      <w:r w:rsidRPr="00C23EDA">
        <w:rPr>
          <w:rFonts w:ascii="Arial" w:hAnsi="Arial" w:cs="Arial"/>
          <w:color w:val="000000"/>
          <w:sz w:val="22"/>
          <w:szCs w:val="22"/>
        </w:rPr>
        <w:t>enomic profiling</w:t>
      </w:r>
      <w:r>
        <w:rPr>
          <w:rFonts w:ascii="Arial" w:hAnsi="Arial" w:cs="Arial"/>
          <w:color w:val="000000"/>
          <w:sz w:val="22"/>
          <w:szCs w:val="22"/>
        </w:rPr>
        <w:t xml:space="preserve"> (CGP)</w:t>
      </w:r>
      <w:r w:rsidRPr="003B1611">
        <w:rPr>
          <w:rFonts w:ascii="Arial" w:hAnsi="Arial" w:cs="Arial"/>
          <w:color w:val="000000"/>
          <w:sz w:val="22"/>
          <w:szCs w:val="22"/>
        </w:rPr>
        <w:t xml:space="preserve">. </w:t>
      </w:r>
      <w:r w:rsidRPr="003B1611">
        <w:rPr>
          <w:rFonts w:ascii="Arial" w:hAnsi="Arial" w:cs="Arial"/>
          <w:b/>
          <w:bCs/>
          <w:sz w:val="22"/>
          <w:szCs w:val="22"/>
        </w:rPr>
        <w:t>(C)</w:t>
      </w:r>
      <w:r w:rsidRPr="003B1611">
        <w:rPr>
          <w:rFonts w:ascii="Arial" w:hAnsi="Arial" w:cs="Arial"/>
          <w:sz w:val="22"/>
          <w:szCs w:val="22"/>
        </w:rPr>
        <w:t xml:space="preserve"> </w:t>
      </w:r>
      <w:r w:rsidRPr="00BA4C10">
        <w:rPr>
          <w:rFonts w:ascii="Arial" w:hAnsi="Arial" w:cs="Arial"/>
          <w:sz w:val="22"/>
          <w:szCs w:val="22"/>
        </w:rPr>
        <w:t xml:space="preserve">Clinical course </w:t>
      </w:r>
      <w:r w:rsidR="008D7B29">
        <w:rPr>
          <w:rFonts w:ascii="Arial" w:hAnsi="Arial" w:cs="Arial"/>
          <w:sz w:val="22"/>
          <w:szCs w:val="22"/>
        </w:rPr>
        <w:t>demonstrating</w:t>
      </w:r>
      <w:r w:rsidRPr="00BA4C10">
        <w:rPr>
          <w:rFonts w:ascii="Arial" w:hAnsi="Arial" w:cs="Arial"/>
          <w:sz w:val="22"/>
          <w:szCs w:val="22"/>
        </w:rPr>
        <w:t xml:space="preserve"> PSA decline after </w:t>
      </w:r>
      <w:r w:rsidR="008D7B29">
        <w:rPr>
          <w:rFonts w:ascii="Arial" w:hAnsi="Arial" w:cs="Arial"/>
          <w:sz w:val="22"/>
          <w:szCs w:val="22"/>
        </w:rPr>
        <w:t xml:space="preserve">combined </w:t>
      </w:r>
      <w:r w:rsidRPr="00BA4C10">
        <w:rPr>
          <w:rFonts w:ascii="Arial" w:hAnsi="Arial" w:cs="Arial"/>
          <w:sz w:val="22"/>
          <w:szCs w:val="22"/>
        </w:rPr>
        <w:t>treatment with talazoparib plus enzalutamide.</w:t>
      </w:r>
    </w:p>
    <w:p w14:paraId="292423ED" w14:textId="77777777" w:rsidR="000F6D53" w:rsidRDefault="000F6D53" w:rsidP="00F72ECB">
      <w:pPr>
        <w:spacing w:line="480" w:lineRule="auto"/>
        <w:rPr>
          <w:rFonts w:ascii="Arial" w:hAnsi="Arial" w:cs="Arial"/>
          <w:sz w:val="22"/>
          <w:szCs w:val="22"/>
        </w:rPr>
      </w:pPr>
    </w:p>
    <w:p w14:paraId="08867774" w14:textId="5F4F0B10" w:rsidR="000F6D53" w:rsidRDefault="000F6D53" w:rsidP="000F6D5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Supplementary Fig. </w:t>
      </w:r>
      <w:r w:rsidR="00FE68EF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4: </w:t>
      </w:r>
      <w:r>
        <w:rPr>
          <w:rFonts w:ascii="Arial" w:hAnsi="Arial" w:cs="Arial"/>
          <w:sz w:val="22"/>
          <w:szCs w:val="22"/>
        </w:rPr>
        <w:t>Predicted</w:t>
      </w:r>
      <w:r w:rsidRPr="00F470B2">
        <w:rPr>
          <w:rFonts w:ascii="Arial" w:hAnsi="Arial" w:cs="Arial"/>
          <w:sz w:val="22"/>
          <w:szCs w:val="22"/>
        </w:rPr>
        <w:t xml:space="preserve"> alternative splicing </w:t>
      </w:r>
      <w:r>
        <w:rPr>
          <w:rFonts w:ascii="Arial" w:hAnsi="Arial" w:cs="Arial"/>
          <w:sz w:val="22"/>
          <w:szCs w:val="22"/>
        </w:rPr>
        <w:t xml:space="preserve">caused </w:t>
      </w:r>
      <w:r w:rsidRPr="00F470B2">
        <w:rPr>
          <w:rFonts w:ascii="Arial" w:hAnsi="Arial" w:cs="Arial"/>
          <w:sz w:val="22"/>
          <w:szCs w:val="22"/>
        </w:rPr>
        <w:t xml:space="preserve">by </w:t>
      </w:r>
      <w:r w:rsidRPr="00F470B2">
        <w:rPr>
          <w:rFonts w:ascii="Arial" w:hAnsi="Arial" w:cs="Arial"/>
          <w:i/>
          <w:iCs/>
          <w:sz w:val="22"/>
          <w:szCs w:val="22"/>
        </w:rPr>
        <w:t>BRCA</w:t>
      </w:r>
      <w:proofErr w:type="gramStart"/>
      <w:r w:rsidRPr="00F470B2">
        <w:rPr>
          <w:rFonts w:ascii="Arial" w:hAnsi="Arial" w:cs="Arial"/>
          <w:i/>
          <w:iCs/>
          <w:sz w:val="22"/>
          <w:szCs w:val="22"/>
        </w:rPr>
        <w:t>2</w:t>
      </w:r>
      <w:r w:rsidRPr="00F470B2">
        <w:rPr>
          <w:rFonts w:ascii="Arial" w:hAnsi="Arial" w:cs="Arial"/>
          <w:sz w:val="22"/>
          <w:szCs w:val="22"/>
        </w:rPr>
        <w:t>:c.</w:t>
      </w:r>
      <w:proofErr w:type="gramEnd"/>
      <w:r w:rsidRPr="00F470B2">
        <w:rPr>
          <w:rFonts w:ascii="Arial" w:hAnsi="Arial" w:cs="Arial"/>
          <w:sz w:val="22"/>
          <w:szCs w:val="22"/>
        </w:rPr>
        <w:t>67G&gt;C</w:t>
      </w:r>
      <w:r>
        <w:rPr>
          <w:rFonts w:ascii="Arial" w:hAnsi="Arial" w:cs="Arial"/>
          <w:sz w:val="22"/>
          <w:szCs w:val="22"/>
        </w:rPr>
        <w:t>.</w:t>
      </w:r>
    </w:p>
    <w:p w14:paraId="53CCFD0F" w14:textId="2D732377" w:rsidR="007C5E41" w:rsidRDefault="000F6D53" w:rsidP="00615EB0">
      <w:pPr>
        <w:spacing w:line="480" w:lineRule="auto"/>
      </w:pPr>
      <w:r w:rsidRPr="00ED27AE">
        <w:rPr>
          <w:rFonts w:ascii="Arial" w:hAnsi="Arial" w:cs="Arial"/>
          <w:b/>
          <w:bCs/>
          <w:sz w:val="22"/>
          <w:szCs w:val="22"/>
        </w:rPr>
        <w:t>(A)</w:t>
      </w:r>
      <w:r w:rsidRPr="00F470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Predicted alterations </w:t>
      </w:r>
      <w:r w:rsidR="00ED27AE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 xml:space="preserve">splicing donor and acceptor signals by </w:t>
      </w:r>
      <w:proofErr w:type="spellStart"/>
      <w:r>
        <w:rPr>
          <w:rFonts w:ascii="Arial" w:hAnsi="Arial" w:cs="Arial"/>
          <w:sz w:val="22"/>
          <w:szCs w:val="22"/>
        </w:rPr>
        <w:t>SpliceAI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ED27AE">
        <w:rPr>
          <w:rFonts w:ascii="Arial" w:hAnsi="Arial" w:cs="Arial"/>
          <w:sz w:val="22"/>
          <w:szCs w:val="22"/>
        </w:rPr>
        <w:t>visualized in</w:t>
      </w:r>
      <w:r>
        <w:rPr>
          <w:rFonts w:ascii="Arial" w:hAnsi="Arial" w:cs="Arial"/>
          <w:sz w:val="22"/>
          <w:szCs w:val="22"/>
        </w:rPr>
        <w:t xml:space="preserve"> </w:t>
      </w:r>
      <w:r w:rsidR="00ED27AE">
        <w:rPr>
          <w:rFonts w:ascii="Arial" w:hAnsi="Arial" w:cs="Arial"/>
          <w:sz w:val="22"/>
          <w:szCs w:val="22"/>
        </w:rPr>
        <w:t xml:space="preserve">the Integrative Genomics Viewer. </w:t>
      </w:r>
      <w:r w:rsidR="0075660C" w:rsidRPr="00432D4C">
        <w:rPr>
          <w:rFonts w:ascii="Arial" w:hAnsi="Arial" w:cs="Arial"/>
          <w:i/>
          <w:iCs/>
          <w:sz w:val="22"/>
          <w:szCs w:val="22"/>
        </w:rPr>
        <w:t>BRCA2:</w:t>
      </w:r>
      <w:r w:rsidR="0075660C" w:rsidRPr="00432D4C">
        <w:rPr>
          <w:rFonts w:ascii="Arial" w:hAnsi="Arial" w:cs="Arial"/>
          <w:sz w:val="22"/>
          <w:szCs w:val="22"/>
        </w:rPr>
        <w:t>c.67G&gt;C (p.D23H, NM_000059.4)</w:t>
      </w:r>
      <w:r w:rsidR="0075660C" w:rsidRPr="00432D4C">
        <w:rPr>
          <w:rStyle w:val="Emphasis"/>
          <w:rFonts w:ascii="Arial" w:eastAsiaTheme="majorEastAsia" w:hAnsi="Arial" w:cs="Arial"/>
          <w:i w:val="0"/>
          <w:iCs w:val="0"/>
          <w:sz w:val="22"/>
          <w:szCs w:val="22"/>
        </w:rPr>
        <w:t xml:space="preserve"> </w:t>
      </w:r>
      <w:r w:rsidR="0075660C" w:rsidRPr="00432D4C">
        <w:rPr>
          <w:rFonts w:ascii="Arial" w:hAnsi="Arial" w:cs="Arial"/>
          <w:sz w:val="22"/>
          <w:szCs w:val="22"/>
        </w:rPr>
        <w:t>and pathogenic variants in the same position (c.67G&gt;A, c.67G&gt;T) were compared with the reference sequence.</w:t>
      </w:r>
      <w:r w:rsidR="0075660C" w:rsidRPr="00ED27AE">
        <w:rPr>
          <w:rFonts w:ascii="Arial" w:hAnsi="Arial" w:cs="Arial"/>
          <w:b/>
          <w:bCs/>
          <w:sz w:val="22"/>
          <w:szCs w:val="22"/>
        </w:rPr>
        <w:t xml:space="preserve"> </w:t>
      </w:r>
      <w:r w:rsidR="00ED27AE" w:rsidRPr="00ED27AE">
        <w:rPr>
          <w:rFonts w:ascii="Arial" w:hAnsi="Arial" w:cs="Arial"/>
          <w:b/>
          <w:bCs/>
          <w:sz w:val="22"/>
          <w:szCs w:val="22"/>
        </w:rPr>
        <w:t>(B)</w:t>
      </w:r>
      <w:r w:rsidR="00ED27AE">
        <w:rPr>
          <w:rFonts w:ascii="Arial" w:hAnsi="Arial" w:cs="Arial"/>
          <w:sz w:val="22"/>
          <w:szCs w:val="22"/>
        </w:rPr>
        <w:t xml:space="preserve"> Predicted alternative splicing and </w:t>
      </w:r>
      <w:r w:rsidRPr="00F470B2">
        <w:rPr>
          <w:rFonts w:ascii="Arial" w:hAnsi="Arial" w:cs="Arial"/>
          <w:sz w:val="22"/>
          <w:szCs w:val="22"/>
        </w:rPr>
        <w:t>primer design for RT-PCR</w:t>
      </w:r>
      <w:r w:rsidRPr="00F72E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70B2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ee </w:t>
      </w:r>
      <w:r>
        <w:rPr>
          <w:rFonts w:ascii="Arial" w:hAnsi="Arial" w:cs="Arial"/>
          <w:color w:val="000000"/>
          <w:sz w:val="22"/>
          <w:szCs w:val="22"/>
        </w:rPr>
        <w:t>also Supplementary Table</w:t>
      </w:r>
      <w:r w:rsidRPr="00F470B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S1</w:t>
      </w:r>
      <w:r w:rsidRPr="00F470B2">
        <w:rPr>
          <w:rFonts w:ascii="Arial" w:hAnsi="Arial" w:cs="Arial"/>
          <w:color w:val="000000"/>
          <w:sz w:val="22"/>
          <w:szCs w:val="22"/>
        </w:rPr>
        <w:t>)</w:t>
      </w:r>
      <w:r w:rsidR="00B84B67">
        <w:rPr>
          <w:rFonts w:ascii="Arial" w:hAnsi="Arial" w:cs="Arial"/>
          <w:color w:val="000000"/>
          <w:sz w:val="22"/>
          <w:szCs w:val="22"/>
        </w:rPr>
        <w:t>.</w:t>
      </w:r>
    </w:p>
    <w:sectPr w:rsidR="007C5E41" w:rsidSect="00D37264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7E18" w14:textId="77777777" w:rsidR="00B62170" w:rsidRDefault="00B62170" w:rsidP="009E13BB">
      <w:r>
        <w:separator/>
      </w:r>
    </w:p>
  </w:endnote>
  <w:endnote w:type="continuationSeparator" w:id="0">
    <w:p w14:paraId="57164DE2" w14:textId="77777777" w:rsidR="00B62170" w:rsidRDefault="00B62170" w:rsidP="009E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9E7E5" w14:textId="77777777" w:rsidR="00B62170" w:rsidRDefault="00B62170" w:rsidP="009E13BB">
      <w:r>
        <w:separator/>
      </w:r>
    </w:p>
  </w:footnote>
  <w:footnote w:type="continuationSeparator" w:id="0">
    <w:p w14:paraId="096CB700" w14:textId="77777777" w:rsidR="00B62170" w:rsidRDefault="00B62170" w:rsidP="009E1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E7"/>
    <w:rsid w:val="00025145"/>
    <w:rsid w:val="00057D7D"/>
    <w:rsid w:val="00064397"/>
    <w:rsid w:val="0007121E"/>
    <w:rsid w:val="00085265"/>
    <w:rsid w:val="000A17D9"/>
    <w:rsid w:val="000E3986"/>
    <w:rsid w:val="000F6D53"/>
    <w:rsid w:val="00114377"/>
    <w:rsid w:val="001520C1"/>
    <w:rsid w:val="001769A5"/>
    <w:rsid w:val="001A7C76"/>
    <w:rsid w:val="001D0BDD"/>
    <w:rsid w:val="001D48D1"/>
    <w:rsid w:val="002321F8"/>
    <w:rsid w:val="00263632"/>
    <w:rsid w:val="002714EE"/>
    <w:rsid w:val="00280C02"/>
    <w:rsid w:val="00282710"/>
    <w:rsid w:val="002A5383"/>
    <w:rsid w:val="002C6607"/>
    <w:rsid w:val="0032223E"/>
    <w:rsid w:val="003609EC"/>
    <w:rsid w:val="00367A24"/>
    <w:rsid w:val="003706B0"/>
    <w:rsid w:val="00384466"/>
    <w:rsid w:val="003C7B4C"/>
    <w:rsid w:val="003D66E3"/>
    <w:rsid w:val="003E5F98"/>
    <w:rsid w:val="003F56CF"/>
    <w:rsid w:val="00425A44"/>
    <w:rsid w:val="0043106D"/>
    <w:rsid w:val="00455D39"/>
    <w:rsid w:val="00474CB4"/>
    <w:rsid w:val="0048287C"/>
    <w:rsid w:val="00484250"/>
    <w:rsid w:val="004C74C1"/>
    <w:rsid w:val="004F32C7"/>
    <w:rsid w:val="00520E58"/>
    <w:rsid w:val="005279C2"/>
    <w:rsid w:val="00540057"/>
    <w:rsid w:val="00551437"/>
    <w:rsid w:val="00555362"/>
    <w:rsid w:val="00556934"/>
    <w:rsid w:val="0056514D"/>
    <w:rsid w:val="00577797"/>
    <w:rsid w:val="00597ED9"/>
    <w:rsid w:val="005A4ABA"/>
    <w:rsid w:val="005A7CAD"/>
    <w:rsid w:val="005C6A78"/>
    <w:rsid w:val="005D3CBC"/>
    <w:rsid w:val="00615EB0"/>
    <w:rsid w:val="00624581"/>
    <w:rsid w:val="006526DD"/>
    <w:rsid w:val="006C658E"/>
    <w:rsid w:val="006F083D"/>
    <w:rsid w:val="00741367"/>
    <w:rsid w:val="00741BE4"/>
    <w:rsid w:val="00755FAE"/>
    <w:rsid w:val="0075660C"/>
    <w:rsid w:val="0079573E"/>
    <w:rsid w:val="00797205"/>
    <w:rsid w:val="007B20B4"/>
    <w:rsid w:val="007B3385"/>
    <w:rsid w:val="007B6F16"/>
    <w:rsid w:val="007C5E41"/>
    <w:rsid w:val="007E3727"/>
    <w:rsid w:val="007F302F"/>
    <w:rsid w:val="008054D5"/>
    <w:rsid w:val="008175C2"/>
    <w:rsid w:val="0083438A"/>
    <w:rsid w:val="008343DF"/>
    <w:rsid w:val="00862EE3"/>
    <w:rsid w:val="00870A83"/>
    <w:rsid w:val="00880A29"/>
    <w:rsid w:val="0088778D"/>
    <w:rsid w:val="008D7B29"/>
    <w:rsid w:val="008E33AB"/>
    <w:rsid w:val="008E6AB1"/>
    <w:rsid w:val="008F022C"/>
    <w:rsid w:val="008F1DB9"/>
    <w:rsid w:val="008F62C8"/>
    <w:rsid w:val="00910BEC"/>
    <w:rsid w:val="0094064F"/>
    <w:rsid w:val="00952A9C"/>
    <w:rsid w:val="00960726"/>
    <w:rsid w:val="00993CEA"/>
    <w:rsid w:val="009B12AF"/>
    <w:rsid w:val="009B48B3"/>
    <w:rsid w:val="009B7FF8"/>
    <w:rsid w:val="009C3109"/>
    <w:rsid w:val="009C425E"/>
    <w:rsid w:val="009C7E32"/>
    <w:rsid w:val="009E13BB"/>
    <w:rsid w:val="00A147D4"/>
    <w:rsid w:val="00A4085B"/>
    <w:rsid w:val="00A67FD5"/>
    <w:rsid w:val="00A70029"/>
    <w:rsid w:val="00A71973"/>
    <w:rsid w:val="00A746E7"/>
    <w:rsid w:val="00A7554F"/>
    <w:rsid w:val="00AA16B2"/>
    <w:rsid w:val="00AB131D"/>
    <w:rsid w:val="00AD0B11"/>
    <w:rsid w:val="00AD58B3"/>
    <w:rsid w:val="00AD6E23"/>
    <w:rsid w:val="00B010FE"/>
    <w:rsid w:val="00B05CBA"/>
    <w:rsid w:val="00B16CFA"/>
    <w:rsid w:val="00B1712D"/>
    <w:rsid w:val="00B177DD"/>
    <w:rsid w:val="00B45824"/>
    <w:rsid w:val="00B62170"/>
    <w:rsid w:val="00B6746B"/>
    <w:rsid w:val="00B84B67"/>
    <w:rsid w:val="00BB5347"/>
    <w:rsid w:val="00BB7E0D"/>
    <w:rsid w:val="00BD6BF2"/>
    <w:rsid w:val="00BE59DE"/>
    <w:rsid w:val="00BF4FEF"/>
    <w:rsid w:val="00C06501"/>
    <w:rsid w:val="00C11EDB"/>
    <w:rsid w:val="00C13E17"/>
    <w:rsid w:val="00C724BE"/>
    <w:rsid w:val="00CE09D9"/>
    <w:rsid w:val="00CE75C4"/>
    <w:rsid w:val="00CE7E32"/>
    <w:rsid w:val="00CF35F0"/>
    <w:rsid w:val="00D27B09"/>
    <w:rsid w:val="00D37264"/>
    <w:rsid w:val="00D474F0"/>
    <w:rsid w:val="00D52377"/>
    <w:rsid w:val="00D57FE3"/>
    <w:rsid w:val="00D7538B"/>
    <w:rsid w:val="00D947AC"/>
    <w:rsid w:val="00DA71BE"/>
    <w:rsid w:val="00DD4209"/>
    <w:rsid w:val="00DD4F90"/>
    <w:rsid w:val="00DD6C57"/>
    <w:rsid w:val="00DF3D8B"/>
    <w:rsid w:val="00E0398A"/>
    <w:rsid w:val="00E11E45"/>
    <w:rsid w:val="00E35739"/>
    <w:rsid w:val="00E50547"/>
    <w:rsid w:val="00E50F64"/>
    <w:rsid w:val="00E62BFF"/>
    <w:rsid w:val="00E62F95"/>
    <w:rsid w:val="00E70476"/>
    <w:rsid w:val="00E8183E"/>
    <w:rsid w:val="00ED27AE"/>
    <w:rsid w:val="00F27295"/>
    <w:rsid w:val="00F37C52"/>
    <w:rsid w:val="00F41CD7"/>
    <w:rsid w:val="00F42B6B"/>
    <w:rsid w:val="00F545BA"/>
    <w:rsid w:val="00F55734"/>
    <w:rsid w:val="00F72ECB"/>
    <w:rsid w:val="00FA26A0"/>
    <w:rsid w:val="00FA6BE3"/>
    <w:rsid w:val="00FA76AA"/>
    <w:rsid w:val="00FD0338"/>
    <w:rsid w:val="00FD591A"/>
    <w:rsid w:val="00FE4309"/>
    <w:rsid w:val="00FE68EF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2E26C1"/>
  <w15:chartTrackingRefBased/>
  <w15:docId w15:val="{4DB40956-B02D-CC47-8F4D-BF30E307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6E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6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6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6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6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6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6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6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6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6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6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4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6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4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6E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4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6E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4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6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13B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E13BB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13B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E13BB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55536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4064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AA"/>
    <w:rPr>
      <w:rFonts w:asciiTheme="majorHAnsi" w:eastAsiaTheme="majorEastAsia" w:hAnsiTheme="majorHAnsi" w:cstheme="majorBid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hiroaki.niitsu0310@gmail.com</dc:creator>
  <cp:keywords/>
  <dc:description/>
  <cp:lastModifiedBy>hiroaki.niitsu0310@gmail.com</cp:lastModifiedBy>
  <cp:revision>7</cp:revision>
  <cp:lastPrinted>2025-12-12T05:09:00Z</cp:lastPrinted>
  <dcterms:created xsi:type="dcterms:W3CDTF">2025-12-12T04:06:00Z</dcterms:created>
  <dcterms:modified xsi:type="dcterms:W3CDTF">2025-12-13T08:11:00Z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44d5df33-0fae-4587-b029-738391d2ed5c</vt:lpwstr>
  </property>
</Properties>
</file>