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6C840" w14:textId="757C27FC" w:rsidR="005E4F36" w:rsidRPr="005E6F25" w:rsidRDefault="005E4F36" w:rsidP="005E4F36">
      <w:pPr>
        <w:spacing w:after="0" w:line="480" w:lineRule="auto"/>
        <w:jc w:val="both"/>
        <w:rPr>
          <w:sz w:val="24"/>
          <w:szCs w:val="24"/>
        </w:rPr>
      </w:pPr>
      <w:r w:rsidRPr="000B2DF8">
        <w:rPr>
          <w:b/>
          <w:sz w:val="24"/>
          <w:szCs w:val="24"/>
        </w:rPr>
        <w:t>Supplement</w:t>
      </w:r>
      <w:r w:rsidR="00A51482">
        <w:rPr>
          <w:b/>
          <w:sz w:val="24"/>
          <w:szCs w:val="24"/>
        </w:rPr>
        <w:t>ary</w:t>
      </w:r>
      <w:bookmarkStart w:id="0" w:name="_GoBack"/>
      <w:bookmarkEnd w:id="0"/>
      <w:r w:rsidRPr="000B2DF8">
        <w:rPr>
          <w:b/>
          <w:sz w:val="24"/>
          <w:szCs w:val="24"/>
        </w:rPr>
        <w:t xml:space="preserve"> figure 1.</w:t>
      </w:r>
      <w:r w:rsidRPr="000B2DF8">
        <w:rPr>
          <w:sz w:val="24"/>
          <w:szCs w:val="24"/>
        </w:rPr>
        <w:t xml:space="preserve"> Prevalence of the retreatment criteria IRF, SRF, and VA loss &gt;5 ETDRS letters since best VA at injection visits (N=336 injection visits with a record of OCT biomarkers</w:t>
      </w:r>
      <w:r w:rsidR="004F00AF">
        <w:rPr>
          <w:sz w:val="24"/>
          <w:szCs w:val="24"/>
        </w:rPr>
        <w:t xml:space="preserve"> of lesion activity). VA loss &gt;</w:t>
      </w:r>
      <w:r w:rsidRPr="000B2DF8">
        <w:rPr>
          <w:sz w:val="24"/>
          <w:szCs w:val="24"/>
        </w:rPr>
        <w:t>5 ETDRS</w:t>
      </w:r>
      <w:r w:rsidR="00722A5C">
        <w:rPr>
          <w:sz w:val="24"/>
          <w:szCs w:val="24"/>
        </w:rPr>
        <w:t xml:space="preserve"> letters since last VA only was </w:t>
      </w:r>
      <w:r w:rsidRPr="000B2DF8">
        <w:rPr>
          <w:sz w:val="24"/>
          <w:szCs w:val="24"/>
        </w:rPr>
        <w:t>observed at 134/336 visits (40.0%); IRF only at 25/336 visits (7.4%); and SRF only at 38/336 visits (11.3%). VA loss was observed in combination with IRF and/or SRF at 130/336 injection visits (38.7%). At 9/336 visits (2.7%), SRF and IRF was detected without any VA loss. ETDRS, Early Treatment Diabetic Retinopathy Study; IRF, intraretinal fluid; OCT, optical coherence tomography; SRF, subretinal fluid; VA, visual acuity.</w:t>
      </w:r>
    </w:p>
    <w:p w14:paraId="56ED1065" w14:textId="77777777" w:rsidR="00FF5FC9" w:rsidRPr="00F31F85" w:rsidRDefault="005E4F36">
      <w:r>
        <w:rPr>
          <w:noProof/>
          <w:lang w:val="en-US"/>
        </w:rPr>
        <w:drawing>
          <wp:inline distT="0" distB="0" distL="0" distR="0" wp14:anchorId="5F9AE807" wp14:editId="54C43F9D">
            <wp:extent cx="5486400" cy="53583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58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5FC9" w:rsidRPr="00F31F8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91A3B" w14:textId="77777777" w:rsidR="00572358" w:rsidRDefault="00572358" w:rsidP="00572358">
      <w:pPr>
        <w:spacing w:after="0" w:line="240" w:lineRule="auto"/>
      </w:pPr>
      <w:r>
        <w:separator/>
      </w:r>
    </w:p>
  </w:endnote>
  <w:endnote w:type="continuationSeparator" w:id="0">
    <w:p w14:paraId="17EAC6E7" w14:textId="77777777" w:rsidR="00572358" w:rsidRDefault="00572358" w:rsidP="0057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6A039" w14:textId="77777777" w:rsidR="00572358" w:rsidRDefault="00572358" w:rsidP="00572358">
      <w:pPr>
        <w:spacing w:after="0" w:line="240" w:lineRule="auto"/>
      </w:pPr>
      <w:r>
        <w:separator/>
      </w:r>
    </w:p>
  </w:footnote>
  <w:footnote w:type="continuationSeparator" w:id="0">
    <w:p w14:paraId="28E4CA99" w14:textId="77777777" w:rsidR="00572358" w:rsidRDefault="00572358" w:rsidP="0057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A8EB9" w14:textId="0B7929E3" w:rsidR="00572358" w:rsidRDefault="00572358" w:rsidP="00572358">
    <w:pPr>
      <w:pStyle w:val="Header"/>
      <w:tabs>
        <w:tab w:val="clear" w:pos="4680"/>
        <w:tab w:val="center" w:pos="5387"/>
      </w:tabs>
    </w:pPr>
    <w:r>
      <w:t>Visual acuity, macular fluid and retreatment...</w:t>
    </w:r>
    <w:r>
      <w:tab/>
    </w:r>
    <w:r>
      <w:tab/>
    </w:r>
  </w:p>
  <w:p w14:paraId="6A3DC911" w14:textId="77777777" w:rsidR="00572358" w:rsidRDefault="005723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36"/>
    <w:rsid w:val="002D6CF3"/>
    <w:rsid w:val="004D0E76"/>
    <w:rsid w:val="004F00AF"/>
    <w:rsid w:val="00572358"/>
    <w:rsid w:val="005E4F36"/>
    <w:rsid w:val="00722A5C"/>
    <w:rsid w:val="00A51482"/>
    <w:rsid w:val="00F31F85"/>
    <w:rsid w:val="00F90102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D358"/>
  <w15:chartTrackingRefBased/>
  <w15:docId w15:val="{8E8CA624-EE90-4C0F-8ECB-AEDCB758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35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2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35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78C97D14DDD439EF9F11EAC075A9B" ma:contentTypeVersion="8" ma:contentTypeDescription="Create a new document." ma:contentTypeScope="" ma:versionID="6ff23ba8a99a5bdac83cbd91d805eb9e">
  <xsd:schema xmlns:xsd="http://www.w3.org/2001/XMLSchema" xmlns:xs="http://www.w3.org/2001/XMLSchema" xmlns:p="http://schemas.microsoft.com/office/2006/metadata/properties" xmlns:ns3="bcf5b7bd-e568-4bf9-ba88-b3a6006f0481" targetNamespace="http://schemas.microsoft.com/office/2006/metadata/properties" ma:root="true" ma:fieldsID="3de4954cde7badeb2908d24350849baf" ns3:_="">
    <xsd:import namespace="bcf5b7bd-e568-4bf9-ba88-b3a6006f04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5b7bd-e568-4bf9-ba88-b3a6006f0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DCD53-2355-44C5-A9E7-DC5362E6032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bcf5b7bd-e568-4bf9-ba88-b3a6006f048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B65F7C3-CFB6-4CB3-AC62-0697E9F5B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5b7bd-e568-4bf9-ba88-b3a6006f0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409A3-2E11-477C-BA12-38780B0CF9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Amisten, Stefan (Ext)</dc:creator>
  <cp:keywords/>
  <dc:description/>
  <cp:lastModifiedBy>Amisten, Stefan (Ext)</cp:lastModifiedBy>
  <cp:revision>6</cp:revision>
  <dcterms:created xsi:type="dcterms:W3CDTF">2019-12-02T16:59:00Z</dcterms:created>
  <dcterms:modified xsi:type="dcterms:W3CDTF">2019-12-13T13:53:00Z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0x01010083678C97D14DDD439EF9F11EAC075A9B</vt:lpwstr>
  </property>
</Properties>
</file>