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4EBDC" w14:textId="1802381D" w:rsidR="00D9782F" w:rsidRDefault="001962BC" w:rsidP="00A51E9B">
      <w:r>
        <w:t>Supplementary</w:t>
      </w:r>
      <w:r w:rsidR="005C1CEB">
        <w:t xml:space="preserve"> </w:t>
      </w:r>
      <w:r w:rsidR="00067F75">
        <w:t xml:space="preserve">Table </w:t>
      </w:r>
      <w:r>
        <w:t>2</w:t>
      </w:r>
      <w:r w:rsidR="00E256D1" w:rsidRPr="00E256D1">
        <w:t xml:space="preserve">. </w:t>
      </w:r>
      <w:r w:rsidR="0027070D">
        <w:t>Local</w:t>
      </w:r>
      <w:r w:rsidR="00F643E4">
        <w:t xml:space="preserve"> standard of care protocol IVT-AFL treatment intent at DRAKO study initiation</w:t>
      </w:r>
      <w:r w:rsidR="0027070D">
        <w:t xml:space="preserve"> in descending order based on SmPC compliance</w:t>
      </w:r>
      <w:r w:rsidR="00A51E9B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8"/>
        <w:gridCol w:w="6714"/>
        <w:gridCol w:w="2835"/>
        <w:gridCol w:w="3260"/>
      </w:tblGrid>
      <w:tr w:rsidR="008D658D" w14:paraId="6360DBE7" w14:textId="67DFE893" w:rsidTr="008D658D">
        <w:tc>
          <w:tcPr>
            <w:tcW w:w="1078" w:type="dxa"/>
            <w:shd w:val="clear" w:color="auto" w:fill="D9D9D9" w:themeFill="background1" w:themeFillShade="D9"/>
            <w:vAlign w:val="center"/>
          </w:tcPr>
          <w:p w14:paraId="7A320A84" w14:textId="19271CA4" w:rsidR="008D658D" w:rsidRPr="00C738CA" w:rsidRDefault="008D658D" w:rsidP="008D65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Number of </w:t>
            </w:r>
            <w:r w:rsidR="001C0260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ifferent </w:t>
            </w:r>
            <w:r w:rsidR="001C0260">
              <w:rPr>
                <w:b/>
                <w:bCs/>
              </w:rPr>
              <w:t>p</w:t>
            </w:r>
            <w:r>
              <w:rPr>
                <w:b/>
                <w:bCs/>
              </w:rPr>
              <w:t>rotocols</w:t>
            </w:r>
          </w:p>
        </w:tc>
        <w:tc>
          <w:tcPr>
            <w:tcW w:w="6714" w:type="dxa"/>
            <w:shd w:val="clear" w:color="auto" w:fill="D9D9D9" w:themeFill="background1" w:themeFillShade="D9"/>
            <w:vAlign w:val="center"/>
          </w:tcPr>
          <w:p w14:paraId="37EC197F" w14:textId="313A634C" w:rsidR="008D658D" w:rsidRPr="00C738CA" w:rsidRDefault="008D658D" w:rsidP="00C738CA">
            <w:pPr>
              <w:jc w:val="center"/>
              <w:rPr>
                <w:b/>
                <w:bCs/>
              </w:rPr>
            </w:pPr>
            <w:r w:rsidRPr="00C738CA">
              <w:rPr>
                <w:b/>
                <w:bCs/>
              </w:rPr>
              <w:t xml:space="preserve">Local </w:t>
            </w:r>
            <w:r w:rsidR="001C0260">
              <w:rPr>
                <w:b/>
                <w:bCs/>
              </w:rPr>
              <w:t>s</w:t>
            </w:r>
            <w:r w:rsidRPr="00C738CA">
              <w:rPr>
                <w:b/>
                <w:bCs/>
              </w:rPr>
              <w:t xml:space="preserve">tandard of </w:t>
            </w:r>
            <w:r w:rsidR="001C0260">
              <w:rPr>
                <w:b/>
                <w:bCs/>
              </w:rPr>
              <w:t>c</w:t>
            </w:r>
            <w:r w:rsidRPr="00C738CA">
              <w:rPr>
                <w:b/>
                <w:bCs/>
              </w:rPr>
              <w:t xml:space="preserve">are </w:t>
            </w:r>
            <w:r w:rsidR="001C0260">
              <w:rPr>
                <w:b/>
                <w:bCs/>
              </w:rPr>
              <w:t>p</w:t>
            </w:r>
            <w:r w:rsidRPr="00C738CA">
              <w:rPr>
                <w:b/>
                <w:bCs/>
              </w:rPr>
              <w:t>rotocol for IVT-AFL treatment of DMO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60D2D77" w14:textId="23047F23" w:rsidR="008D658D" w:rsidRPr="00C738CA" w:rsidRDefault="008D658D" w:rsidP="00C738CA">
            <w:pPr>
              <w:jc w:val="center"/>
              <w:rPr>
                <w:b/>
                <w:bCs/>
              </w:rPr>
            </w:pPr>
            <w:r w:rsidRPr="00C738CA">
              <w:rPr>
                <w:b/>
                <w:bCs/>
              </w:rPr>
              <w:t xml:space="preserve">Sites adhering to </w:t>
            </w:r>
            <w:r>
              <w:rPr>
                <w:b/>
                <w:bCs/>
              </w:rPr>
              <w:t>each</w:t>
            </w:r>
            <w:r w:rsidRPr="00C738CA">
              <w:rPr>
                <w:b/>
                <w:bCs/>
              </w:rPr>
              <w:t xml:space="preserve"> </w:t>
            </w:r>
            <w:r w:rsidR="001C0260">
              <w:rPr>
                <w:b/>
                <w:bCs/>
              </w:rPr>
              <w:t xml:space="preserve">local </w:t>
            </w:r>
            <w:r w:rsidRPr="00C738CA">
              <w:rPr>
                <w:b/>
                <w:bCs/>
              </w:rPr>
              <w:t>standard of care</w:t>
            </w:r>
            <w:r>
              <w:rPr>
                <w:b/>
                <w:bCs/>
              </w:rPr>
              <w:t xml:space="preserve"> protocol</w:t>
            </w:r>
          </w:p>
          <w:p w14:paraId="779AE8D0" w14:textId="63A2BF08" w:rsidR="008D658D" w:rsidRPr="00C738CA" w:rsidRDefault="008D658D" w:rsidP="00C738CA">
            <w:pPr>
              <w:jc w:val="center"/>
              <w:rPr>
                <w:b/>
                <w:bCs/>
              </w:rPr>
            </w:pPr>
            <w:r w:rsidRPr="00C738CA">
              <w:rPr>
                <w:b/>
                <w:bCs/>
              </w:rPr>
              <w:t>n (%)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0CE25EF0" w14:textId="2BB84F33" w:rsidR="008D658D" w:rsidRPr="00C738CA" w:rsidRDefault="008D658D" w:rsidP="00C738CA">
            <w:pPr>
              <w:jc w:val="center"/>
              <w:rPr>
                <w:b/>
                <w:bCs/>
              </w:rPr>
            </w:pPr>
            <w:r w:rsidRPr="00C738CA">
              <w:rPr>
                <w:b/>
                <w:bCs/>
              </w:rPr>
              <w:t xml:space="preserve">Total number of </w:t>
            </w:r>
            <w:r>
              <w:rPr>
                <w:b/>
                <w:bCs/>
              </w:rPr>
              <w:t xml:space="preserve">PPW </w:t>
            </w:r>
            <w:r w:rsidRPr="00C738CA">
              <w:rPr>
                <w:b/>
                <w:bCs/>
              </w:rPr>
              <w:t xml:space="preserve">patients enrolled </w:t>
            </w:r>
            <w:r>
              <w:rPr>
                <w:b/>
                <w:bCs/>
              </w:rPr>
              <w:t xml:space="preserve">by centres </w:t>
            </w:r>
            <w:r w:rsidRPr="00C738CA">
              <w:rPr>
                <w:b/>
                <w:bCs/>
              </w:rPr>
              <w:t>based on defined treatment intent</w:t>
            </w:r>
          </w:p>
        </w:tc>
      </w:tr>
      <w:tr w:rsidR="008D658D" w14:paraId="72D140FC" w14:textId="1A95F1AE" w:rsidTr="008D658D">
        <w:tc>
          <w:tcPr>
            <w:tcW w:w="1078" w:type="dxa"/>
          </w:tcPr>
          <w:p w14:paraId="28D39AD5" w14:textId="517C09CA" w:rsidR="008D658D" w:rsidRDefault="008D658D" w:rsidP="008716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6714" w:type="dxa"/>
            <w:vAlign w:val="bottom"/>
          </w:tcPr>
          <w:p w14:paraId="15E10809" w14:textId="6CCA52B3" w:rsidR="008D658D" w:rsidRDefault="008D658D" w:rsidP="00C738CA">
            <w:r>
              <w:rPr>
                <w:rFonts w:ascii="Calibri" w:hAnsi="Calibri" w:cs="Calibri"/>
                <w:color w:val="000000"/>
              </w:rPr>
              <w:t>SmPC compliant – 5 monthly injections, then bimonthly injections in year 1</w:t>
            </w:r>
          </w:p>
        </w:tc>
        <w:tc>
          <w:tcPr>
            <w:tcW w:w="2835" w:type="dxa"/>
            <w:vAlign w:val="center"/>
          </w:tcPr>
          <w:p w14:paraId="74FDEFF2" w14:textId="40ECAF75" w:rsidR="008D658D" w:rsidRDefault="008D658D" w:rsidP="00C738C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21 (60.0)</w:t>
            </w:r>
          </w:p>
        </w:tc>
        <w:tc>
          <w:tcPr>
            <w:tcW w:w="3260" w:type="dxa"/>
            <w:vAlign w:val="center"/>
          </w:tcPr>
          <w:p w14:paraId="4CEB1D56" w14:textId="354C664F" w:rsidR="008D658D" w:rsidRDefault="008D658D" w:rsidP="00C738C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211</w:t>
            </w:r>
          </w:p>
        </w:tc>
      </w:tr>
      <w:tr w:rsidR="008D658D" w14:paraId="6A9B9C73" w14:textId="1BD81225" w:rsidTr="008D658D">
        <w:tc>
          <w:tcPr>
            <w:tcW w:w="1078" w:type="dxa"/>
          </w:tcPr>
          <w:p w14:paraId="4C4A3291" w14:textId="1E906845" w:rsidR="008D658D" w:rsidRDefault="008D658D" w:rsidP="008716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714" w:type="dxa"/>
            <w:vAlign w:val="bottom"/>
          </w:tcPr>
          <w:p w14:paraId="1963F23E" w14:textId="58E7B651" w:rsidR="008D658D" w:rsidRDefault="008D658D" w:rsidP="00C738CA">
            <w:r>
              <w:rPr>
                <w:rFonts w:ascii="Calibri" w:hAnsi="Calibri" w:cs="Calibri"/>
                <w:color w:val="000000"/>
              </w:rPr>
              <w:t>5 monthly injections, PRN</w:t>
            </w:r>
          </w:p>
        </w:tc>
        <w:tc>
          <w:tcPr>
            <w:tcW w:w="2835" w:type="dxa"/>
            <w:vAlign w:val="center"/>
          </w:tcPr>
          <w:p w14:paraId="2A50E42E" w14:textId="3FB091FB" w:rsidR="008D658D" w:rsidRDefault="008D658D" w:rsidP="00C738C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 (5.7)</w:t>
            </w:r>
          </w:p>
        </w:tc>
        <w:tc>
          <w:tcPr>
            <w:tcW w:w="3260" w:type="dxa"/>
            <w:vAlign w:val="center"/>
          </w:tcPr>
          <w:p w14:paraId="7C4E8044" w14:textId="4EFDC38F" w:rsidR="008D658D" w:rsidRDefault="008D658D" w:rsidP="00C738C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</w:tr>
      <w:tr w:rsidR="008D658D" w14:paraId="5E9ED5A9" w14:textId="7981082C" w:rsidTr="008D658D">
        <w:tc>
          <w:tcPr>
            <w:tcW w:w="1078" w:type="dxa"/>
          </w:tcPr>
          <w:p w14:paraId="156BCD43" w14:textId="24FCE966" w:rsidR="008D658D" w:rsidRDefault="008D658D" w:rsidP="008716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714" w:type="dxa"/>
            <w:vAlign w:val="bottom"/>
          </w:tcPr>
          <w:p w14:paraId="31C13516" w14:textId="5582C927" w:rsidR="008D658D" w:rsidRDefault="008D658D" w:rsidP="00C738CA">
            <w:r>
              <w:rPr>
                <w:rFonts w:ascii="Calibri" w:hAnsi="Calibri" w:cs="Calibri"/>
                <w:color w:val="000000"/>
              </w:rPr>
              <w:t>5 monthly injections, then treat and extend</w:t>
            </w:r>
          </w:p>
        </w:tc>
        <w:tc>
          <w:tcPr>
            <w:tcW w:w="2835" w:type="dxa"/>
            <w:vAlign w:val="center"/>
          </w:tcPr>
          <w:p w14:paraId="5C1E4F27" w14:textId="4944CF40" w:rsidR="008D658D" w:rsidRDefault="008D658D" w:rsidP="00C738C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 (5.7)</w:t>
            </w:r>
          </w:p>
        </w:tc>
        <w:tc>
          <w:tcPr>
            <w:tcW w:w="3260" w:type="dxa"/>
            <w:vAlign w:val="center"/>
          </w:tcPr>
          <w:p w14:paraId="11CF73EC" w14:textId="78441D23" w:rsidR="008D658D" w:rsidRDefault="008D658D" w:rsidP="00C738C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</w:tr>
      <w:tr w:rsidR="008D658D" w14:paraId="12CA8B8C" w14:textId="7B38C056" w:rsidTr="008D658D">
        <w:tc>
          <w:tcPr>
            <w:tcW w:w="1078" w:type="dxa"/>
          </w:tcPr>
          <w:p w14:paraId="31B290F9" w14:textId="1592A8BA" w:rsidR="008D658D" w:rsidRDefault="008D658D" w:rsidP="008716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714" w:type="dxa"/>
            <w:vAlign w:val="bottom"/>
          </w:tcPr>
          <w:p w14:paraId="207A91F4" w14:textId="63AE52FD" w:rsidR="008D658D" w:rsidRDefault="008D658D" w:rsidP="002707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 monthly injections, then if dry patients are monitored, if still wet additional 3 monthly injection.  If dry but becomes wet, three 2 monthly injections</w:t>
            </w:r>
          </w:p>
        </w:tc>
        <w:tc>
          <w:tcPr>
            <w:tcW w:w="2835" w:type="dxa"/>
            <w:vAlign w:val="center"/>
          </w:tcPr>
          <w:p w14:paraId="193DFAA3" w14:textId="5973E274" w:rsidR="008D658D" w:rsidRDefault="008D658D" w:rsidP="002707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(2.9)</w:t>
            </w:r>
          </w:p>
        </w:tc>
        <w:tc>
          <w:tcPr>
            <w:tcW w:w="3260" w:type="dxa"/>
            <w:vAlign w:val="center"/>
          </w:tcPr>
          <w:p w14:paraId="79C4ED25" w14:textId="4DC35A66" w:rsidR="008D658D" w:rsidRDefault="008D658D" w:rsidP="002707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8D658D" w14:paraId="17BE3F73" w14:textId="2F698AE4" w:rsidTr="008D658D">
        <w:tc>
          <w:tcPr>
            <w:tcW w:w="1078" w:type="dxa"/>
          </w:tcPr>
          <w:p w14:paraId="35C061EC" w14:textId="365FA3AA" w:rsidR="008D658D" w:rsidRDefault="008D658D" w:rsidP="008716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6714" w:type="dxa"/>
            <w:vAlign w:val="bottom"/>
          </w:tcPr>
          <w:p w14:paraId="1BCD7EBA" w14:textId="2A706ADD" w:rsidR="008D658D" w:rsidRDefault="008D658D" w:rsidP="002707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 monthly injections, followed by adjuvant focal laser, if appropriate or bi-monthly injection up to month 12, if good response to initial dosing</w:t>
            </w:r>
          </w:p>
        </w:tc>
        <w:tc>
          <w:tcPr>
            <w:tcW w:w="2835" w:type="dxa"/>
            <w:vAlign w:val="center"/>
          </w:tcPr>
          <w:p w14:paraId="35836D81" w14:textId="6FBF6A4A" w:rsidR="008D658D" w:rsidRDefault="008D658D" w:rsidP="002707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(2.9)</w:t>
            </w:r>
          </w:p>
        </w:tc>
        <w:tc>
          <w:tcPr>
            <w:tcW w:w="3260" w:type="dxa"/>
            <w:vAlign w:val="center"/>
          </w:tcPr>
          <w:p w14:paraId="0E0CAFBB" w14:textId="00565967" w:rsidR="008D658D" w:rsidRDefault="008D658D" w:rsidP="0027070D">
            <w:pPr>
              <w:jc w:val="center"/>
              <w:rPr>
                <w:rFonts w:ascii="Calibri" w:hAnsi="Calibri" w:cs="Calibri"/>
                <w:color w:val="000000"/>
              </w:rPr>
            </w:pPr>
            <w:r w:rsidRPr="008D658D">
              <w:rPr>
                <w:rFonts w:ascii="Calibri" w:hAnsi="Calibri" w:cs="Calibri"/>
                <w:color w:val="000000"/>
              </w:rPr>
              <w:t>25</w:t>
            </w:r>
          </w:p>
        </w:tc>
      </w:tr>
      <w:tr w:rsidR="008D658D" w14:paraId="306FEDE5" w14:textId="0E6778C2" w:rsidTr="008D658D">
        <w:tc>
          <w:tcPr>
            <w:tcW w:w="1078" w:type="dxa"/>
          </w:tcPr>
          <w:p w14:paraId="3F267551" w14:textId="0E167E2A" w:rsidR="008D658D" w:rsidRDefault="008D658D" w:rsidP="008716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6714" w:type="dxa"/>
            <w:vAlign w:val="bottom"/>
          </w:tcPr>
          <w:p w14:paraId="4BE5B4CD" w14:textId="30797912" w:rsidR="008D658D" w:rsidRDefault="008D658D" w:rsidP="002707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3-5 monthly injections, then follow SmPC guidelines</w:t>
            </w:r>
          </w:p>
        </w:tc>
        <w:tc>
          <w:tcPr>
            <w:tcW w:w="2835" w:type="dxa"/>
            <w:vAlign w:val="center"/>
          </w:tcPr>
          <w:p w14:paraId="4655FA48" w14:textId="48FADDD0" w:rsidR="008D658D" w:rsidRDefault="008D658D" w:rsidP="002707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(2.9)</w:t>
            </w:r>
          </w:p>
        </w:tc>
        <w:tc>
          <w:tcPr>
            <w:tcW w:w="3260" w:type="dxa"/>
            <w:vAlign w:val="center"/>
          </w:tcPr>
          <w:p w14:paraId="6B6F85E1" w14:textId="5B1C3E4A" w:rsidR="008D658D" w:rsidRDefault="008D658D" w:rsidP="002707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8D658D" w14:paraId="03E94FB9" w14:textId="65D8FDAD" w:rsidTr="008D658D">
        <w:tc>
          <w:tcPr>
            <w:tcW w:w="1078" w:type="dxa"/>
          </w:tcPr>
          <w:p w14:paraId="6AAB26A3" w14:textId="0FF2B6BA" w:rsidR="008D658D" w:rsidRDefault="008D658D" w:rsidP="008716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6714" w:type="dxa"/>
            <w:vAlign w:val="bottom"/>
          </w:tcPr>
          <w:p w14:paraId="32AF079C" w14:textId="416F6CBB" w:rsidR="008D658D" w:rsidRDefault="008D658D" w:rsidP="002707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Monthly injections, if stable then treat and extend</w:t>
            </w:r>
          </w:p>
        </w:tc>
        <w:tc>
          <w:tcPr>
            <w:tcW w:w="2835" w:type="dxa"/>
            <w:vAlign w:val="center"/>
          </w:tcPr>
          <w:p w14:paraId="7FC3B3C0" w14:textId="7968A6DF" w:rsidR="008D658D" w:rsidRDefault="008D658D" w:rsidP="002707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(2.9)</w:t>
            </w:r>
          </w:p>
        </w:tc>
        <w:tc>
          <w:tcPr>
            <w:tcW w:w="3260" w:type="dxa"/>
            <w:vAlign w:val="center"/>
          </w:tcPr>
          <w:p w14:paraId="11D3C2EA" w14:textId="3ED6C44E" w:rsidR="008D658D" w:rsidRDefault="008D658D" w:rsidP="002707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8D658D" w14:paraId="0F5A10D8" w14:textId="282D3493" w:rsidTr="008D658D">
        <w:tc>
          <w:tcPr>
            <w:tcW w:w="1078" w:type="dxa"/>
          </w:tcPr>
          <w:p w14:paraId="764A837A" w14:textId="6D58AA26" w:rsidR="008D658D" w:rsidRDefault="008D658D" w:rsidP="008716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6714" w:type="dxa"/>
            <w:vAlign w:val="bottom"/>
          </w:tcPr>
          <w:p w14:paraId="14CF786B" w14:textId="42F619D9" w:rsidR="008D658D" w:rsidRDefault="008D658D" w:rsidP="002707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 consecutive monthly doses then PRN</w:t>
            </w:r>
          </w:p>
        </w:tc>
        <w:tc>
          <w:tcPr>
            <w:tcW w:w="2835" w:type="dxa"/>
            <w:vAlign w:val="center"/>
          </w:tcPr>
          <w:p w14:paraId="764B5671" w14:textId="378DC58B" w:rsidR="008D658D" w:rsidRDefault="008D658D" w:rsidP="002707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(2.9)</w:t>
            </w:r>
          </w:p>
        </w:tc>
        <w:tc>
          <w:tcPr>
            <w:tcW w:w="3260" w:type="dxa"/>
            <w:vAlign w:val="center"/>
          </w:tcPr>
          <w:p w14:paraId="43402862" w14:textId="54E031B2" w:rsidR="008D658D" w:rsidRDefault="008D658D" w:rsidP="002707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8D658D" w14:paraId="6865E321" w14:textId="77777777" w:rsidTr="008D658D">
        <w:tc>
          <w:tcPr>
            <w:tcW w:w="1078" w:type="dxa"/>
          </w:tcPr>
          <w:p w14:paraId="74EEF7A1" w14:textId="6B799035" w:rsidR="008D658D" w:rsidRDefault="008D658D" w:rsidP="008D658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6714" w:type="dxa"/>
            <w:vAlign w:val="bottom"/>
          </w:tcPr>
          <w:p w14:paraId="0E9ECD3C" w14:textId="752B3B2D" w:rsidR="008D658D" w:rsidRDefault="008D658D" w:rsidP="008D658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 monthly injections then PRN</w:t>
            </w:r>
          </w:p>
        </w:tc>
        <w:tc>
          <w:tcPr>
            <w:tcW w:w="2835" w:type="dxa"/>
            <w:vAlign w:val="center"/>
          </w:tcPr>
          <w:p w14:paraId="7D342014" w14:textId="168A17A3" w:rsidR="008D658D" w:rsidRDefault="008D658D" w:rsidP="008D658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 (8.6)</w:t>
            </w:r>
          </w:p>
        </w:tc>
        <w:tc>
          <w:tcPr>
            <w:tcW w:w="3260" w:type="dxa"/>
            <w:vAlign w:val="center"/>
          </w:tcPr>
          <w:p w14:paraId="53BFA2B0" w14:textId="4AB981D6" w:rsidR="008D658D" w:rsidRDefault="008D658D" w:rsidP="008D658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8D658D" w14:paraId="36B19A04" w14:textId="77777777" w:rsidTr="008D658D">
        <w:tc>
          <w:tcPr>
            <w:tcW w:w="1078" w:type="dxa"/>
          </w:tcPr>
          <w:p w14:paraId="6B7CC37C" w14:textId="319E3E9C" w:rsidR="008D658D" w:rsidRDefault="008D658D" w:rsidP="008D658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6714" w:type="dxa"/>
            <w:vAlign w:val="bottom"/>
          </w:tcPr>
          <w:p w14:paraId="2C646176" w14:textId="3BBE5A68" w:rsidR="008D658D" w:rsidRDefault="008D658D" w:rsidP="008D658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 monthly injection given based on baseline VA of 6/12 or worse.  Review and repeat as required.</w:t>
            </w:r>
          </w:p>
        </w:tc>
        <w:tc>
          <w:tcPr>
            <w:tcW w:w="2835" w:type="dxa"/>
            <w:vAlign w:val="center"/>
          </w:tcPr>
          <w:p w14:paraId="21FBB79F" w14:textId="109F1CD4" w:rsidR="008D658D" w:rsidRDefault="008D658D" w:rsidP="008D658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(2.9)</w:t>
            </w:r>
          </w:p>
        </w:tc>
        <w:tc>
          <w:tcPr>
            <w:tcW w:w="3260" w:type="dxa"/>
            <w:vAlign w:val="center"/>
          </w:tcPr>
          <w:p w14:paraId="50C01ABD" w14:textId="4321AAB6" w:rsidR="008D658D" w:rsidRDefault="008D658D" w:rsidP="008D658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</w:tr>
      <w:tr w:rsidR="008D658D" w14:paraId="5B2412AC" w14:textId="5921032E" w:rsidTr="008D658D">
        <w:tc>
          <w:tcPr>
            <w:tcW w:w="1078" w:type="dxa"/>
          </w:tcPr>
          <w:p w14:paraId="3B0CA1ED" w14:textId="1ED4BC2B" w:rsidR="008D658D" w:rsidRDefault="008D658D" w:rsidP="008D658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6714" w:type="dxa"/>
            <w:vAlign w:val="bottom"/>
          </w:tcPr>
          <w:p w14:paraId="3B423F78" w14:textId="23A2E3DF" w:rsidR="008D658D" w:rsidRDefault="008D658D" w:rsidP="008D658D">
            <w:r>
              <w:rPr>
                <w:rFonts w:ascii="Calibri" w:hAnsi="Calibri" w:cs="Calibri"/>
                <w:color w:val="000000"/>
              </w:rPr>
              <w:t>3 monthly injections, then assessment in nurse led clinic including further 3 monthly injections. After 6 injections patient followed-up in a doctor led clinic.</w:t>
            </w:r>
          </w:p>
        </w:tc>
        <w:tc>
          <w:tcPr>
            <w:tcW w:w="2835" w:type="dxa"/>
            <w:vAlign w:val="center"/>
          </w:tcPr>
          <w:p w14:paraId="7789B608" w14:textId="42961B1F" w:rsidR="008D658D" w:rsidRDefault="008D658D" w:rsidP="008D658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 (2.9)</w:t>
            </w:r>
          </w:p>
        </w:tc>
        <w:tc>
          <w:tcPr>
            <w:tcW w:w="3260" w:type="dxa"/>
            <w:vAlign w:val="center"/>
          </w:tcPr>
          <w:p w14:paraId="79195022" w14:textId="681EBFE6" w:rsidR="008D658D" w:rsidRDefault="008D658D" w:rsidP="008D658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8D658D" w14:paraId="18CCCE58" w14:textId="77777777" w:rsidTr="008D658D">
        <w:tc>
          <w:tcPr>
            <w:tcW w:w="13887" w:type="dxa"/>
            <w:gridSpan w:val="4"/>
            <w:vAlign w:val="center"/>
          </w:tcPr>
          <w:p w14:paraId="30ED4069" w14:textId="7A7F464C" w:rsidR="008D658D" w:rsidRDefault="008D658D" w:rsidP="008D658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Total</w:t>
            </w:r>
            <w:r w:rsidR="005D35CD">
              <w:rPr>
                <w:rFonts w:ascii="Calibri" w:hAnsi="Calibri" w:cs="Calibri"/>
                <w:color w:val="000000"/>
              </w:rPr>
              <w:t xml:space="preserve"> number of potential patients being treated as per </w:t>
            </w:r>
            <w:r w:rsidR="00DD3EBB">
              <w:rPr>
                <w:rFonts w:ascii="Calibri" w:hAnsi="Calibri" w:cs="Calibri"/>
                <w:color w:val="000000"/>
              </w:rPr>
              <w:t>IVT-AFL</w:t>
            </w:r>
            <w:r w:rsidR="005D35CD">
              <w:rPr>
                <w:rFonts w:ascii="Calibri" w:hAnsi="Calibri" w:cs="Calibri"/>
                <w:color w:val="000000"/>
              </w:rPr>
              <w:t xml:space="preserve"> SmPC in year one based on local standard of care intention at study initiation = 211 (Protocol 1)</w:t>
            </w:r>
          </w:p>
        </w:tc>
      </w:tr>
      <w:tr w:rsidR="005D35CD" w14:paraId="3E76203C" w14:textId="77777777" w:rsidTr="008D658D">
        <w:tc>
          <w:tcPr>
            <w:tcW w:w="13887" w:type="dxa"/>
            <w:gridSpan w:val="4"/>
            <w:vAlign w:val="center"/>
          </w:tcPr>
          <w:p w14:paraId="214DBDC6" w14:textId="0A3221BF" w:rsidR="005D35CD" w:rsidRDefault="005D35CD" w:rsidP="005D35C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Total number of potential patients receiving 5 initial monthly injections of </w:t>
            </w:r>
            <w:r w:rsidR="00DD3EBB">
              <w:rPr>
                <w:rFonts w:ascii="Calibri" w:hAnsi="Calibri" w:cs="Calibri"/>
                <w:color w:val="000000"/>
              </w:rPr>
              <w:t xml:space="preserve">IVT-AFL </w:t>
            </w:r>
            <w:r>
              <w:rPr>
                <w:rFonts w:ascii="Calibri" w:hAnsi="Calibri" w:cs="Calibri"/>
                <w:color w:val="000000"/>
              </w:rPr>
              <w:t>based on local standard of care intention at study initiation = 334 (Protocols 1 – 5)</w:t>
            </w:r>
          </w:p>
        </w:tc>
      </w:tr>
      <w:tr w:rsidR="008D658D" w14:paraId="58ACE4E4" w14:textId="767A1274" w:rsidTr="00DD3EBB">
        <w:trPr>
          <w:trHeight w:val="650"/>
        </w:trPr>
        <w:tc>
          <w:tcPr>
            <w:tcW w:w="13887" w:type="dxa"/>
            <w:gridSpan w:val="4"/>
          </w:tcPr>
          <w:p w14:paraId="127CCC0E" w14:textId="369153EA" w:rsidR="008D658D" w:rsidRDefault="00DD3EBB" w:rsidP="00DD3E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IVT-AFL = Intravitreal aflibercept; </w:t>
            </w:r>
            <w:r w:rsidR="008D658D">
              <w:rPr>
                <w:rFonts w:cstheme="minorHAnsi"/>
                <w:color w:val="000000"/>
              </w:rPr>
              <w:t xml:space="preserve">PPW = Per protocol window; </w:t>
            </w:r>
            <w:r w:rsidR="008D658D" w:rsidRPr="00C738CA">
              <w:rPr>
                <w:rFonts w:cstheme="minorHAnsi"/>
                <w:color w:val="000000"/>
              </w:rPr>
              <w:t xml:space="preserve">SmPC = </w:t>
            </w:r>
            <w:r w:rsidR="008D658D" w:rsidRPr="00C738CA">
              <w:rPr>
                <w:rFonts w:cstheme="minorHAnsi"/>
                <w:color w:val="333333"/>
                <w:shd w:val="clear" w:color="auto" w:fill="FFFFFF"/>
              </w:rPr>
              <w:t>Summary of Product Characteristics</w:t>
            </w:r>
            <w:r w:rsidR="008D658D" w:rsidRPr="00C738CA">
              <w:rPr>
                <w:rFonts w:cstheme="minorHAnsi"/>
                <w:color w:val="000000"/>
              </w:rPr>
              <w:t>; PRN = pro re nata/ taken as needed</w:t>
            </w:r>
            <w:r w:rsidR="008D658D">
              <w:rPr>
                <w:rFonts w:cstheme="minorHAnsi"/>
                <w:color w:val="000000"/>
              </w:rPr>
              <w:t>; VA = visual acuity.</w:t>
            </w:r>
          </w:p>
        </w:tc>
      </w:tr>
    </w:tbl>
    <w:p w14:paraId="48EAE8D7" w14:textId="7F2504E1" w:rsidR="00A51E9B" w:rsidRDefault="00A51E9B" w:rsidP="00A51E9B"/>
    <w:p w14:paraId="3C1832FC" w14:textId="099440CC" w:rsidR="00DF473C" w:rsidRDefault="00DF473C" w:rsidP="00DF473C"/>
    <w:sectPr w:rsidR="00DF473C" w:rsidSect="005D35CD">
      <w:pgSz w:w="16838" w:h="11906" w:orient="landscape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DA6FD" w14:textId="77777777" w:rsidR="00330616" w:rsidRDefault="00330616" w:rsidP="00A9215E">
      <w:pPr>
        <w:spacing w:after="0" w:line="240" w:lineRule="auto"/>
      </w:pPr>
      <w:r>
        <w:separator/>
      </w:r>
    </w:p>
  </w:endnote>
  <w:endnote w:type="continuationSeparator" w:id="0">
    <w:p w14:paraId="61AFCCE7" w14:textId="77777777" w:rsidR="00330616" w:rsidRDefault="00330616" w:rsidP="00A92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1B285" w14:textId="77777777" w:rsidR="00330616" w:rsidRDefault="00330616" w:rsidP="00A9215E">
      <w:pPr>
        <w:spacing w:after="0" w:line="240" w:lineRule="auto"/>
      </w:pPr>
      <w:r>
        <w:separator/>
      </w:r>
    </w:p>
  </w:footnote>
  <w:footnote w:type="continuationSeparator" w:id="0">
    <w:p w14:paraId="0742D9D2" w14:textId="77777777" w:rsidR="00330616" w:rsidRDefault="00330616" w:rsidP="00A921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F12"/>
    <w:rsid w:val="000011DC"/>
    <w:rsid w:val="00011B22"/>
    <w:rsid w:val="00064098"/>
    <w:rsid w:val="00067F75"/>
    <w:rsid w:val="00070BB4"/>
    <w:rsid w:val="000E5EB0"/>
    <w:rsid w:val="00117CA0"/>
    <w:rsid w:val="00121E31"/>
    <w:rsid w:val="001620E5"/>
    <w:rsid w:val="001962BC"/>
    <w:rsid w:val="001B42A1"/>
    <w:rsid w:val="001C0260"/>
    <w:rsid w:val="00217F8F"/>
    <w:rsid w:val="002449C6"/>
    <w:rsid w:val="0027070D"/>
    <w:rsid w:val="002F54EF"/>
    <w:rsid w:val="00330616"/>
    <w:rsid w:val="00331E7B"/>
    <w:rsid w:val="00392089"/>
    <w:rsid w:val="003A5208"/>
    <w:rsid w:val="003F2B1D"/>
    <w:rsid w:val="004223E2"/>
    <w:rsid w:val="0045195A"/>
    <w:rsid w:val="004777D8"/>
    <w:rsid w:val="004A455A"/>
    <w:rsid w:val="004E4DD3"/>
    <w:rsid w:val="00532C14"/>
    <w:rsid w:val="005C1CEB"/>
    <w:rsid w:val="005D2F4F"/>
    <w:rsid w:val="005D35CD"/>
    <w:rsid w:val="006019B2"/>
    <w:rsid w:val="00692488"/>
    <w:rsid w:val="006C2A78"/>
    <w:rsid w:val="00724FFF"/>
    <w:rsid w:val="00730F33"/>
    <w:rsid w:val="00732F12"/>
    <w:rsid w:val="007F1B46"/>
    <w:rsid w:val="007F7575"/>
    <w:rsid w:val="00871603"/>
    <w:rsid w:val="008B75A3"/>
    <w:rsid w:val="008C11D8"/>
    <w:rsid w:val="008D2D43"/>
    <w:rsid w:val="008D658D"/>
    <w:rsid w:val="008E0381"/>
    <w:rsid w:val="00915B09"/>
    <w:rsid w:val="009509E7"/>
    <w:rsid w:val="009D2C8D"/>
    <w:rsid w:val="00A041E5"/>
    <w:rsid w:val="00A0473F"/>
    <w:rsid w:val="00A16898"/>
    <w:rsid w:val="00A51E9B"/>
    <w:rsid w:val="00A9215E"/>
    <w:rsid w:val="00AB0581"/>
    <w:rsid w:val="00B6413A"/>
    <w:rsid w:val="00C66645"/>
    <w:rsid w:val="00C738CA"/>
    <w:rsid w:val="00CA0D1F"/>
    <w:rsid w:val="00CB4E35"/>
    <w:rsid w:val="00CD4045"/>
    <w:rsid w:val="00D11CCF"/>
    <w:rsid w:val="00D67980"/>
    <w:rsid w:val="00D9782F"/>
    <w:rsid w:val="00DB7115"/>
    <w:rsid w:val="00DD3EBB"/>
    <w:rsid w:val="00DF473C"/>
    <w:rsid w:val="00E256D1"/>
    <w:rsid w:val="00EB2180"/>
    <w:rsid w:val="00ED5248"/>
    <w:rsid w:val="00F11671"/>
    <w:rsid w:val="00F174BD"/>
    <w:rsid w:val="00F20539"/>
    <w:rsid w:val="00F57FAF"/>
    <w:rsid w:val="00F6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4DD5FF64"/>
  <w15:chartTrackingRefBased/>
  <w15:docId w15:val="{34A8C115-FB0F-487F-A14E-4EB5FAF4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F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2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2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15E"/>
  </w:style>
  <w:style w:type="paragraph" w:styleId="Footer">
    <w:name w:val="footer"/>
    <w:basedOn w:val="Normal"/>
    <w:link w:val="FooterChar"/>
    <w:uiPriority w:val="99"/>
    <w:unhideWhenUsed/>
    <w:rsid w:val="00A92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15E"/>
  </w:style>
  <w:style w:type="character" w:styleId="CommentReference">
    <w:name w:val="annotation reference"/>
    <w:basedOn w:val="DefaultParagraphFont"/>
    <w:uiPriority w:val="99"/>
    <w:semiHidden/>
    <w:unhideWhenUsed/>
    <w:rsid w:val="00A047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47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47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47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473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7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1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36B23AF8A78F4586086C18255F31E3" ma:contentTypeVersion="8" ma:contentTypeDescription="Create a new document." ma:contentTypeScope="" ma:versionID="58907b2601273182213c8a22beedbd9b">
  <xsd:schema xmlns:xsd="http://www.w3.org/2001/XMLSchema" xmlns:xs="http://www.w3.org/2001/XMLSchema" xmlns:p="http://schemas.microsoft.com/office/2006/metadata/properties" xmlns:ns3="37ca9ace-3b92-4ee6-afed-cf0faedb9c02" targetNamespace="http://schemas.microsoft.com/office/2006/metadata/properties" ma:root="true" ma:fieldsID="e84d607b6e1a0905fd34b77105684786" ns3:_="">
    <xsd:import namespace="37ca9ace-3b92-4ee6-afed-cf0faedb9c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a9ace-3b92-4ee6-afed-cf0faedb9c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1D33FD-AB83-48BA-9FA5-C065BC2321FC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37ca9ace-3b92-4ee6-afed-cf0faedb9c02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F32C69A-CD3A-4620-A39B-8BDB54E19F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052C19-7397-4097-847B-B93EB9AF8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ca9ace-3b92-4ee6-afed-cf0faedb9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O4 Research</dc:creator>
  <cp:keywords/>
  <dc:description/>
  <cp:lastModifiedBy>Andrea Parke</cp:lastModifiedBy>
  <cp:revision>3</cp:revision>
  <cp:lastPrinted>2020-02-12T15:59:00Z</cp:lastPrinted>
  <dcterms:created xsi:type="dcterms:W3CDTF">2021-04-27T09:43:00Z</dcterms:created>
  <dcterms:modified xsi:type="dcterms:W3CDTF">2021-04-30T13:16:00Z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850223-87a8-40c3-9eb2-432606efca2a_Enabled">
    <vt:lpwstr>True</vt:lpwstr>
  </property>
  <property fmtid="{D5CDD505-2E9C-101B-9397-08002B2CF9AE}" pid="3" name="MSIP_Label_7f850223-87a8-40c3-9eb2-432606efca2a_SiteId">
    <vt:lpwstr>fcb2b37b-5da0-466b-9b83-0014b67a7c78</vt:lpwstr>
  </property>
  <property fmtid="{D5CDD505-2E9C-101B-9397-08002B2CF9AE}" pid="4" name="MSIP_Label_7f850223-87a8-40c3-9eb2-432606efca2a_Owner">
    <vt:lpwstr>jackie.napier@bayer.com</vt:lpwstr>
  </property>
  <property fmtid="{D5CDD505-2E9C-101B-9397-08002B2CF9AE}" pid="5" name="MSIP_Label_7f850223-87a8-40c3-9eb2-432606efca2a_SetDate">
    <vt:lpwstr>2019-12-24T10:06:15.2102343Z</vt:lpwstr>
  </property>
  <property fmtid="{D5CDD505-2E9C-101B-9397-08002B2CF9AE}" pid="6" name="MSIP_Label_7f850223-87a8-40c3-9eb2-432606efca2a_Name">
    <vt:lpwstr>NO CLASSIFICATION</vt:lpwstr>
  </property>
  <property fmtid="{D5CDD505-2E9C-101B-9397-08002B2CF9AE}" pid="7" name="MSIP_Label_7f850223-87a8-40c3-9eb2-432606efca2a_Application">
    <vt:lpwstr>Microsoft Azure Information Protection</vt:lpwstr>
  </property>
  <property fmtid="{D5CDD505-2E9C-101B-9397-08002B2CF9AE}" pid="8" name="MSIP_Label_7f850223-87a8-40c3-9eb2-432606efca2a_Extended_MSFT_Method">
    <vt:lpwstr>Automatic</vt:lpwstr>
  </property>
  <property fmtid="{D5CDD505-2E9C-101B-9397-08002B2CF9AE}" pid="9" name="Sensitivity">
    <vt:lpwstr>NO CLASSIFICATION</vt:lpwstr>
  </property>
  <property fmtid="{D5CDD505-2E9C-101B-9397-08002B2CF9AE}" pid="10" name="ContentTypeId">
    <vt:lpwstr>0x0101003536B23AF8A78F4586086C18255F31E3</vt:lpwstr>
  </property>
</Properties>
</file>