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AAEE5" w14:textId="05DCE5EB" w:rsidR="000608E8" w:rsidRPr="00F95A57" w:rsidRDefault="000608E8" w:rsidP="00590063">
      <w:pPr>
        <w:spacing w:line="480" w:lineRule="auto"/>
        <w:ind w:left="360"/>
        <w:rPr>
          <w:b/>
          <w:bCs/>
        </w:rPr>
      </w:pPr>
      <w:r w:rsidRPr="00F95A57">
        <w:rPr>
          <w:b/>
          <w:bCs/>
        </w:rPr>
        <w:t>Suppl</w:t>
      </w:r>
      <w:r w:rsidR="00241B94" w:rsidRPr="00F95A57">
        <w:rPr>
          <w:b/>
          <w:bCs/>
        </w:rPr>
        <w:t>ementary</w:t>
      </w:r>
      <w:r w:rsidRPr="00F95A57">
        <w:rPr>
          <w:b/>
          <w:bCs/>
        </w:rPr>
        <w:t xml:space="preserve"> Table 2: Additional consensus statements</w:t>
      </w:r>
    </w:p>
    <w:tbl>
      <w:tblPr>
        <w:tblStyle w:val="TableGrid"/>
        <w:tblW w:w="4978" w:type="pct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21"/>
        <w:gridCol w:w="3239"/>
        <w:gridCol w:w="1578"/>
        <w:gridCol w:w="1275"/>
        <w:gridCol w:w="1275"/>
        <w:gridCol w:w="1188"/>
      </w:tblGrid>
      <w:tr w:rsidR="00E94476" w:rsidRPr="00F95A57" w14:paraId="7450F792" w14:textId="77777777" w:rsidTr="00833B9B">
        <w:trPr>
          <w:trHeight w:val="329"/>
          <w:tblHeader/>
        </w:trPr>
        <w:tc>
          <w:tcPr>
            <w:tcW w:w="2039" w:type="pct"/>
            <w:gridSpan w:val="2"/>
            <w:vAlign w:val="center"/>
          </w:tcPr>
          <w:p w14:paraId="28C34A73" w14:textId="77777777" w:rsidR="00E94476" w:rsidRPr="00F95A57" w:rsidRDefault="00E94476" w:rsidP="00590063">
            <w:pPr>
              <w:spacing w:line="480" w:lineRule="auto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Statement</w:t>
            </w:r>
          </w:p>
        </w:tc>
        <w:tc>
          <w:tcPr>
            <w:tcW w:w="879" w:type="pct"/>
            <w:shd w:val="clear" w:color="auto" w:fill="808080" w:themeFill="background1" w:themeFillShade="80"/>
            <w:vAlign w:val="center"/>
          </w:tcPr>
          <w:p w14:paraId="670BE5B5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95A57">
              <w:rPr>
                <w:b/>
                <w:bCs/>
                <w:color w:val="FFFFFF" w:themeColor="background1"/>
                <w:sz w:val="18"/>
                <w:szCs w:val="18"/>
              </w:rPr>
              <w:t>Consensus score</w:t>
            </w:r>
          </w:p>
        </w:tc>
        <w:tc>
          <w:tcPr>
            <w:tcW w:w="710" w:type="pct"/>
            <w:shd w:val="clear" w:color="auto" w:fill="808080" w:themeFill="background1" w:themeFillShade="80"/>
            <w:vAlign w:val="center"/>
          </w:tcPr>
          <w:p w14:paraId="4E7838FB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95A57">
              <w:rPr>
                <w:b/>
                <w:bCs/>
                <w:color w:val="FFFFFF" w:themeColor="background1"/>
                <w:sz w:val="18"/>
                <w:szCs w:val="18"/>
                <w:u w:val="single"/>
              </w:rPr>
              <w:t>Percentage</w:t>
            </w:r>
            <w:r w:rsidRPr="00F95A57">
              <w:rPr>
                <w:b/>
                <w:bCs/>
                <w:color w:val="FFFFFF" w:themeColor="background1"/>
                <w:sz w:val="18"/>
                <w:szCs w:val="18"/>
              </w:rPr>
              <w:t xml:space="preserve"> who </w:t>
            </w:r>
            <w:r w:rsidRPr="00F95A57"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>strongly agree</w:t>
            </w:r>
          </w:p>
        </w:tc>
        <w:tc>
          <w:tcPr>
            <w:tcW w:w="710" w:type="pct"/>
            <w:shd w:val="clear" w:color="auto" w:fill="808080" w:themeFill="background1" w:themeFillShade="80"/>
            <w:vAlign w:val="center"/>
          </w:tcPr>
          <w:p w14:paraId="752EC20F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95A57">
              <w:rPr>
                <w:b/>
                <w:bCs/>
                <w:color w:val="FFFFFF" w:themeColor="background1"/>
                <w:sz w:val="18"/>
                <w:szCs w:val="18"/>
                <w:u w:val="single"/>
              </w:rPr>
              <w:t>Percentage</w:t>
            </w:r>
            <w:r w:rsidRPr="00F95A57">
              <w:rPr>
                <w:b/>
                <w:bCs/>
                <w:color w:val="FFFFFF" w:themeColor="background1"/>
                <w:sz w:val="18"/>
                <w:szCs w:val="18"/>
              </w:rPr>
              <w:t xml:space="preserve"> who </w:t>
            </w:r>
            <w:r w:rsidRPr="00F95A57"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strongly agree </w:t>
            </w:r>
            <w:r w:rsidRPr="00F95A57">
              <w:rPr>
                <w:b/>
                <w:bCs/>
                <w:color w:val="FFFFFF" w:themeColor="background1"/>
                <w:sz w:val="18"/>
                <w:szCs w:val="18"/>
              </w:rPr>
              <w:t>or</w:t>
            </w:r>
            <w:r w:rsidRPr="00F95A57">
              <w:rPr>
                <w:b/>
                <w:bCs/>
                <w:i/>
                <w:iCs/>
                <w:color w:val="FFFFFF" w:themeColor="background1"/>
                <w:sz w:val="18"/>
                <w:szCs w:val="18"/>
              </w:rPr>
              <w:t xml:space="preserve"> slightly agree</w:t>
            </w:r>
          </w:p>
        </w:tc>
        <w:tc>
          <w:tcPr>
            <w:tcW w:w="662" w:type="pct"/>
            <w:shd w:val="clear" w:color="auto" w:fill="808080" w:themeFill="background1" w:themeFillShade="80"/>
            <w:vAlign w:val="center"/>
          </w:tcPr>
          <w:p w14:paraId="1DD7A13A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95A57">
              <w:rPr>
                <w:b/>
                <w:bCs/>
                <w:color w:val="FFFFFF" w:themeColor="background1"/>
                <w:sz w:val="18"/>
                <w:szCs w:val="18"/>
              </w:rPr>
              <w:t>Strength of agreement</w:t>
            </w:r>
          </w:p>
        </w:tc>
      </w:tr>
      <w:tr w:rsidR="00E94476" w:rsidRPr="00F95A57" w14:paraId="082B9BA8" w14:textId="77777777" w:rsidTr="00833B9B">
        <w:trPr>
          <w:trHeight w:val="329"/>
        </w:trPr>
        <w:tc>
          <w:tcPr>
            <w:tcW w:w="5000" w:type="pct"/>
            <w:gridSpan w:val="6"/>
          </w:tcPr>
          <w:p w14:paraId="6136A382" w14:textId="77777777" w:rsidR="00E94476" w:rsidRPr="00F95A57" w:rsidRDefault="00E94476" w:rsidP="00590063">
            <w:pPr>
              <w:spacing w:line="48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F95A57">
              <w:rPr>
                <w:b/>
                <w:bCs/>
                <w:i/>
                <w:iCs/>
                <w:sz w:val="18"/>
                <w:szCs w:val="18"/>
              </w:rPr>
              <w:t>Initial assessment</w:t>
            </w:r>
          </w:p>
        </w:tc>
      </w:tr>
      <w:tr w:rsidR="00E94476" w:rsidRPr="00F95A57" w14:paraId="223ED3B3" w14:textId="77777777" w:rsidTr="00E94476">
        <w:trPr>
          <w:trHeight w:val="329"/>
        </w:trPr>
        <w:tc>
          <w:tcPr>
            <w:tcW w:w="235" w:type="pct"/>
          </w:tcPr>
          <w:p w14:paraId="0BFF1EF4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7</w:t>
            </w:r>
          </w:p>
        </w:tc>
        <w:tc>
          <w:tcPr>
            <w:tcW w:w="1804" w:type="pct"/>
            <w:vAlign w:val="center"/>
          </w:tcPr>
          <w:p w14:paraId="55531C7A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Assessment of the above signs with a slit lamp is essential to confirm a diagnosis of DED</w:t>
            </w:r>
          </w:p>
        </w:tc>
        <w:tc>
          <w:tcPr>
            <w:tcW w:w="879" w:type="pct"/>
            <w:vAlign w:val="center"/>
          </w:tcPr>
          <w:p w14:paraId="70786A1B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2.93</w:t>
            </w:r>
          </w:p>
        </w:tc>
        <w:tc>
          <w:tcPr>
            <w:tcW w:w="710" w:type="pct"/>
            <w:vAlign w:val="center"/>
          </w:tcPr>
          <w:p w14:paraId="568B7C54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73.3</w:t>
            </w:r>
          </w:p>
        </w:tc>
        <w:tc>
          <w:tcPr>
            <w:tcW w:w="710" w:type="pct"/>
            <w:vAlign w:val="center"/>
          </w:tcPr>
          <w:p w14:paraId="402D795C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86.7</w:t>
            </w:r>
          </w:p>
        </w:tc>
        <w:tc>
          <w:tcPr>
            <w:tcW w:w="662" w:type="pct"/>
            <w:vAlign w:val="center"/>
          </w:tcPr>
          <w:p w14:paraId="2B9585E8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Strong</w:t>
            </w:r>
          </w:p>
        </w:tc>
      </w:tr>
      <w:tr w:rsidR="00E94476" w:rsidRPr="00F95A57" w14:paraId="39418BFC" w14:textId="77777777" w:rsidTr="00E94476">
        <w:trPr>
          <w:trHeight w:val="329"/>
        </w:trPr>
        <w:tc>
          <w:tcPr>
            <w:tcW w:w="235" w:type="pct"/>
          </w:tcPr>
          <w:p w14:paraId="5F4C3944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11</w:t>
            </w:r>
          </w:p>
        </w:tc>
        <w:tc>
          <w:tcPr>
            <w:tcW w:w="1804" w:type="pct"/>
            <w:vAlign w:val="center"/>
          </w:tcPr>
          <w:p w14:paraId="0A3DCB3C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 xml:space="preserve">All female patients </w:t>
            </w:r>
            <w:r w:rsidRPr="00F95A57">
              <w:rPr>
                <w:sz w:val="18"/>
                <w:szCs w:val="18"/>
              </w:rPr>
              <w:t xml:space="preserve">should be asked about hormonal changes and medication/supplementation </w:t>
            </w:r>
          </w:p>
        </w:tc>
        <w:tc>
          <w:tcPr>
            <w:tcW w:w="879" w:type="pct"/>
            <w:vAlign w:val="center"/>
          </w:tcPr>
          <w:p w14:paraId="7FAA74FD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2.93</w:t>
            </w:r>
          </w:p>
        </w:tc>
        <w:tc>
          <w:tcPr>
            <w:tcW w:w="710" w:type="pct"/>
            <w:vAlign w:val="center"/>
          </w:tcPr>
          <w:p w14:paraId="495716F4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46.7</w:t>
            </w:r>
          </w:p>
        </w:tc>
        <w:tc>
          <w:tcPr>
            <w:tcW w:w="710" w:type="pct"/>
            <w:vAlign w:val="center"/>
          </w:tcPr>
          <w:p w14:paraId="2D187106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662" w:type="pct"/>
            <w:vAlign w:val="center"/>
          </w:tcPr>
          <w:p w14:paraId="1DB4B99D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Moderate</w:t>
            </w:r>
          </w:p>
        </w:tc>
      </w:tr>
      <w:tr w:rsidR="00E94476" w:rsidRPr="00F95A57" w14:paraId="657C85EF" w14:textId="77777777" w:rsidTr="00E94476">
        <w:trPr>
          <w:trHeight w:val="329"/>
        </w:trPr>
        <w:tc>
          <w:tcPr>
            <w:tcW w:w="235" w:type="pct"/>
            <w:vAlign w:val="center"/>
          </w:tcPr>
          <w:p w14:paraId="22A4151F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12</w:t>
            </w:r>
          </w:p>
        </w:tc>
        <w:tc>
          <w:tcPr>
            <w:tcW w:w="1804" w:type="pct"/>
            <w:vAlign w:val="center"/>
          </w:tcPr>
          <w:p w14:paraId="0BCB002F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 xml:space="preserve">Patients with </w:t>
            </w:r>
            <w:r w:rsidRPr="00F95A57">
              <w:rPr>
                <w:b/>
                <w:bCs/>
                <w:sz w:val="18"/>
                <w:szCs w:val="18"/>
              </w:rPr>
              <w:t>connective tissue disorders</w:t>
            </w:r>
            <w:r w:rsidRPr="00F95A57">
              <w:rPr>
                <w:sz w:val="18"/>
                <w:szCs w:val="18"/>
              </w:rPr>
              <w:t xml:space="preserve"> (such as rheumatoid arthritis) should be considered for hospital referral if they experience DED symptoms and signs</w:t>
            </w:r>
          </w:p>
        </w:tc>
        <w:tc>
          <w:tcPr>
            <w:tcW w:w="879" w:type="pct"/>
            <w:vAlign w:val="center"/>
          </w:tcPr>
          <w:p w14:paraId="05D2CE37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10" w:type="pct"/>
            <w:vAlign w:val="center"/>
          </w:tcPr>
          <w:p w14:paraId="033DBDDF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40.0</w:t>
            </w:r>
          </w:p>
        </w:tc>
        <w:tc>
          <w:tcPr>
            <w:tcW w:w="710" w:type="pct"/>
            <w:vAlign w:val="center"/>
          </w:tcPr>
          <w:p w14:paraId="72A9B5BA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80.0</w:t>
            </w:r>
          </w:p>
        </w:tc>
        <w:tc>
          <w:tcPr>
            <w:tcW w:w="662" w:type="pct"/>
            <w:vAlign w:val="center"/>
          </w:tcPr>
          <w:p w14:paraId="73AD96BB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Moderate</w:t>
            </w:r>
          </w:p>
        </w:tc>
      </w:tr>
      <w:tr w:rsidR="00E94476" w:rsidRPr="00F95A57" w14:paraId="0DDFF09B" w14:textId="77777777" w:rsidTr="00E94476">
        <w:trPr>
          <w:trHeight w:val="329"/>
        </w:trPr>
        <w:tc>
          <w:tcPr>
            <w:tcW w:w="5000" w:type="pct"/>
            <w:gridSpan w:val="6"/>
            <w:vAlign w:val="center"/>
          </w:tcPr>
          <w:p w14:paraId="752B015B" w14:textId="77777777" w:rsidR="00E94476" w:rsidRPr="00F95A57" w:rsidRDefault="00E94476" w:rsidP="00590063">
            <w:pPr>
              <w:spacing w:line="48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F95A57">
              <w:rPr>
                <w:b/>
                <w:bCs/>
                <w:i/>
                <w:iCs/>
                <w:sz w:val="18"/>
                <w:szCs w:val="18"/>
              </w:rPr>
              <w:t>DED subtypes</w:t>
            </w:r>
          </w:p>
        </w:tc>
      </w:tr>
      <w:tr w:rsidR="00E94476" w:rsidRPr="00F95A57" w14:paraId="28423349" w14:textId="77777777" w:rsidTr="00E94476">
        <w:trPr>
          <w:trHeight w:val="329"/>
        </w:trPr>
        <w:tc>
          <w:tcPr>
            <w:tcW w:w="235" w:type="pct"/>
          </w:tcPr>
          <w:p w14:paraId="631E1730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13</w:t>
            </w:r>
          </w:p>
        </w:tc>
        <w:tc>
          <w:tcPr>
            <w:tcW w:w="1804" w:type="pct"/>
            <w:vAlign w:val="center"/>
          </w:tcPr>
          <w:p w14:paraId="146C8513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Treatment of EDED, ADDED and mixed-subtype DED can vary, but in clinical practice most cases are mixed</w:t>
            </w:r>
          </w:p>
        </w:tc>
        <w:tc>
          <w:tcPr>
            <w:tcW w:w="879" w:type="pct"/>
            <w:vAlign w:val="center"/>
          </w:tcPr>
          <w:p w14:paraId="2239EE50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3.87</w:t>
            </w:r>
          </w:p>
        </w:tc>
        <w:tc>
          <w:tcPr>
            <w:tcW w:w="710" w:type="pct"/>
            <w:vAlign w:val="center"/>
          </w:tcPr>
          <w:p w14:paraId="237846AF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93.3</w:t>
            </w:r>
          </w:p>
        </w:tc>
        <w:tc>
          <w:tcPr>
            <w:tcW w:w="710" w:type="pct"/>
            <w:vAlign w:val="center"/>
          </w:tcPr>
          <w:p w14:paraId="583C7653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662" w:type="pct"/>
            <w:vAlign w:val="center"/>
          </w:tcPr>
          <w:p w14:paraId="22942452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  <w:tr w:rsidR="00E94476" w:rsidRPr="00F95A57" w14:paraId="36CF8B90" w14:textId="77777777" w:rsidTr="00E94476">
        <w:trPr>
          <w:trHeight w:val="329"/>
        </w:trPr>
        <w:tc>
          <w:tcPr>
            <w:tcW w:w="235" w:type="pct"/>
          </w:tcPr>
          <w:p w14:paraId="0EB634AA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14</w:t>
            </w:r>
          </w:p>
        </w:tc>
        <w:tc>
          <w:tcPr>
            <w:tcW w:w="1804" w:type="pct"/>
            <w:vAlign w:val="center"/>
          </w:tcPr>
          <w:p w14:paraId="7F0F199F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Rapid TBUT, blepharitis and abnormal meibomian glands are indicative of an EDED element</w:t>
            </w:r>
          </w:p>
        </w:tc>
        <w:tc>
          <w:tcPr>
            <w:tcW w:w="879" w:type="pct"/>
            <w:vAlign w:val="center"/>
          </w:tcPr>
          <w:p w14:paraId="0156EDFD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3.6</w:t>
            </w:r>
          </w:p>
        </w:tc>
        <w:tc>
          <w:tcPr>
            <w:tcW w:w="710" w:type="pct"/>
            <w:vAlign w:val="center"/>
          </w:tcPr>
          <w:p w14:paraId="7EF4B4E2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80.0</w:t>
            </w:r>
          </w:p>
        </w:tc>
        <w:tc>
          <w:tcPr>
            <w:tcW w:w="710" w:type="pct"/>
            <w:vAlign w:val="center"/>
          </w:tcPr>
          <w:p w14:paraId="0CCC483A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662" w:type="pct"/>
            <w:vAlign w:val="center"/>
          </w:tcPr>
          <w:p w14:paraId="13FB9D55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  <w:tr w:rsidR="00E94476" w:rsidRPr="00F95A57" w14:paraId="5FC95B2F" w14:textId="77777777" w:rsidTr="00E94476">
        <w:trPr>
          <w:trHeight w:val="329"/>
        </w:trPr>
        <w:tc>
          <w:tcPr>
            <w:tcW w:w="235" w:type="pct"/>
          </w:tcPr>
          <w:p w14:paraId="5329EA4E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15</w:t>
            </w:r>
          </w:p>
        </w:tc>
        <w:tc>
          <w:tcPr>
            <w:tcW w:w="1804" w:type="pct"/>
            <w:vAlign w:val="center"/>
          </w:tcPr>
          <w:p w14:paraId="0A0E87C2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Low tear volume, reduced tear meniscus and reduced Schirmer's test score are indicative of an ADDED element</w:t>
            </w:r>
          </w:p>
        </w:tc>
        <w:tc>
          <w:tcPr>
            <w:tcW w:w="879" w:type="pct"/>
            <w:vAlign w:val="center"/>
          </w:tcPr>
          <w:p w14:paraId="6A7AD3A6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3.6</w:t>
            </w:r>
          </w:p>
        </w:tc>
        <w:tc>
          <w:tcPr>
            <w:tcW w:w="710" w:type="pct"/>
            <w:vAlign w:val="center"/>
          </w:tcPr>
          <w:p w14:paraId="05166DA9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80.0</w:t>
            </w:r>
          </w:p>
        </w:tc>
        <w:tc>
          <w:tcPr>
            <w:tcW w:w="710" w:type="pct"/>
            <w:vAlign w:val="center"/>
          </w:tcPr>
          <w:p w14:paraId="4879A484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662" w:type="pct"/>
            <w:vAlign w:val="center"/>
          </w:tcPr>
          <w:p w14:paraId="7DA937A9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  <w:tr w:rsidR="00E94476" w:rsidRPr="00F95A57" w14:paraId="29499582" w14:textId="77777777" w:rsidTr="00833B9B">
        <w:trPr>
          <w:trHeight w:val="329"/>
        </w:trPr>
        <w:tc>
          <w:tcPr>
            <w:tcW w:w="5000" w:type="pct"/>
            <w:gridSpan w:val="6"/>
            <w:vAlign w:val="center"/>
          </w:tcPr>
          <w:p w14:paraId="4ABBFF9A" w14:textId="77777777" w:rsidR="00E94476" w:rsidRPr="00F95A57" w:rsidRDefault="00E94476" w:rsidP="00590063">
            <w:pPr>
              <w:spacing w:line="48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F95A57">
              <w:rPr>
                <w:b/>
                <w:bCs/>
                <w:i/>
                <w:iCs/>
                <w:sz w:val="18"/>
                <w:szCs w:val="18"/>
              </w:rPr>
              <w:t>Initial treatment of DED in the community</w:t>
            </w:r>
          </w:p>
        </w:tc>
      </w:tr>
      <w:tr w:rsidR="00E94476" w:rsidRPr="00F95A57" w14:paraId="7F02A30C" w14:textId="77777777" w:rsidTr="00E94476">
        <w:trPr>
          <w:trHeight w:val="329"/>
        </w:trPr>
        <w:tc>
          <w:tcPr>
            <w:tcW w:w="235" w:type="pct"/>
          </w:tcPr>
          <w:p w14:paraId="06F9588C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1804" w:type="pct"/>
            <w:vAlign w:val="center"/>
          </w:tcPr>
          <w:p w14:paraId="26C6AECE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 xml:space="preserve">With the right guidance, many patients with mild DED could self-manage their condition </w:t>
            </w:r>
          </w:p>
        </w:tc>
        <w:tc>
          <w:tcPr>
            <w:tcW w:w="879" w:type="pct"/>
            <w:vAlign w:val="center"/>
          </w:tcPr>
          <w:p w14:paraId="2F2CD44D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4.00</w:t>
            </w:r>
          </w:p>
        </w:tc>
        <w:tc>
          <w:tcPr>
            <w:tcW w:w="710" w:type="pct"/>
            <w:vAlign w:val="center"/>
          </w:tcPr>
          <w:p w14:paraId="65D9620A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710" w:type="pct"/>
            <w:vAlign w:val="center"/>
          </w:tcPr>
          <w:p w14:paraId="5F931231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662" w:type="pct"/>
            <w:vAlign w:val="center"/>
          </w:tcPr>
          <w:p w14:paraId="282DC59B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  <w:tr w:rsidR="00E94476" w:rsidRPr="00F95A57" w14:paraId="087A7962" w14:textId="77777777" w:rsidTr="00E94476">
        <w:trPr>
          <w:trHeight w:val="329"/>
        </w:trPr>
        <w:tc>
          <w:tcPr>
            <w:tcW w:w="235" w:type="pct"/>
          </w:tcPr>
          <w:p w14:paraId="2335F81A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24</w:t>
            </w:r>
          </w:p>
        </w:tc>
        <w:tc>
          <w:tcPr>
            <w:tcW w:w="1804" w:type="pct"/>
            <w:vAlign w:val="center"/>
          </w:tcPr>
          <w:p w14:paraId="687BB0EB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Patients should be educated by their community optometrist on the correct use of lubricants, warm compresses and massage</w:t>
            </w:r>
          </w:p>
        </w:tc>
        <w:tc>
          <w:tcPr>
            <w:tcW w:w="879" w:type="pct"/>
            <w:vAlign w:val="center"/>
          </w:tcPr>
          <w:p w14:paraId="6C3F1F67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3.73</w:t>
            </w:r>
          </w:p>
        </w:tc>
        <w:tc>
          <w:tcPr>
            <w:tcW w:w="710" w:type="pct"/>
            <w:vAlign w:val="center"/>
          </w:tcPr>
          <w:p w14:paraId="4CA4B22C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86.7</w:t>
            </w:r>
          </w:p>
        </w:tc>
        <w:tc>
          <w:tcPr>
            <w:tcW w:w="710" w:type="pct"/>
            <w:vAlign w:val="center"/>
          </w:tcPr>
          <w:p w14:paraId="65541048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662" w:type="pct"/>
            <w:vAlign w:val="center"/>
          </w:tcPr>
          <w:p w14:paraId="6501933D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  <w:tr w:rsidR="00E94476" w:rsidRPr="00F95A57" w14:paraId="11D2F13C" w14:textId="77777777" w:rsidTr="00E94476">
        <w:trPr>
          <w:trHeight w:val="329"/>
        </w:trPr>
        <w:tc>
          <w:tcPr>
            <w:tcW w:w="235" w:type="pct"/>
          </w:tcPr>
          <w:p w14:paraId="5D8F5F7E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27</w:t>
            </w:r>
          </w:p>
        </w:tc>
        <w:tc>
          <w:tcPr>
            <w:tcW w:w="1804" w:type="pct"/>
            <w:vAlign w:val="center"/>
          </w:tcPr>
          <w:p w14:paraId="604F5C22" w14:textId="10AAA92F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If symptoms are not controlled by twice-daily administration, lubricants should be applied more frequently up to four times daily</w:t>
            </w:r>
            <w:r w:rsidR="00D74A67" w:rsidRPr="00F95A57">
              <w:rPr>
                <w:sz w:val="18"/>
                <w:szCs w:val="18"/>
              </w:rPr>
              <w:t>*</w:t>
            </w:r>
          </w:p>
        </w:tc>
        <w:tc>
          <w:tcPr>
            <w:tcW w:w="879" w:type="pct"/>
            <w:vAlign w:val="center"/>
          </w:tcPr>
          <w:p w14:paraId="5F8E6BC0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3.87</w:t>
            </w:r>
          </w:p>
        </w:tc>
        <w:tc>
          <w:tcPr>
            <w:tcW w:w="710" w:type="pct"/>
            <w:vAlign w:val="center"/>
          </w:tcPr>
          <w:p w14:paraId="75C89810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93.3</w:t>
            </w:r>
          </w:p>
        </w:tc>
        <w:tc>
          <w:tcPr>
            <w:tcW w:w="710" w:type="pct"/>
            <w:vAlign w:val="center"/>
          </w:tcPr>
          <w:p w14:paraId="2B7E8C8F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662" w:type="pct"/>
            <w:vAlign w:val="center"/>
          </w:tcPr>
          <w:p w14:paraId="30E30F69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  <w:tr w:rsidR="00E94476" w:rsidRPr="00F95A57" w14:paraId="579C8D74" w14:textId="77777777" w:rsidTr="00E94476">
        <w:trPr>
          <w:trHeight w:val="329"/>
        </w:trPr>
        <w:tc>
          <w:tcPr>
            <w:tcW w:w="235" w:type="pct"/>
          </w:tcPr>
          <w:p w14:paraId="647D4637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29</w:t>
            </w:r>
          </w:p>
        </w:tc>
        <w:tc>
          <w:tcPr>
            <w:tcW w:w="1804" w:type="pct"/>
            <w:vAlign w:val="center"/>
          </w:tcPr>
          <w:p w14:paraId="34FB8765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Greater emphasis should be placed on lid hygiene for patients with EDED, who may also benefit from an oil-based lubricant</w:t>
            </w:r>
          </w:p>
        </w:tc>
        <w:tc>
          <w:tcPr>
            <w:tcW w:w="879" w:type="pct"/>
            <w:vAlign w:val="center"/>
          </w:tcPr>
          <w:p w14:paraId="3085F83F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3.60</w:t>
            </w:r>
          </w:p>
        </w:tc>
        <w:tc>
          <w:tcPr>
            <w:tcW w:w="710" w:type="pct"/>
            <w:vAlign w:val="center"/>
          </w:tcPr>
          <w:p w14:paraId="1E915877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80.0</w:t>
            </w:r>
          </w:p>
        </w:tc>
        <w:tc>
          <w:tcPr>
            <w:tcW w:w="710" w:type="pct"/>
            <w:vAlign w:val="center"/>
          </w:tcPr>
          <w:p w14:paraId="48FB7CF6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662" w:type="pct"/>
            <w:vAlign w:val="center"/>
          </w:tcPr>
          <w:p w14:paraId="72F5B7E4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  <w:tr w:rsidR="00E94476" w:rsidRPr="00F95A57" w14:paraId="7C05756F" w14:textId="77777777" w:rsidTr="00E94476">
        <w:trPr>
          <w:trHeight w:val="329"/>
        </w:trPr>
        <w:tc>
          <w:tcPr>
            <w:tcW w:w="235" w:type="pct"/>
          </w:tcPr>
          <w:p w14:paraId="2BEB7D13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30</w:t>
            </w:r>
          </w:p>
        </w:tc>
        <w:tc>
          <w:tcPr>
            <w:tcW w:w="1804" w:type="pct"/>
            <w:vAlign w:val="center"/>
          </w:tcPr>
          <w:p w14:paraId="042A04E4" w14:textId="1E1531AF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Topical corticosteroids can be initiated in the community by a qualified independent prescribing optometrist</w:t>
            </w:r>
          </w:p>
        </w:tc>
        <w:tc>
          <w:tcPr>
            <w:tcW w:w="879" w:type="pct"/>
            <w:vAlign w:val="center"/>
          </w:tcPr>
          <w:p w14:paraId="5B0A6123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1.73</w:t>
            </w:r>
          </w:p>
        </w:tc>
        <w:tc>
          <w:tcPr>
            <w:tcW w:w="710" w:type="pct"/>
            <w:vAlign w:val="center"/>
          </w:tcPr>
          <w:p w14:paraId="383D7267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40.0</w:t>
            </w:r>
          </w:p>
        </w:tc>
        <w:tc>
          <w:tcPr>
            <w:tcW w:w="710" w:type="pct"/>
            <w:vAlign w:val="center"/>
          </w:tcPr>
          <w:p w14:paraId="285AA878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80.0</w:t>
            </w:r>
          </w:p>
        </w:tc>
        <w:tc>
          <w:tcPr>
            <w:tcW w:w="662" w:type="pct"/>
            <w:vAlign w:val="center"/>
          </w:tcPr>
          <w:p w14:paraId="38FDCF46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Weak</w:t>
            </w:r>
          </w:p>
        </w:tc>
      </w:tr>
      <w:tr w:rsidR="00E94476" w:rsidRPr="00F95A57" w14:paraId="6F2ADECF" w14:textId="77777777" w:rsidTr="00E94476">
        <w:trPr>
          <w:trHeight w:val="329"/>
        </w:trPr>
        <w:tc>
          <w:tcPr>
            <w:tcW w:w="235" w:type="pct"/>
          </w:tcPr>
          <w:p w14:paraId="78772EB0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31</w:t>
            </w:r>
          </w:p>
        </w:tc>
        <w:tc>
          <w:tcPr>
            <w:tcW w:w="1804" w:type="pct"/>
            <w:vAlign w:val="center"/>
          </w:tcPr>
          <w:p w14:paraId="0F471073" w14:textId="3CF2FB3D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 xml:space="preserve">Topical </w:t>
            </w:r>
            <w:proofErr w:type="spellStart"/>
            <w:r w:rsidRPr="00F95A57">
              <w:rPr>
                <w:sz w:val="18"/>
                <w:szCs w:val="18"/>
              </w:rPr>
              <w:t>CsA</w:t>
            </w:r>
            <w:proofErr w:type="spellEnd"/>
            <w:r w:rsidRPr="00F95A57">
              <w:rPr>
                <w:sz w:val="18"/>
                <w:szCs w:val="18"/>
              </w:rPr>
              <w:t xml:space="preserve"> can be initiated in the community by a qualified independent prescribing optometris</w:t>
            </w:r>
            <w:r w:rsidR="000C5625" w:rsidRPr="00F95A57">
              <w:rPr>
                <w:sz w:val="18"/>
                <w:szCs w:val="18"/>
              </w:rPr>
              <w:t>t</w:t>
            </w:r>
          </w:p>
        </w:tc>
        <w:tc>
          <w:tcPr>
            <w:tcW w:w="879" w:type="pct"/>
            <w:vAlign w:val="center"/>
          </w:tcPr>
          <w:p w14:paraId="344EBEA8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0.00</w:t>
            </w:r>
          </w:p>
        </w:tc>
        <w:tc>
          <w:tcPr>
            <w:tcW w:w="710" w:type="pct"/>
            <w:vAlign w:val="center"/>
          </w:tcPr>
          <w:p w14:paraId="4BF4F352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26.7</w:t>
            </w:r>
          </w:p>
        </w:tc>
        <w:tc>
          <w:tcPr>
            <w:tcW w:w="710" w:type="pct"/>
            <w:vAlign w:val="center"/>
          </w:tcPr>
          <w:p w14:paraId="0F2764C9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46.7</w:t>
            </w:r>
          </w:p>
        </w:tc>
        <w:tc>
          <w:tcPr>
            <w:tcW w:w="662" w:type="pct"/>
            <w:vAlign w:val="center"/>
          </w:tcPr>
          <w:p w14:paraId="75523E3F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No consensus</w:t>
            </w:r>
          </w:p>
        </w:tc>
      </w:tr>
      <w:tr w:rsidR="00E94476" w:rsidRPr="00F95A57" w14:paraId="130A644E" w14:textId="77777777" w:rsidTr="00833B9B">
        <w:trPr>
          <w:trHeight w:val="329"/>
        </w:trPr>
        <w:tc>
          <w:tcPr>
            <w:tcW w:w="5000" w:type="pct"/>
            <w:gridSpan w:val="6"/>
            <w:vAlign w:val="center"/>
          </w:tcPr>
          <w:p w14:paraId="5AB2A901" w14:textId="77777777" w:rsidR="00E94476" w:rsidRPr="00F95A57" w:rsidRDefault="00E94476" w:rsidP="00590063">
            <w:pPr>
              <w:spacing w:line="48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F95A57">
              <w:rPr>
                <w:b/>
                <w:bCs/>
                <w:i/>
                <w:iCs/>
                <w:sz w:val="18"/>
                <w:szCs w:val="18"/>
              </w:rPr>
              <w:t>Initial treatment of DED in secondary care (general ophthalmology)</w:t>
            </w:r>
          </w:p>
        </w:tc>
      </w:tr>
      <w:tr w:rsidR="00E94476" w:rsidRPr="00F95A57" w14:paraId="08496B99" w14:textId="77777777" w:rsidTr="00E94476">
        <w:trPr>
          <w:trHeight w:val="329"/>
        </w:trPr>
        <w:tc>
          <w:tcPr>
            <w:tcW w:w="235" w:type="pct"/>
          </w:tcPr>
          <w:p w14:paraId="10B6CF1E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37</w:t>
            </w:r>
          </w:p>
        </w:tc>
        <w:tc>
          <w:tcPr>
            <w:tcW w:w="1804" w:type="pct"/>
            <w:vAlign w:val="center"/>
          </w:tcPr>
          <w:p w14:paraId="50347003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As dosing of topical azithromycin is variable, this should be prescribed by a corneal specialist rather than a general ophthalmologist</w:t>
            </w:r>
          </w:p>
        </w:tc>
        <w:tc>
          <w:tcPr>
            <w:tcW w:w="879" w:type="pct"/>
            <w:vAlign w:val="center"/>
          </w:tcPr>
          <w:p w14:paraId="06BA1330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0.93</w:t>
            </w:r>
          </w:p>
        </w:tc>
        <w:tc>
          <w:tcPr>
            <w:tcW w:w="710" w:type="pct"/>
            <w:vAlign w:val="center"/>
          </w:tcPr>
          <w:p w14:paraId="2B7EC1B9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33.3</w:t>
            </w:r>
          </w:p>
        </w:tc>
        <w:tc>
          <w:tcPr>
            <w:tcW w:w="710" w:type="pct"/>
            <w:vAlign w:val="center"/>
          </w:tcPr>
          <w:p w14:paraId="38DAB345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60.0</w:t>
            </w:r>
          </w:p>
        </w:tc>
        <w:tc>
          <w:tcPr>
            <w:tcW w:w="662" w:type="pct"/>
            <w:vAlign w:val="center"/>
          </w:tcPr>
          <w:p w14:paraId="391C2879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Weak</w:t>
            </w:r>
          </w:p>
        </w:tc>
      </w:tr>
      <w:tr w:rsidR="00E94476" w:rsidRPr="00F95A57" w14:paraId="14DCC2FB" w14:textId="77777777" w:rsidTr="00E94476">
        <w:trPr>
          <w:trHeight w:val="329"/>
        </w:trPr>
        <w:tc>
          <w:tcPr>
            <w:tcW w:w="235" w:type="pct"/>
          </w:tcPr>
          <w:p w14:paraId="03B1848F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lastRenderedPageBreak/>
              <w:t>39</w:t>
            </w:r>
          </w:p>
        </w:tc>
        <w:tc>
          <w:tcPr>
            <w:tcW w:w="1804" w:type="pct"/>
            <w:vAlign w:val="center"/>
          </w:tcPr>
          <w:p w14:paraId="4C37095C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Patients with EDED may require an earlier use of doxycycline compared with ADDED</w:t>
            </w:r>
          </w:p>
        </w:tc>
        <w:tc>
          <w:tcPr>
            <w:tcW w:w="879" w:type="pct"/>
            <w:vAlign w:val="center"/>
          </w:tcPr>
          <w:p w14:paraId="766EFD17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3.20</w:t>
            </w:r>
          </w:p>
        </w:tc>
        <w:tc>
          <w:tcPr>
            <w:tcW w:w="710" w:type="pct"/>
            <w:vAlign w:val="center"/>
          </w:tcPr>
          <w:p w14:paraId="1AF04010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73.3</w:t>
            </w:r>
          </w:p>
        </w:tc>
        <w:tc>
          <w:tcPr>
            <w:tcW w:w="710" w:type="pct"/>
            <w:vAlign w:val="center"/>
          </w:tcPr>
          <w:p w14:paraId="0DD65E16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93.3</w:t>
            </w:r>
          </w:p>
        </w:tc>
        <w:tc>
          <w:tcPr>
            <w:tcW w:w="662" w:type="pct"/>
            <w:vAlign w:val="center"/>
          </w:tcPr>
          <w:p w14:paraId="73E43546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  <w:tr w:rsidR="00E94476" w:rsidRPr="00F95A57" w14:paraId="10B8B19A" w14:textId="77777777" w:rsidTr="00833B9B">
        <w:trPr>
          <w:trHeight w:val="329"/>
        </w:trPr>
        <w:tc>
          <w:tcPr>
            <w:tcW w:w="5000" w:type="pct"/>
            <w:gridSpan w:val="6"/>
            <w:vAlign w:val="center"/>
          </w:tcPr>
          <w:p w14:paraId="7430D718" w14:textId="77777777" w:rsidR="00E94476" w:rsidRPr="00F95A57" w:rsidRDefault="00E94476" w:rsidP="00590063">
            <w:pPr>
              <w:spacing w:line="48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F95A57">
              <w:rPr>
                <w:b/>
                <w:bCs/>
                <w:i/>
                <w:iCs/>
                <w:sz w:val="18"/>
                <w:szCs w:val="18"/>
              </w:rPr>
              <w:t>Referral</w:t>
            </w:r>
          </w:p>
        </w:tc>
      </w:tr>
      <w:tr w:rsidR="00E94476" w:rsidRPr="00F95A57" w14:paraId="63B6D34C" w14:textId="77777777" w:rsidTr="00E94476">
        <w:trPr>
          <w:trHeight w:val="329"/>
        </w:trPr>
        <w:tc>
          <w:tcPr>
            <w:tcW w:w="235" w:type="pct"/>
          </w:tcPr>
          <w:p w14:paraId="18821A6B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43</w:t>
            </w:r>
          </w:p>
        </w:tc>
        <w:tc>
          <w:tcPr>
            <w:tcW w:w="1804" w:type="pct"/>
            <w:vAlign w:val="center"/>
          </w:tcPr>
          <w:p w14:paraId="523C3A8F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 xml:space="preserve">Patients with filamentary keratitis should be referred to a general ophthalmologist in a </w:t>
            </w:r>
            <w:r w:rsidRPr="00F95A57">
              <w:rPr>
                <w:b/>
                <w:bCs/>
                <w:sz w:val="18"/>
                <w:szCs w:val="18"/>
              </w:rPr>
              <w:t>routine</w:t>
            </w:r>
            <w:r w:rsidRPr="00F95A57">
              <w:rPr>
                <w:sz w:val="18"/>
                <w:szCs w:val="18"/>
              </w:rPr>
              <w:t xml:space="preserve"> timeframe </w:t>
            </w:r>
          </w:p>
        </w:tc>
        <w:tc>
          <w:tcPr>
            <w:tcW w:w="879" w:type="pct"/>
            <w:vAlign w:val="center"/>
          </w:tcPr>
          <w:p w14:paraId="6B9F68EC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0.93</w:t>
            </w:r>
          </w:p>
        </w:tc>
        <w:tc>
          <w:tcPr>
            <w:tcW w:w="710" w:type="pct"/>
            <w:vAlign w:val="center"/>
          </w:tcPr>
          <w:p w14:paraId="5D8911EE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33.3</w:t>
            </w:r>
          </w:p>
        </w:tc>
        <w:tc>
          <w:tcPr>
            <w:tcW w:w="710" w:type="pct"/>
            <w:vAlign w:val="center"/>
          </w:tcPr>
          <w:p w14:paraId="6E81BC63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60.0</w:t>
            </w:r>
          </w:p>
        </w:tc>
        <w:tc>
          <w:tcPr>
            <w:tcW w:w="662" w:type="pct"/>
            <w:vAlign w:val="center"/>
          </w:tcPr>
          <w:p w14:paraId="02251582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Weak</w:t>
            </w:r>
          </w:p>
        </w:tc>
      </w:tr>
      <w:tr w:rsidR="00E94476" w:rsidRPr="00F95A57" w14:paraId="403576F5" w14:textId="77777777" w:rsidTr="00833B9B">
        <w:trPr>
          <w:trHeight w:val="329"/>
        </w:trPr>
        <w:tc>
          <w:tcPr>
            <w:tcW w:w="5000" w:type="pct"/>
            <w:gridSpan w:val="6"/>
            <w:vAlign w:val="center"/>
          </w:tcPr>
          <w:p w14:paraId="77D4F7DB" w14:textId="77777777" w:rsidR="00E94476" w:rsidRPr="00F95A57" w:rsidRDefault="00E94476" w:rsidP="00590063">
            <w:pPr>
              <w:spacing w:line="48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F95A57">
              <w:rPr>
                <w:b/>
                <w:bCs/>
                <w:i/>
                <w:iCs/>
                <w:sz w:val="18"/>
                <w:szCs w:val="18"/>
              </w:rPr>
              <w:t>Ongoing management and follow-up</w:t>
            </w:r>
          </w:p>
        </w:tc>
      </w:tr>
      <w:tr w:rsidR="00E94476" w:rsidRPr="00F95A57" w14:paraId="6E7355C7" w14:textId="77777777" w:rsidTr="00E94476">
        <w:trPr>
          <w:trHeight w:val="329"/>
        </w:trPr>
        <w:tc>
          <w:tcPr>
            <w:tcW w:w="235" w:type="pct"/>
          </w:tcPr>
          <w:p w14:paraId="5E216C25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51</w:t>
            </w:r>
          </w:p>
        </w:tc>
        <w:tc>
          <w:tcPr>
            <w:tcW w:w="1804" w:type="pct"/>
            <w:vAlign w:val="center"/>
          </w:tcPr>
          <w:p w14:paraId="433EAACC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Once DED is controlled, treatment should adhere to the principle of ‘as little as possible but as much as needed’</w:t>
            </w:r>
          </w:p>
        </w:tc>
        <w:tc>
          <w:tcPr>
            <w:tcW w:w="879" w:type="pct"/>
            <w:vAlign w:val="center"/>
          </w:tcPr>
          <w:p w14:paraId="562B2867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3.47</w:t>
            </w:r>
          </w:p>
        </w:tc>
        <w:tc>
          <w:tcPr>
            <w:tcW w:w="710" w:type="pct"/>
            <w:vAlign w:val="center"/>
          </w:tcPr>
          <w:p w14:paraId="50B9DE85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86.7</w:t>
            </w:r>
          </w:p>
        </w:tc>
        <w:tc>
          <w:tcPr>
            <w:tcW w:w="710" w:type="pct"/>
            <w:vAlign w:val="center"/>
          </w:tcPr>
          <w:p w14:paraId="059A6BC3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93.3</w:t>
            </w:r>
          </w:p>
        </w:tc>
        <w:tc>
          <w:tcPr>
            <w:tcW w:w="662" w:type="pct"/>
            <w:vAlign w:val="center"/>
          </w:tcPr>
          <w:p w14:paraId="1024CA58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  <w:tr w:rsidR="00E94476" w:rsidRPr="00F95A57" w14:paraId="5072B8E2" w14:textId="77777777" w:rsidTr="00E94476">
        <w:trPr>
          <w:trHeight w:val="329"/>
        </w:trPr>
        <w:tc>
          <w:tcPr>
            <w:tcW w:w="235" w:type="pct"/>
          </w:tcPr>
          <w:p w14:paraId="59AE9BE4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52</w:t>
            </w:r>
          </w:p>
        </w:tc>
        <w:tc>
          <w:tcPr>
            <w:tcW w:w="1804" w:type="pct"/>
            <w:vAlign w:val="center"/>
          </w:tcPr>
          <w:p w14:paraId="1A9F698C" w14:textId="6E9CD695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Lubricants and lid hygiene should be continued for life, even if DED is controlled, but the patient can tailor the frequency to their needs</w:t>
            </w:r>
            <w:r w:rsidR="00D74A67" w:rsidRPr="00F95A57">
              <w:rPr>
                <w:sz w:val="18"/>
                <w:szCs w:val="18"/>
              </w:rPr>
              <w:t>*</w:t>
            </w:r>
          </w:p>
        </w:tc>
        <w:tc>
          <w:tcPr>
            <w:tcW w:w="879" w:type="pct"/>
            <w:vAlign w:val="center"/>
          </w:tcPr>
          <w:p w14:paraId="70A0F307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2.53</w:t>
            </w:r>
          </w:p>
        </w:tc>
        <w:tc>
          <w:tcPr>
            <w:tcW w:w="710" w:type="pct"/>
            <w:vAlign w:val="center"/>
          </w:tcPr>
          <w:p w14:paraId="69984535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53.3</w:t>
            </w:r>
          </w:p>
        </w:tc>
        <w:tc>
          <w:tcPr>
            <w:tcW w:w="710" w:type="pct"/>
            <w:vAlign w:val="center"/>
          </w:tcPr>
          <w:p w14:paraId="11A3F13A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86.7</w:t>
            </w:r>
          </w:p>
        </w:tc>
        <w:tc>
          <w:tcPr>
            <w:tcW w:w="662" w:type="pct"/>
            <w:vAlign w:val="center"/>
          </w:tcPr>
          <w:p w14:paraId="5969F1EB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Strong</w:t>
            </w:r>
          </w:p>
        </w:tc>
      </w:tr>
      <w:tr w:rsidR="00E94476" w:rsidRPr="00F95A57" w14:paraId="633CB480" w14:textId="77777777" w:rsidTr="00E94476">
        <w:trPr>
          <w:trHeight w:val="329"/>
        </w:trPr>
        <w:tc>
          <w:tcPr>
            <w:tcW w:w="235" w:type="pct"/>
          </w:tcPr>
          <w:p w14:paraId="5C2BA13F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53</w:t>
            </w:r>
          </w:p>
        </w:tc>
        <w:tc>
          <w:tcPr>
            <w:tcW w:w="1804" w:type="pct"/>
            <w:vAlign w:val="center"/>
          </w:tcPr>
          <w:p w14:paraId="10D5E45A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Doxycycline should be held in reserve for rescue in case of flare-up</w:t>
            </w:r>
          </w:p>
        </w:tc>
        <w:tc>
          <w:tcPr>
            <w:tcW w:w="879" w:type="pct"/>
            <w:vAlign w:val="center"/>
          </w:tcPr>
          <w:p w14:paraId="78A60AD6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2.00</w:t>
            </w:r>
          </w:p>
        </w:tc>
        <w:tc>
          <w:tcPr>
            <w:tcW w:w="710" w:type="pct"/>
            <w:vAlign w:val="center"/>
          </w:tcPr>
          <w:p w14:paraId="14FAB226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26.7</w:t>
            </w:r>
          </w:p>
        </w:tc>
        <w:tc>
          <w:tcPr>
            <w:tcW w:w="710" w:type="pct"/>
            <w:vAlign w:val="center"/>
          </w:tcPr>
          <w:p w14:paraId="70911FC3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86.7</w:t>
            </w:r>
          </w:p>
        </w:tc>
        <w:tc>
          <w:tcPr>
            <w:tcW w:w="662" w:type="pct"/>
            <w:vAlign w:val="center"/>
          </w:tcPr>
          <w:p w14:paraId="0A7C7261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Weak</w:t>
            </w:r>
          </w:p>
        </w:tc>
      </w:tr>
      <w:tr w:rsidR="00E94476" w:rsidRPr="00F95A57" w14:paraId="53209D45" w14:textId="77777777" w:rsidTr="00E94476">
        <w:trPr>
          <w:trHeight w:val="329"/>
        </w:trPr>
        <w:tc>
          <w:tcPr>
            <w:tcW w:w="235" w:type="pct"/>
          </w:tcPr>
          <w:p w14:paraId="2AE5745C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54</w:t>
            </w:r>
          </w:p>
        </w:tc>
        <w:tc>
          <w:tcPr>
            <w:tcW w:w="1804" w:type="pct"/>
            <w:vAlign w:val="center"/>
          </w:tcPr>
          <w:p w14:paraId="3FADA971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 xml:space="preserve">If DED is controlled by </w:t>
            </w:r>
            <w:proofErr w:type="spellStart"/>
            <w:r w:rsidRPr="00F95A57">
              <w:rPr>
                <w:sz w:val="18"/>
                <w:szCs w:val="18"/>
              </w:rPr>
              <w:t>CsA</w:t>
            </w:r>
            <w:proofErr w:type="spellEnd"/>
            <w:r w:rsidRPr="00F95A57">
              <w:rPr>
                <w:sz w:val="18"/>
                <w:szCs w:val="18"/>
              </w:rPr>
              <w:t>, ongoing treatment should align with current guidelines</w:t>
            </w:r>
          </w:p>
        </w:tc>
        <w:tc>
          <w:tcPr>
            <w:tcW w:w="879" w:type="pct"/>
            <w:vAlign w:val="center"/>
          </w:tcPr>
          <w:p w14:paraId="044A1A7D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3.73</w:t>
            </w:r>
          </w:p>
        </w:tc>
        <w:tc>
          <w:tcPr>
            <w:tcW w:w="710" w:type="pct"/>
            <w:vAlign w:val="center"/>
          </w:tcPr>
          <w:p w14:paraId="29E6D6FF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86.7</w:t>
            </w:r>
          </w:p>
        </w:tc>
        <w:tc>
          <w:tcPr>
            <w:tcW w:w="710" w:type="pct"/>
            <w:vAlign w:val="center"/>
          </w:tcPr>
          <w:p w14:paraId="17D2C736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662" w:type="pct"/>
            <w:vAlign w:val="center"/>
          </w:tcPr>
          <w:p w14:paraId="0C311C8A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  <w:tr w:rsidR="00E94476" w:rsidRPr="00F95A57" w14:paraId="5DD05B81" w14:textId="77777777" w:rsidTr="00833B9B">
        <w:trPr>
          <w:trHeight w:val="329"/>
        </w:trPr>
        <w:tc>
          <w:tcPr>
            <w:tcW w:w="5000" w:type="pct"/>
            <w:gridSpan w:val="6"/>
            <w:vAlign w:val="center"/>
          </w:tcPr>
          <w:p w14:paraId="253E3051" w14:textId="77777777" w:rsidR="00E94476" w:rsidRPr="00F95A57" w:rsidRDefault="00E94476" w:rsidP="00590063">
            <w:pPr>
              <w:spacing w:line="48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F95A57">
              <w:rPr>
                <w:b/>
                <w:bCs/>
                <w:i/>
                <w:iCs/>
                <w:sz w:val="18"/>
                <w:szCs w:val="18"/>
              </w:rPr>
              <w:t>Discharge</w:t>
            </w:r>
          </w:p>
        </w:tc>
      </w:tr>
      <w:tr w:rsidR="00E94476" w:rsidRPr="00F95A57" w14:paraId="663E0935" w14:textId="77777777" w:rsidTr="00E94476">
        <w:trPr>
          <w:trHeight w:val="329"/>
        </w:trPr>
        <w:tc>
          <w:tcPr>
            <w:tcW w:w="235" w:type="pct"/>
          </w:tcPr>
          <w:p w14:paraId="1D535A07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57</w:t>
            </w:r>
          </w:p>
        </w:tc>
        <w:tc>
          <w:tcPr>
            <w:tcW w:w="1804" w:type="pct"/>
            <w:vAlign w:val="center"/>
          </w:tcPr>
          <w:p w14:paraId="21B1832E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Patients should be made aware of the nature of their disease, how to manage it, when to seek help and a point of contact in case of flare-ups</w:t>
            </w:r>
          </w:p>
        </w:tc>
        <w:tc>
          <w:tcPr>
            <w:tcW w:w="879" w:type="pct"/>
            <w:vAlign w:val="center"/>
          </w:tcPr>
          <w:p w14:paraId="32023DE0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3.73</w:t>
            </w:r>
          </w:p>
        </w:tc>
        <w:tc>
          <w:tcPr>
            <w:tcW w:w="710" w:type="pct"/>
            <w:vAlign w:val="center"/>
          </w:tcPr>
          <w:p w14:paraId="1B0C7CC4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86.7</w:t>
            </w:r>
          </w:p>
        </w:tc>
        <w:tc>
          <w:tcPr>
            <w:tcW w:w="710" w:type="pct"/>
            <w:vAlign w:val="center"/>
          </w:tcPr>
          <w:p w14:paraId="491B1C22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662" w:type="pct"/>
            <w:vAlign w:val="center"/>
          </w:tcPr>
          <w:p w14:paraId="30130F48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  <w:tr w:rsidR="00E94476" w:rsidRPr="00F95A57" w14:paraId="4FFD4ED7" w14:textId="77777777" w:rsidTr="00E94476">
        <w:trPr>
          <w:trHeight w:val="329"/>
        </w:trPr>
        <w:tc>
          <w:tcPr>
            <w:tcW w:w="235" w:type="pct"/>
          </w:tcPr>
          <w:p w14:paraId="74F41E1A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lastRenderedPageBreak/>
              <w:t>58</w:t>
            </w:r>
          </w:p>
        </w:tc>
        <w:tc>
          <w:tcPr>
            <w:tcW w:w="1804" w:type="pct"/>
            <w:vAlign w:val="center"/>
          </w:tcPr>
          <w:p w14:paraId="5433C235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Patients with DED could be discharged from secondary care to the care of their optometrist or GP for maintenance</w:t>
            </w:r>
          </w:p>
        </w:tc>
        <w:tc>
          <w:tcPr>
            <w:tcW w:w="879" w:type="pct"/>
            <w:vAlign w:val="center"/>
          </w:tcPr>
          <w:p w14:paraId="60AE4158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3.73</w:t>
            </w:r>
          </w:p>
        </w:tc>
        <w:tc>
          <w:tcPr>
            <w:tcW w:w="710" w:type="pct"/>
            <w:vAlign w:val="center"/>
          </w:tcPr>
          <w:p w14:paraId="180DC1DC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86.7</w:t>
            </w:r>
          </w:p>
        </w:tc>
        <w:tc>
          <w:tcPr>
            <w:tcW w:w="710" w:type="pct"/>
            <w:vAlign w:val="center"/>
          </w:tcPr>
          <w:p w14:paraId="62D2D62F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662" w:type="pct"/>
            <w:vAlign w:val="center"/>
          </w:tcPr>
          <w:p w14:paraId="4D6FAAEE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  <w:tr w:rsidR="00E94476" w:rsidRPr="00F95A57" w14:paraId="7AE3B607" w14:textId="77777777" w:rsidTr="00E94476">
        <w:trPr>
          <w:trHeight w:val="329"/>
        </w:trPr>
        <w:tc>
          <w:tcPr>
            <w:tcW w:w="235" w:type="pct"/>
          </w:tcPr>
          <w:p w14:paraId="43C67AE7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61</w:t>
            </w:r>
          </w:p>
        </w:tc>
        <w:tc>
          <w:tcPr>
            <w:tcW w:w="1804" w:type="pct"/>
            <w:vAlign w:val="center"/>
          </w:tcPr>
          <w:p w14:paraId="3065BFDE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 xml:space="preserve">Patients previously treated for moderate DED who experience a recurrence of symptoms, if not in a PIFU scheme, should initially present to their community optometrist </w:t>
            </w:r>
          </w:p>
        </w:tc>
        <w:tc>
          <w:tcPr>
            <w:tcW w:w="879" w:type="pct"/>
            <w:vAlign w:val="center"/>
          </w:tcPr>
          <w:p w14:paraId="4A7E7A38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2.67</w:t>
            </w:r>
          </w:p>
        </w:tc>
        <w:tc>
          <w:tcPr>
            <w:tcW w:w="710" w:type="pct"/>
            <w:vAlign w:val="center"/>
          </w:tcPr>
          <w:p w14:paraId="712396A0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60.0</w:t>
            </w:r>
          </w:p>
        </w:tc>
        <w:tc>
          <w:tcPr>
            <w:tcW w:w="710" w:type="pct"/>
            <w:vAlign w:val="center"/>
          </w:tcPr>
          <w:p w14:paraId="7D56619F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86.7</w:t>
            </w:r>
          </w:p>
        </w:tc>
        <w:tc>
          <w:tcPr>
            <w:tcW w:w="662" w:type="pct"/>
            <w:vAlign w:val="center"/>
          </w:tcPr>
          <w:p w14:paraId="75EC075F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Strong</w:t>
            </w:r>
          </w:p>
        </w:tc>
      </w:tr>
      <w:tr w:rsidR="00E94476" w:rsidRPr="00F95A57" w14:paraId="74C8A1A0" w14:textId="77777777" w:rsidTr="00E94476">
        <w:trPr>
          <w:trHeight w:val="329"/>
        </w:trPr>
        <w:tc>
          <w:tcPr>
            <w:tcW w:w="235" w:type="pct"/>
          </w:tcPr>
          <w:p w14:paraId="0CCB27C0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62</w:t>
            </w:r>
          </w:p>
        </w:tc>
        <w:tc>
          <w:tcPr>
            <w:tcW w:w="1804" w:type="pct"/>
            <w:vAlign w:val="center"/>
          </w:tcPr>
          <w:p w14:paraId="68C0B84E" w14:textId="77777777" w:rsidR="00E94476" w:rsidRPr="00F95A57" w:rsidRDefault="00E94476" w:rsidP="00590063">
            <w:pPr>
              <w:spacing w:line="480" w:lineRule="auto"/>
              <w:rPr>
                <w:sz w:val="18"/>
                <w:szCs w:val="18"/>
              </w:rPr>
            </w:pPr>
            <w:r w:rsidRPr="00F95A57">
              <w:rPr>
                <w:sz w:val="18"/>
                <w:szCs w:val="18"/>
              </w:rPr>
              <w:t>Patients previously treated for moderate DED who experience a recurrence of symptoms, if not in a PIFU scheme, should initially present to their community optometrist, or to the hospital eye service if their symptoms are severe</w:t>
            </w:r>
          </w:p>
        </w:tc>
        <w:tc>
          <w:tcPr>
            <w:tcW w:w="879" w:type="pct"/>
            <w:vAlign w:val="center"/>
          </w:tcPr>
          <w:p w14:paraId="446B7415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3.73</w:t>
            </w:r>
          </w:p>
        </w:tc>
        <w:tc>
          <w:tcPr>
            <w:tcW w:w="710" w:type="pct"/>
            <w:vAlign w:val="center"/>
          </w:tcPr>
          <w:p w14:paraId="69512B1C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86.7</w:t>
            </w:r>
          </w:p>
        </w:tc>
        <w:tc>
          <w:tcPr>
            <w:tcW w:w="710" w:type="pct"/>
            <w:vAlign w:val="center"/>
          </w:tcPr>
          <w:p w14:paraId="69EFB712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100.0</w:t>
            </w:r>
          </w:p>
        </w:tc>
        <w:tc>
          <w:tcPr>
            <w:tcW w:w="662" w:type="pct"/>
            <w:vAlign w:val="center"/>
          </w:tcPr>
          <w:p w14:paraId="2C4F2EF1" w14:textId="77777777" w:rsidR="00E94476" w:rsidRPr="00F95A57" w:rsidRDefault="00E94476" w:rsidP="00590063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F95A57">
              <w:rPr>
                <w:b/>
                <w:bCs/>
                <w:sz w:val="18"/>
                <w:szCs w:val="18"/>
              </w:rPr>
              <w:t>Very strong</w:t>
            </w:r>
          </w:p>
        </w:tc>
      </w:tr>
    </w:tbl>
    <w:p w14:paraId="7C59A97C" w14:textId="77777777" w:rsidR="00A049D5" w:rsidRPr="00F95A57" w:rsidRDefault="00A049D5" w:rsidP="00590063">
      <w:pPr>
        <w:spacing w:line="480" w:lineRule="auto"/>
        <w:ind w:left="360"/>
        <w:rPr>
          <w:sz w:val="16"/>
          <w:szCs w:val="16"/>
        </w:rPr>
      </w:pPr>
    </w:p>
    <w:p w14:paraId="79811E2A" w14:textId="64B26303" w:rsidR="000608E8" w:rsidRDefault="00A049D5" w:rsidP="00590063">
      <w:pPr>
        <w:spacing w:line="480" w:lineRule="auto"/>
        <w:ind w:left="360"/>
        <w:rPr>
          <w:b/>
          <w:bCs/>
        </w:rPr>
      </w:pPr>
      <w:r w:rsidRPr="00F95A57">
        <w:rPr>
          <w:sz w:val="16"/>
          <w:szCs w:val="16"/>
        </w:rPr>
        <w:t>*</w:t>
      </w:r>
      <w:r w:rsidR="00D74A67" w:rsidRPr="00F95A57">
        <w:rPr>
          <w:sz w:val="16"/>
          <w:szCs w:val="16"/>
        </w:rPr>
        <w:t>Statement applies to both eyes.</w:t>
      </w:r>
    </w:p>
    <w:sectPr w:rsidR="000608E8" w:rsidSect="0012698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98318" w14:textId="77777777" w:rsidR="00155C16" w:rsidRPr="00B14EF3" w:rsidRDefault="00155C16" w:rsidP="00EF7EC5">
      <w:pPr>
        <w:spacing w:after="0" w:line="240" w:lineRule="auto"/>
      </w:pPr>
      <w:r w:rsidRPr="00B14EF3">
        <w:separator/>
      </w:r>
    </w:p>
  </w:endnote>
  <w:endnote w:type="continuationSeparator" w:id="0">
    <w:p w14:paraId="6AAD2229" w14:textId="77777777" w:rsidR="00155C16" w:rsidRPr="00B14EF3" w:rsidRDefault="00155C16" w:rsidP="00EF7EC5">
      <w:pPr>
        <w:spacing w:after="0" w:line="240" w:lineRule="auto"/>
      </w:pPr>
      <w:r w:rsidRPr="00B14E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022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079C9" w14:textId="666B6DF3" w:rsidR="009C3980" w:rsidRDefault="009C39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A4C65" w14:textId="77777777" w:rsidR="009C3980" w:rsidRDefault="009C3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6A9E5" w14:textId="77777777" w:rsidR="00155C16" w:rsidRPr="00B14EF3" w:rsidRDefault="00155C16" w:rsidP="00EF7EC5">
      <w:pPr>
        <w:spacing w:after="0" w:line="240" w:lineRule="auto"/>
      </w:pPr>
      <w:r w:rsidRPr="00B14EF3">
        <w:separator/>
      </w:r>
    </w:p>
  </w:footnote>
  <w:footnote w:type="continuationSeparator" w:id="0">
    <w:p w14:paraId="3E9E26D5" w14:textId="77777777" w:rsidR="00155C16" w:rsidRPr="00B14EF3" w:rsidRDefault="00155C16" w:rsidP="00EF7EC5">
      <w:pPr>
        <w:spacing w:after="0" w:line="240" w:lineRule="auto"/>
      </w:pPr>
      <w:r w:rsidRPr="00B14E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9D60" w14:textId="77777777" w:rsidR="00A95D88" w:rsidRDefault="00A95D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351AC"/>
    <w:multiLevelType w:val="hybridMultilevel"/>
    <w:tmpl w:val="094E4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5167"/>
    <w:multiLevelType w:val="hybridMultilevel"/>
    <w:tmpl w:val="09929C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F4642"/>
    <w:multiLevelType w:val="hybridMultilevel"/>
    <w:tmpl w:val="33469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E1D62"/>
    <w:multiLevelType w:val="hybridMultilevel"/>
    <w:tmpl w:val="D5524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90A61"/>
    <w:multiLevelType w:val="hybridMultilevel"/>
    <w:tmpl w:val="25C68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C4B0C"/>
    <w:multiLevelType w:val="hybridMultilevel"/>
    <w:tmpl w:val="A0DA3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82A45"/>
    <w:multiLevelType w:val="hybridMultilevel"/>
    <w:tmpl w:val="523659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D40D2"/>
    <w:multiLevelType w:val="hybridMultilevel"/>
    <w:tmpl w:val="F1248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40F17"/>
    <w:multiLevelType w:val="hybridMultilevel"/>
    <w:tmpl w:val="A46A0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493853">
    <w:abstractNumId w:val="1"/>
  </w:num>
  <w:num w:numId="2" w16cid:durableId="1169713563">
    <w:abstractNumId w:val="6"/>
  </w:num>
  <w:num w:numId="3" w16cid:durableId="1099761950">
    <w:abstractNumId w:val="8"/>
  </w:num>
  <w:num w:numId="4" w16cid:durableId="610211745">
    <w:abstractNumId w:val="2"/>
  </w:num>
  <w:num w:numId="5" w16cid:durableId="1500003997">
    <w:abstractNumId w:val="4"/>
  </w:num>
  <w:num w:numId="6" w16cid:durableId="50082007">
    <w:abstractNumId w:val="7"/>
  </w:num>
  <w:num w:numId="7" w16cid:durableId="514996068">
    <w:abstractNumId w:val="5"/>
  </w:num>
  <w:num w:numId="8" w16cid:durableId="1786732477">
    <w:abstractNumId w:val="0"/>
  </w:num>
  <w:num w:numId="9" w16cid:durableId="1084254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B5"/>
    <w:rsid w:val="00001910"/>
    <w:rsid w:val="0000220D"/>
    <w:rsid w:val="00002C7D"/>
    <w:rsid w:val="00005392"/>
    <w:rsid w:val="00007CC9"/>
    <w:rsid w:val="00010ED3"/>
    <w:rsid w:val="00011A25"/>
    <w:rsid w:val="0001584F"/>
    <w:rsid w:val="00017AD9"/>
    <w:rsid w:val="000202BA"/>
    <w:rsid w:val="0002141D"/>
    <w:rsid w:val="000226B9"/>
    <w:rsid w:val="00023898"/>
    <w:rsid w:val="00024EEC"/>
    <w:rsid w:val="00030C83"/>
    <w:rsid w:val="00032738"/>
    <w:rsid w:val="000335ED"/>
    <w:rsid w:val="000336CF"/>
    <w:rsid w:val="00033B1F"/>
    <w:rsid w:val="00034B7B"/>
    <w:rsid w:val="00035CFB"/>
    <w:rsid w:val="00035E8D"/>
    <w:rsid w:val="00035F6D"/>
    <w:rsid w:val="000366A2"/>
    <w:rsid w:val="000369A7"/>
    <w:rsid w:val="000378C2"/>
    <w:rsid w:val="0004165E"/>
    <w:rsid w:val="000441BC"/>
    <w:rsid w:val="00050048"/>
    <w:rsid w:val="000516FF"/>
    <w:rsid w:val="00052E58"/>
    <w:rsid w:val="00055059"/>
    <w:rsid w:val="0005672B"/>
    <w:rsid w:val="000577FC"/>
    <w:rsid w:val="000579D8"/>
    <w:rsid w:val="000608E8"/>
    <w:rsid w:val="00065519"/>
    <w:rsid w:val="00067AA2"/>
    <w:rsid w:val="00071FF8"/>
    <w:rsid w:val="0007355E"/>
    <w:rsid w:val="00075A4B"/>
    <w:rsid w:val="00077091"/>
    <w:rsid w:val="00080413"/>
    <w:rsid w:val="00081801"/>
    <w:rsid w:val="0008490A"/>
    <w:rsid w:val="00085DE2"/>
    <w:rsid w:val="00086D02"/>
    <w:rsid w:val="00087544"/>
    <w:rsid w:val="000875E6"/>
    <w:rsid w:val="00091144"/>
    <w:rsid w:val="0009396A"/>
    <w:rsid w:val="00094764"/>
    <w:rsid w:val="00095CE9"/>
    <w:rsid w:val="000978CF"/>
    <w:rsid w:val="000A1ABD"/>
    <w:rsid w:val="000A2C13"/>
    <w:rsid w:val="000A361F"/>
    <w:rsid w:val="000A4B30"/>
    <w:rsid w:val="000A6E6E"/>
    <w:rsid w:val="000A716C"/>
    <w:rsid w:val="000B13C2"/>
    <w:rsid w:val="000B1820"/>
    <w:rsid w:val="000B2A62"/>
    <w:rsid w:val="000B3C63"/>
    <w:rsid w:val="000B3F0F"/>
    <w:rsid w:val="000B533C"/>
    <w:rsid w:val="000B56AF"/>
    <w:rsid w:val="000B6281"/>
    <w:rsid w:val="000B6BF2"/>
    <w:rsid w:val="000C301F"/>
    <w:rsid w:val="000C5625"/>
    <w:rsid w:val="000C653B"/>
    <w:rsid w:val="000D1618"/>
    <w:rsid w:val="000D313C"/>
    <w:rsid w:val="000D3800"/>
    <w:rsid w:val="000D45A9"/>
    <w:rsid w:val="000D4AA0"/>
    <w:rsid w:val="000D4C93"/>
    <w:rsid w:val="000D6F18"/>
    <w:rsid w:val="000D7314"/>
    <w:rsid w:val="000E19D6"/>
    <w:rsid w:val="000E1BBE"/>
    <w:rsid w:val="000E38D9"/>
    <w:rsid w:val="000E603F"/>
    <w:rsid w:val="000E658C"/>
    <w:rsid w:val="000E6F5E"/>
    <w:rsid w:val="000E7CAE"/>
    <w:rsid w:val="000E7EE2"/>
    <w:rsid w:val="000F0CC3"/>
    <w:rsid w:val="000F13D6"/>
    <w:rsid w:val="000F2990"/>
    <w:rsid w:val="000F3552"/>
    <w:rsid w:val="000F3C68"/>
    <w:rsid w:val="000F4945"/>
    <w:rsid w:val="000F5EDE"/>
    <w:rsid w:val="000F5FF8"/>
    <w:rsid w:val="000F6280"/>
    <w:rsid w:val="000F6BB5"/>
    <w:rsid w:val="00101683"/>
    <w:rsid w:val="0010481E"/>
    <w:rsid w:val="00104D2B"/>
    <w:rsid w:val="00104EA5"/>
    <w:rsid w:val="001058BB"/>
    <w:rsid w:val="001064E5"/>
    <w:rsid w:val="0010774C"/>
    <w:rsid w:val="001109A5"/>
    <w:rsid w:val="00110EC3"/>
    <w:rsid w:val="00111737"/>
    <w:rsid w:val="00112A58"/>
    <w:rsid w:val="001134F5"/>
    <w:rsid w:val="00114463"/>
    <w:rsid w:val="00116EEC"/>
    <w:rsid w:val="0012201C"/>
    <w:rsid w:val="00122148"/>
    <w:rsid w:val="00122570"/>
    <w:rsid w:val="00122F76"/>
    <w:rsid w:val="0012565B"/>
    <w:rsid w:val="0012698F"/>
    <w:rsid w:val="00127EA5"/>
    <w:rsid w:val="00127F53"/>
    <w:rsid w:val="00130D21"/>
    <w:rsid w:val="001326AF"/>
    <w:rsid w:val="00133AA0"/>
    <w:rsid w:val="00133E5B"/>
    <w:rsid w:val="001376B4"/>
    <w:rsid w:val="00142699"/>
    <w:rsid w:val="00143060"/>
    <w:rsid w:val="00145A34"/>
    <w:rsid w:val="00145D88"/>
    <w:rsid w:val="00146A0A"/>
    <w:rsid w:val="001527DD"/>
    <w:rsid w:val="001534BB"/>
    <w:rsid w:val="00153B8A"/>
    <w:rsid w:val="00155BEB"/>
    <w:rsid w:val="00155C16"/>
    <w:rsid w:val="00157816"/>
    <w:rsid w:val="0016197D"/>
    <w:rsid w:val="00162141"/>
    <w:rsid w:val="0016323E"/>
    <w:rsid w:val="001659F9"/>
    <w:rsid w:val="001710E1"/>
    <w:rsid w:val="00174DFE"/>
    <w:rsid w:val="00175163"/>
    <w:rsid w:val="00175917"/>
    <w:rsid w:val="00175F6D"/>
    <w:rsid w:val="0017612D"/>
    <w:rsid w:val="00177261"/>
    <w:rsid w:val="00182AC1"/>
    <w:rsid w:val="00182FAE"/>
    <w:rsid w:val="00184572"/>
    <w:rsid w:val="00190F6A"/>
    <w:rsid w:val="001919C9"/>
    <w:rsid w:val="001927B1"/>
    <w:rsid w:val="0019289C"/>
    <w:rsid w:val="00192EDB"/>
    <w:rsid w:val="001A102F"/>
    <w:rsid w:val="001A627E"/>
    <w:rsid w:val="001A62C4"/>
    <w:rsid w:val="001A6C3D"/>
    <w:rsid w:val="001A73D6"/>
    <w:rsid w:val="001B1547"/>
    <w:rsid w:val="001B3063"/>
    <w:rsid w:val="001B4822"/>
    <w:rsid w:val="001B515A"/>
    <w:rsid w:val="001B5236"/>
    <w:rsid w:val="001B7677"/>
    <w:rsid w:val="001B7797"/>
    <w:rsid w:val="001B7DF2"/>
    <w:rsid w:val="001C0457"/>
    <w:rsid w:val="001C17E4"/>
    <w:rsid w:val="001C340E"/>
    <w:rsid w:val="001C3CFD"/>
    <w:rsid w:val="001C3F2C"/>
    <w:rsid w:val="001C72B9"/>
    <w:rsid w:val="001D0E02"/>
    <w:rsid w:val="001D131A"/>
    <w:rsid w:val="001D2413"/>
    <w:rsid w:val="001D2FB8"/>
    <w:rsid w:val="001D328D"/>
    <w:rsid w:val="001D6E5B"/>
    <w:rsid w:val="001D6FF5"/>
    <w:rsid w:val="001D77AF"/>
    <w:rsid w:val="001E2A46"/>
    <w:rsid w:val="001E3230"/>
    <w:rsid w:val="001E39E5"/>
    <w:rsid w:val="001E3E1D"/>
    <w:rsid w:val="001E7C06"/>
    <w:rsid w:val="001F0B35"/>
    <w:rsid w:val="001F13CA"/>
    <w:rsid w:val="001F1E6E"/>
    <w:rsid w:val="001F3922"/>
    <w:rsid w:val="001F3F2A"/>
    <w:rsid w:val="001F5064"/>
    <w:rsid w:val="001F606B"/>
    <w:rsid w:val="001F6D2E"/>
    <w:rsid w:val="00201786"/>
    <w:rsid w:val="002043B2"/>
    <w:rsid w:val="0020442D"/>
    <w:rsid w:val="00204444"/>
    <w:rsid w:val="00205729"/>
    <w:rsid w:val="00207278"/>
    <w:rsid w:val="0021109A"/>
    <w:rsid w:val="0021198A"/>
    <w:rsid w:val="00212F84"/>
    <w:rsid w:val="00215256"/>
    <w:rsid w:val="002169AD"/>
    <w:rsid w:val="0021719F"/>
    <w:rsid w:val="00227F84"/>
    <w:rsid w:val="0023058D"/>
    <w:rsid w:val="00231B05"/>
    <w:rsid w:val="00233060"/>
    <w:rsid w:val="00233516"/>
    <w:rsid w:val="00234587"/>
    <w:rsid w:val="0023491E"/>
    <w:rsid w:val="0023576F"/>
    <w:rsid w:val="002359F1"/>
    <w:rsid w:val="00241827"/>
    <w:rsid w:val="00241B94"/>
    <w:rsid w:val="00242171"/>
    <w:rsid w:val="00243E8A"/>
    <w:rsid w:val="0024455C"/>
    <w:rsid w:val="002451AF"/>
    <w:rsid w:val="00250AC9"/>
    <w:rsid w:val="0025189C"/>
    <w:rsid w:val="00253AD7"/>
    <w:rsid w:val="00256758"/>
    <w:rsid w:val="00256E1A"/>
    <w:rsid w:val="0025779D"/>
    <w:rsid w:val="002579E1"/>
    <w:rsid w:val="00260923"/>
    <w:rsid w:val="00266EBA"/>
    <w:rsid w:val="00270A05"/>
    <w:rsid w:val="00270C00"/>
    <w:rsid w:val="00270F80"/>
    <w:rsid w:val="00271335"/>
    <w:rsid w:val="002768AB"/>
    <w:rsid w:val="00277667"/>
    <w:rsid w:val="002812DE"/>
    <w:rsid w:val="00281499"/>
    <w:rsid w:val="002814FD"/>
    <w:rsid w:val="00284295"/>
    <w:rsid w:val="00284F67"/>
    <w:rsid w:val="002863EB"/>
    <w:rsid w:val="002867CB"/>
    <w:rsid w:val="00286B2D"/>
    <w:rsid w:val="00287F7A"/>
    <w:rsid w:val="0029024B"/>
    <w:rsid w:val="00292E30"/>
    <w:rsid w:val="00292EE0"/>
    <w:rsid w:val="00293198"/>
    <w:rsid w:val="002936D3"/>
    <w:rsid w:val="00295998"/>
    <w:rsid w:val="002A125F"/>
    <w:rsid w:val="002A17C7"/>
    <w:rsid w:val="002A197C"/>
    <w:rsid w:val="002A1E19"/>
    <w:rsid w:val="002A2697"/>
    <w:rsid w:val="002A3A05"/>
    <w:rsid w:val="002A4913"/>
    <w:rsid w:val="002A60E8"/>
    <w:rsid w:val="002A6E83"/>
    <w:rsid w:val="002B0582"/>
    <w:rsid w:val="002B1300"/>
    <w:rsid w:val="002B4FF4"/>
    <w:rsid w:val="002B589D"/>
    <w:rsid w:val="002B6283"/>
    <w:rsid w:val="002C1B89"/>
    <w:rsid w:val="002C7266"/>
    <w:rsid w:val="002D15E2"/>
    <w:rsid w:val="002D2327"/>
    <w:rsid w:val="002D4675"/>
    <w:rsid w:val="002D6D62"/>
    <w:rsid w:val="002E0BBD"/>
    <w:rsid w:val="002E1212"/>
    <w:rsid w:val="002E1AC1"/>
    <w:rsid w:val="002E1BCF"/>
    <w:rsid w:val="002E1DDE"/>
    <w:rsid w:val="002E205E"/>
    <w:rsid w:val="002E25D9"/>
    <w:rsid w:val="002E2627"/>
    <w:rsid w:val="002F128E"/>
    <w:rsid w:val="002F174C"/>
    <w:rsid w:val="002F46D0"/>
    <w:rsid w:val="002F5867"/>
    <w:rsid w:val="002F5D1B"/>
    <w:rsid w:val="002F6420"/>
    <w:rsid w:val="003036CE"/>
    <w:rsid w:val="00304D92"/>
    <w:rsid w:val="00306CDB"/>
    <w:rsid w:val="00312503"/>
    <w:rsid w:val="00312719"/>
    <w:rsid w:val="00314272"/>
    <w:rsid w:val="003144F8"/>
    <w:rsid w:val="00314D2F"/>
    <w:rsid w:val="003202DA"/>
    <w:rsid w:val="00321C2E"/>
    <w:rsid w:val="00322DD9"/>
    <w:rsid w:val="003233BE"/>
    <w:rsid w:val="00324A61"/>
    <w:rsid w:val="0032581D"/>
    <w:rsid w:val="00334358"/>
    <w:rsid w:val="00334992"/>
    <w:rsid w:val="0033667B"/>
    <w:rsid w:val="00336BE9"/>
    <w:rsid w:val="00336DC5"/>
    <w:rsid w:val="003402F3"/>
    <w:rsid w:val="00340F2B"/>
    <w:rsid w:val="003411CA"/>
    <w:rsid w:val="003431CD"/>
    <w:rsid w:val="00344B73"/>
    <w:rsid w:val="003452D9"/>
    <w:rsid w:val="00346568"/>
    <w:rsid w:val="0034670C"/>
    <w:rsid w:val="00346804"/>
    <w:rsid w:val="00350AF2"/>
    <w:rsid w:val="00352342"/>
    <w:rsid w:val="00352526"/>
    <w:rsid w:val="0035365D"/>
    <w:rsid w:val="00353B54"/>
    <w:rsid w:val="0035443E"/>
    <w:rsid w:val="00354550"/>
    <w:rsid w:val="00354861"/>
    <w:rsid w:val="00355CDE"/>
    <w:rsid w:val="00357AFC"/>
    <w:rsid w:val="0036010B"/>
    <w:rsid w:val="0036170B"/>
    <w:rsid w:val="00364883"/>
    <w:rsid w:val="00365C63"/>
    <w:rsid w:val="003662D9"/>
    <w:rsid w:val="00366C75"/>
    <w:rsid w:val="003670A9"/>
    <w:rsid w:val="003679C6"/>
    <w:rsid w:val="00367FE7"/>
    <w:rsid w:val="0037025E"/>
    <w:rsid w:val="003712FD"/>
    <w:rsid w:val="00372B16"/>
    <w:rsid w:val="00374249"/>
    <w:rsid w:val="0037446C"/>
    <w:rsid w:val="00374DF8"/>
    <w:rsid w:val="00375809"/>
    <w:rsid w:val="0038254C"/>
    <w:rsid w:val="00382741"/>
    <w:rsid w:val="0038287D"/>
    <w:rsid w:val="00383660"/>
    <w:rsid w:val="00390C91"/>
    <w:rsid w:val="00390FB3"/>
    <w:rsid w:val="0039107B"/>
    <w:rsid w:val="00393575"/>
    <w:rsid w:val="0039501C"/>
    <w:rsid w:val="0039566B"/>
    <w:rsid w:val="003959F1"/>
    <w:rsid w:val="00395E7F"/>
    <w:rsid w:val="00396227"/>
    <w:rsid w:val="003A2B3E"/>
    <w:rsid w:val="003A47A3"/>
    <w:rsid w:val="003A482A"/>
    <w:rsid w:val="003A55EE"/>
    <w:rsid w:val="003A719E"/>
    <w:rsid w:val="003A733A"/>
    <w:rsid w:val="003A7979"/>
    <w:rsid w:val="003B030C"/>
    <w:rsid w:val="003B0540"/>
    <w:rsid w:val="003B1226"/>
    <w:rsid w:val="003B1F11"/>
    <w:rsid w:val="003B22FC"/>
    <w:rsid w:val="003B37E8"/>
    <w:rsid w:val="003B387E"/>
    <w:rsid w:val="003B4C00"/>
    <w:rsid w:val="003B539F"/>
    <w:rsid w:val="003B696E"/>
    <w:rsid w:val="003B78E3"/>
    <w:rsid w:val="003C164C"/>
    <w:rsid w:val="003C16F3"/>
    <w:rsid w:val="003C39A7"/>
    <w:rsid w:val="003C3A33"/>
    <w:rsid w:val="003C3F85"/>
    <w:rsid w:val="003C5CEF"/>
    <w:rsid w:val="003D2F7B"/>
    <w:rsid w:val="003D3293"/>
    <w:rsid w:val="003D3671"/>
    <w:rsid w:val="003D3783"/>
    <w:rsid w:val="003D5DFC"/>
    <w:rsid w:val="003D72F5"/>
    <w:rsid w:val="003E1CE2"/>
    <w:rsid w:val="003E1FA0"/>
    <w:rsid w:val="003E4AF1"/>
    <w:rsid w:val="003E523D"/>
    <w:rsid w:val="003E6AC7"/>
    <w:rsid w:val="003E7BE9"/>
    <w:rsid w:val="003F0A13"/>
    <w:rsid w:val="003F2BA9"/>
    <w:rsid w:val="003F312B"/>
    <w:rsid w:val="003F68BB"/>
    <w:rsid w:val="003F6B4F"/>
    <w:rsid w:val="00400B82"/>
    <w:rsid w:val="0040278F"/>
    <w:rsid w:val="0040680B"/>
    <w:rsid w:val="004103F2"/>
    <w:rsid w:val="00410A62"/>
    <w:rsid w:val="00411CA8"/>
    <w:rsid w:val="00411FCE"/>
    <w:rsid w:val="00412B87"/>
    <w:rsid w:val="00414ABA"/>
    <w:rsid w:val="00420EF7"/>
    <w:rsid w:val="00421035"/>
    <w:rsid w:val="00422C39"/>
    <w:rsid w:val="004249AE"/>
    <w:rsid w:val="00426AF5"/>
    <w:rsid w:val="00427D62"/>
    <w:rsid w:val="0043148B"/>
    <w:rsid w:val="004324C2"/>
    <w:rsid w:val="0043384D"/>
    <w:rsid w:val="004339D9"/>
    <w:rsid w:val="00437B90"/>
    <w:rsid w:val="00440DF7"/>
    <w:rsid w:val="00441C00"/>
    <w:rsid w:val="004426F5"/>
    <w:rsid w:val="004440B5"/>
    <w:rsid w:val="0044529A"/>
    <w:rsid w:val="004475B6"/>
    <w:rsid w:val="00447631"/>
    <w:rsid w:val="00447DB9"/>
    <w:rsid w:val="00451876"/>
    <w:rsid w:val="00453A6F"/>
    <w:rsid w:val="00454633"/>
    <w:rsid w:val="004575EF"/>
    <w:rsid w:val="00457704"/>
    <w:rsid w:val="00457C54"/>
    <w:rsid w:val="00461AEA"/>
    <w:rsid w:val="00461CEA"/>
    <w:rsid w:val="00462970"/>
    <w:rsid w:val="00462AFB"/>
    <w:rsid w:val="0046444A"/>
    <w:rsid w:val="00466703"/>
    <w:rsid w:val="00470D26"/>
    <w:rsid w:val="00472300"/>
    <w:rsid w:val="00472F16"/>
    <w:rsid w:val="0047368A"/>
    <w:rsid w:val="00474255"/>
    <w:rsid w:val="0047518D"/>
    <w:rsid w:val="0047619E"/>
    <w:rsid w:val="00481577"/>
    <w:rsid w:val="00483F87"/>
    <w:rsid w:val="0048597E"/>
    <w:rsid w:val="0048599F"/>
    <w:rsid w:val="00487CEF"/>
    <w:rsid w:val="0049447B"/>
    <w:rsid w:val="00495E63"/>
    <w:rsid w:val="004A0D8D"/>
    <w:rsid w:val="004A1261"/>
    <w:rsid w:val="004A155E"/>
    <w:rsid w:val="004A1AF2"/>
    <w:rsid w:val="004A2E9C"/>
    <w:rsid w:val="004A553E"/>
    <w:rsid w:val="004A6F3F"/>
    <w:rsid w:val="004B123A"/>
    <w:rsid w:val="004B1D9D"/>
    <w:rsid w:val="004B1E75"/>
    <w:rsid w:val="004B29E4"/>
    <w:rsid w:val="004B2D91"/>
    <w:rsid w:val="004B524D"/>
    <w:rsid w:val="004C2B6B"/>
    <w:rsid w:val="004C4C8B"/>
    <w:rsid w:val="004C7BFF"/>
    <w:rsid w:val="004D0430"/>
    <w:rsid w:val="004D5F1A"/>
    <w:rsid w:val="004D7EA6"/>
    <w:rsid w:val="004E094B"/>
    <w:rsid w:val="004E18EF"/>
    <w:rsid w:val="004E3107"/>
    <w:rsid w:val="004E637B"/>
    <w:rsid w:val="004F00C2"/>
    <w:rsid w:val="004F117E"/>
    <w:rsid w:val="004F7E0A"/>
    <w:rsid w:val="00501893"/>
    <w:rsid w:val="00501E5D"/>
    <w:rsid w:val="00503739"/>
    <w:rsid w:val="00513995"/>
    <w:rsid w:val="00514DD3"/>
    <w:rsid w:val="00515670"/>
    <w:rsid w:val="00520EAE"/>
    <w:rsid w:val="00524238"/>
    <w:rsid w:val="00524BD6"/>
    <w:rsid w:val="00524BFE"/>
    <w:rsid w:val="0052602D"/>
    <w:rsid w:val="00526247"/>
    <w:rsid w:val="00532263"/>
    <w:rsid w:val="00535886"/>
    <w:rsid w:val="005372E2"/>
    <w:rsid w:val="00537E4A"/>
    <w:rsid w:val="005410CB"/>
    <w:rsid w:val="005427EB"/>
    <w:rsid w:val="005432D6"/>
    <w:rsid w:val="0054408F"/>
    <w:rsid w:val="00544988"/>
    <w:rsid w:val="00544FD1"/>
    <w:rsid w:val="00545BCD"/>
    <w:rsid w:val="00545D95"/>
    <w:rsid w:val="00546891"/>
    <w:rsid w:val="00550C9B"/>
    <w:rsid w:val="00552281"/>
    <w:rsid w:val="00552649"/>
    <w:rsid w:val="00552793"/>
    <w:rsid w:val="00553EF1"/>
    <w:rsid w:val="005574FC"/>
    <w:rsid w:val="00557F0C"/>
    <w:rsid w:val="005642EE"/>
    <w:rsid w:val="005667A5"/>
    <w:rsid w:val="005673EB"/>
    <w:rsid w:val="00571169"/>
    <w:rsid w:val="00572A09"/>
    <w:rsid w:val="0057409E"/>
    <w:rsid w:val="005747F9"/>
    <w:rsid w:val="0057522A"/>
    <w:rsid w:val="0057652A"/>
    <w:rsid w:val="00577F43"/>
    <w:rsid w:val="005812F3"/>
    <w:rsid w:val="005829D2"/>
    <w:rsid w:val="00584EDA"/>
    <w:rsid w:val="005861A4"/>
    <w:rsid w:val="005861CA"/>
    <w:rsid w:val="00590063"/>
    <w:rsid w:val="00592683"/>
    <w:rsid w:val="005943E1"/>
    <w:rsid w:val="00595222"/>
    <w:rsid w:val="00596062"/>
    <w:rsid w:val="005A0AE3"/>
    <w:rsid w:val="005A1465"/>
    <w:rsid w:val="005A1C72"/>
    <w:rsid w:val="005A225B"/>
    <w:rsid w:val="005A3163"/>
    <w:rsid w:val="005A319F"/>
    <w:rsid w:val="005A3A56"/>
    <w:rsid w:val="005A3B72"/>
    <w:rsid w:val="005A4C07"/>
    <w:rsid w:val="005A68E2"/>
    <w:rsid w:val="005A720C"/>
    <w:rsid w:val="005B18C6"/>
    <w:rsid w:val="005B23B2"/>
    <w:rsid w:val="005B52E4"/>
    <w:rsid w:val="005B5BDB"/>
    <w:rsid w:val="005B5F84"/>
    <w:rsid w:val="005B6471"/>
    <w:rsid w:val="005B6767"/>
    <w:rsid w:val="005B76CB"/>
    <w:rsid w:val="005C0275"/>
    <w:rsid w:val="005C0EB2"/>
    <w:rsid w:val="005C2469"/>
    <w:rsid w:val="005C3247"/>
    <w:rsid w:val="005C3681"/>
    <w:rsid w:val="005C3991"/>
    <w:rsid w:val="005C46F5"/>
    <w:rsid w:val="005C67D8"/>
    <w:rsid w:val="005C6B4F"/>
    <w:rsid w:val="005C7431"/>
    <w:rsid w:val="005D0498"/>
    <w:rsid w:val="005D1A69"/>
    <w:rsid w:val="005D2A42"/>
    <w:rsid w:val="005D305B"/>
    <w:rsid w:val="005D31ED"/>
    <w:rsid w:val="005D479A"/>
    <w:rsid w:val="005D4960"/>
    <w:rsid w:val="005D688A"/>
    <w:rsid w:val="005E0AE2"/>
    <w:rsid w:val="005E0B4B"/>
    <w:rsid w:val="005E317D"/>
    <w:rsid w:val="005E3DCE"/>
    <w:rsid w:val="005E57B9"/>
    <w:rsid w:val="005E70AA"/>
    <w:rsid w:val="005F1C1B"/>
    <w:rsid w:val="005F4B61"/>
    <w:rsid w:val="005F60F1"/>
    <w:rsid w:val="006019A1"/>
    <w:rsid w:val="0060299F"/>
    <w:rsid w:val="00602C14"/>
    <w:rsid w:val="00603535"/>
    <w:rsid w:val="00605177"/>
    <w:rsid w:val="00607CED"/>
    <w:rsid w:val="00607F5E"/>
    <w:rsid w:val="00611B89"/>
    <w:rsid w:val="006125A1"/>
    <w:rsid w:val="00615262"/>
    <w:rsid w:val="006178C9"/>
    <w:rsid w:val="00617E67"/>
    <w:rsid w:val="00622BD5"/>
    <w:rsid w:val="00625406"/>
    <w:rsid w:val="006260FE"/>
    <w:rsid w:val="00626675"/>
    <w:rsid w:val="00626D27"/>
    <w:rsid w:val="00626E97"/>
    <w:rsid w:val="006330A2"/>
    <w:rsid w:val="006339C7"/>
    <w:rsid w:val="00635A9F"/>
    <w:rsid w:val="00636EC2"/>
    <w:rsid w:val="006403C4"/>
    <w:rsid w:val="00640638"/>
    <w:rsid w:val="006428F3"/>
    <w:rsid w:val="0064491E"/>
    <w:rsid w:val="00644ED1"/>
    <w:rsid w:val="0064581F"/>
    <w:rsid w:val="00646E90"/>
    <w:rsid w:val="00647497"/>
    <w:rsid w:val="00650D50"/>
    <w:rsid w:val="00653DB5"/>
    <w:rsid w:val="00655547"/>
    <w:rsid w:val="00657A6D"/>
    <w:rsid w:val="00660329"/>
    <w:rsid w:val="00661521"/>
    <w:rsid w:val="00670093"/>
    <w:rsid w:val="0067059E"/>
    <w:rsid w:val="00671067"/>
    <w:rsid w:val="00676511"/>
    <w:rsid w:val="0068162B"/>
    <w:rsid w:val="00682897"/>
    <w:rsid w:val="00683D1D"/>
    <w:rsid w:val="0068558D"/>
    <w:rsid w:val="00692810"/>
    <w:rsid w:val="00692F18"/>
    <w:rsid w:val="00693DE3"/>
    <w:rsid w:val="00693DF6"/>
    <w:rsid w:val="00695061"/>
    <w:rsid w:val="006953F1"/>
    <w:rsid w:val="00695940"/>
    <w:rsid w:val="00695ACB"/>
    <w:rsid w:val="006968C9"/>
    <w:rsid w:val="006975CC"/>
    <w:rsid w:val="006A2336"/>
    <w:rsid w:val="006A27E9"/>
    <w:rsid w:val="006A2898"/>
    <w:rsid w:val="006A526E"/>
    <w:rsid w:val="006A63DE"/>
    <w:rsid w:val="006A6DDD"/>
    <w:rsid w:val="006A70AA"/>
    <w:rsid w:val="006B1615"/>
    <w:rsid w:val="006B4615"/>
    <w:rsid w:val="006B51F0"/>
    <w:rsid w:val="006B7888"/>
    <w:rsid w:val="006C05BC"/>
    <w:rsid w:val="006C149A"/>
    <w:rsid w:val="006C4C9A"/>
    <w:rsid w:val="006C79E7"/>
    <w:rsid w:val="006D0443"/>
    <w:rsid w:val="006D0DC4"/>
    <w:rsid w:val="006D0F1B"/>
    <w:rsid w:val="006D0FAF"/>
    <w:rsid w:val="006D21DF"/>
    <w:rsid w:val="006D7CF3"/>
    <w:rsid w:val="006E017D"/>
    <w:rsid w:val="006E018E"/>
    <w:rsid w:val="006E02A3"/>
    <w:rsid w:val="006E034B"/>
    <w:rsid w:val="006E3811"/>
    <w:rsid w:val="006E5CC5"/>
    <w:rsid w:val="006E645D"/>
    <w:rsid w:val="006E7059"/>
    <w:rsid w:val="006F08F2"/>
    <w:rsid w:val="006F11DD"/>
    <w:rsid w:val="006F328A"/>
    <w:rsid w:val="006F4C1E"/>
    <w:rsid w:val="006F7061"/>
    <w:rsid w:val="006F773B"/>
    <w:rsid w:val="00703436"/>
    <w:rsid w:val="00707508"/>
    <w:rsid w:val="0070774D"/>
    <w:rsid w:val="007150CA"/>
    <w:rsid w:val="007179D8"/>
    <w:rsid w:val="00720745"/>
    <w:rsid w:val="00723FBF"/>
    <w:rsid w:val="00724BC3"/>
    <w:rsid w:val="007306B3"/>
    <w:rsid w:val="00731496"/>
    <w:rsid w:val="00733A50"/>
    <w:rsid w:val="00734718"/>
    <w:rsid w:val="00734B27"/>
    <w:rsid w:val="00734E98"/>
    <w:rsid w:val="00736B35"/>
    <w:rsid w:val="00740D02"/>
    <w:rsid w:val="00741909"/>
    <w:rsid w:val="00746008"/>
    <w:rsid w:val="007473E0"/>
    <w:rsid w:val="00747661"/>
    <w:rsid w:val="00750992"/>
    <w:rsid w:val="0075197E"/>
    <w:rsid w:val="00755047"/>
    <w:rsid w:val="007609D5"/>
    <w:rsid w:val="007632AB"/>
    <w:rsid w:val="0076330C"/>
    <w:rsid w:val="00766AAE"/>
    <w:rsid w:val="007674D2"/>
    <w:rsid w:val="00771E9D"/>
    <w:rsid w:val="007730DD"/>
    <w:rsid w:val="00774C3B"/>
    <w:rsid w:val="00776D71"/>
    <w:rsid w:val="00776E74"/>
    <w:rsid w:val="0077730E"/>
    <w:rsid w:val="00777D13"/>
    <w:rsid w:val="00780B42"/>
    <w:rsid w:val="00781364"/>
    <w:rsid w:val="00782E71"/>
    <w:rsid w:val="00784E3C"/>
    <w:rsid w:val="00786403"/>
    <w:rsid w:val="00790796"/>
    <w:rsid w:val="0079336C"/>
    <w:rsid w:val="00793C4C"/>
    <w:rsid w:val="00794EAC"/>
    <w:rsid w:val="00796490"/>
    <w:rsid w:val="007A0083"/>
    <w:rsid w:val="007A1922"/>
    <w:rsid w:val="007A418A"/>
    <w:rsid w:val="007A45ED"/>
    <w:rsid w:val="007A7F54"/>
    <w:rsid w:val="007B0550"/>
    <w:rsid w:val="007B0DE1"/>
    <w:rsid w:val="007B2399"/>
    <w:rsid w:val="007B31C6"/>
    <w:rsid w:val="007B36AE"/>
    <w:rsid w:val="007B41E2"/>
    <w:rsid w:val="007B5129"/>
    <w:rsid w:val="007B5444"/>
    <w:rsid w:val="007C1CBC"/>
    <w:rsid w:val="007C1EC4"/>
    <w:rsid w:val="007C38F1"/>
    <w:rsid w:val="007C755C"/>
    <w:rsid w:val="007C7E7A"/>
    <w:rsid w:val="007D0B49"/>
    <w:rsid w:val="007D244C"/>
    <w:rsid w:val="007D2B63"/>
    <w:rsid w:val="007D374C"/>
    <w:rsid w:val="007D39FA"/>
    <w:rsid w:val="007D5E20"/>
    <w:rsid w:val="007D7F2D"/>
    <w:rsid w:val="007E03EA"/>
    <w:rsid w:val="007E0644"/>
    <w:rsid w:val="007E7DEE"/>
    <w:rsid w:val="007F0789"/>
    <w:rsid w:val="007F0B04"/>
    <w:rsid w:val="007F771A"/>
    <w:rsid w:val="007F79F7"/>
    <w:rsid w:val="00800E73"/>
    <w:rsid w:val="0080145C"/>
    <w:rsid w:val="00802106"/>
    <w:rsid w:val="00802A39"/>
    <w:rsid w:val="00803322"/>
    <w:rsid w:val="008063A3"/>
    <w:rsid w:val="00806506"/>
    <w:rsid w:val="008115FD"/>
    <w:rsid w:val="00814A91"/>
    <w:rsid w:val="00814DDC"/>
    <w:rsid w:val="0081637D"/>
    <w:rsid w:val="0081649C"/>
    <w:rsid w:val="00817292"/>
    <w:rsid w:val="008202E6"/>
    <w:rsid w:val="00820708"/>
    <w:rsid w:val="008229A5"/>
    <w:rsid w:val="00822A1A"/>
    <w:rsid w:val="00822D5E"/>
    <w:rsid w:val="00823F8D"/>
    <w:rsid w:val="008240B7"/>
    <w:rsid w:val="00824986"/>
    <w:rsid w:val="00825FD5"/>
    <w:rsid w:val="0083015B"/>
    <w:rsid w:val="00834A25"/>
    <w:rsid w:val="00837351"/>
    <w:rsid w:val="00837A27"/>
    <w:rsid w:val="0084318D"/>
    <w:rsid w:val="00843234"/>
    <w:rsid w:val="008458AC"/>
    <w:rsid w:val="00846C4F"/>
    <w:rsid w:val="00847916"/>
    <w:rsid w:val="008519E2"/>
    <w:rsid w:val="008526FB"/>
    <w:rsid w:val="00854D89"/>
    <w:rsid w:val="00856584"/>
    <w:rsid w:val="008569AE"/>
    <w:rsid w:val="0085720D"/>
    <w:rsid w:val="00860CFA"/>
    <w:rsid w:val="0086185A"/>
    <w:rsid w:val="008624B7"/>
    <w:rsid w:val="00863261"/>
    <w:rsid w:val="00863536"/>
    <w:rsid w:val="008635CB"/>
    <w:rsid w:val="00864223"/>
    <w:rsid w:val="008648AF"/>
    <w:rsid w:val="00865703"/>
    <w:rsid w:val="008727FA"/>
    <w:rsid w:val="00873B7B"/>
    <w:rsid w:val="0087443F"/>
    <w:rsid w:val="00875CC5"/>
    <w:rsid w:val="00880949"/>
    <w:rsid w:val="00881F93"/>
    <w:rsid w:val="008834B8"/>
    <w:rsid w:val="0088357A"/>
    <w:rsid w:val="00884029"/>
    <w:rsid w:val="008853D5"/>
    <w:rsid w:val="008859D3"/>
    <w:rsid w:val="0088754C"/>
    <w:rsid w:val="008879A0"/>
    <w:rsid w:val="00890BC8"/>
    <w:rsid w:val="00890D37"/>
    <w:rsid w:val="00892CB1"/>
    <w:rsid w:val="00894939"/>
    <w:rsid w:val="00896492"/>
    <w:rsid w:val="00896BB5"/>
    <w:rsid w:val="008A00B7"/>
    <w:rsid w:val="008A13C1"/>
    <w:rsid w:val="008A27D6"/>
    <w:rsid w:val="008A4445"/>
    <w:rsid w:val="008A4B7D"/>
    <w:rsid w:val="008A4E4E"/>
    <w:rsid w:val="008A61A4"/>
    <w:rsid w:val="008B0B8B"/>
    <w:rsid w:val="008B0F25"/>
    <w:rsid w:val="008B20BC"/>
    <w:rsid w:val="008B4265"/>
    <w:rsid w:val="008B64D5"/>
    <w:rsid w:val="008B72C6"/>
    <w:rsid w:val="008C7A81"/>
    <w:rsid w:val="008D0F1F"/>
    <w:rsid w:val="008D347C"/>
    <w:rsid w:val="008E003E"/>
    <w:rsid w:val="008E0CAE"/>
    <w:rsid w:val="008E2360"/>
    <w:rsid w:val="008E3095"/>
    <w:rsid w:val="008E3237"/>
    <w:rsid w:val="008E33F0"/>
    <w:rsid w:val="008E341C"/>
    <w:rsid w:val="008E46FC"/>
    <w:rsid w:val="008E50C3"/>
    <w:rsid w:val="008F0A37"/>
    <w:rsid w:val="008F6BC0"/>
    <w:rsid w:val="008F6D76"/>
    <w:rsid w:val="009010F3"/>
    <w:rsid w:val="009068A3"/>
    <w:rsid w:val="0091008B"/>
    <w:rsid w:val="00912518"/>
    <w:rsid w:val="00912DB7"/>
    <w:rsid w:val="0091544C"/>
    <w:rsid w:val="00920748"/>
    <w:rsid w:val="009236A1"/>
    <w:rsid w:val="0092439F"/>
    <w:rsid w:val="009269DC"/>
    <w:rsid w:val="0093096C"/>
    <w:rsid w:val="00930A0B"/>
    <w:rsid w:val="009354E7"/>
    <w:rsid w:val="00935850"/>
    <w:rsid w:val="00935E91"/>
    <w:rsid w:val="00935EA2"/>
    <w:rsid w:val="009368D1"/>
    <w:rsid w:val="00936D66"/>
    <w:rsid w:val="00940DD7"/>
    <w:rsid w:val="009421D5"/>
    <w:rsid w:val="00944C7C"/>
    <w:rsid w:val="00945544"/>
    <w:rsid w:val="0094705C"/>
    <w:rsid w:val="00950532"/>
    <w:rsid w:val="00950FE7"/>
    <w:rsid w:val="00952E5F"/>
    <w:rsid w:val="00953856"/>
    <w:rsid w:val="00955628"/>
    <w:rsid w:val="00961989"/>
    <w:rsid w:val="00964D87"/>
    <w:rsid w:val="0096572C"/>
    <w:rsid w:val="00966E83"/>
    <w:rsid w:val="00970B18"/>
    <w:rsid w:val="009712B7"/>
    <w:rsid w:val="009744D3"/>
    <w:rsid w:val="00974B0E"/>
    <w:rsid w:val="00976BE8"/>
    <w:rsid w:val="00976CDA"/>
    <w:rsid w:val="00976E5E"/>
    <w:rsid w:val="00977D7D"/>
    <w:rsid w:val="00980ECD"/>
    <w:rsid w:val="00984B36"/>
    <w:rsid w:val="00990997"/>
    <w:rsid w:val="00991593"/>
    <w:rsid w:val="00993B6F"/>
    <w:rsid w:val="00994071"/>
    <w:rsid w:val="009949B2"/>
    <w:rsid w:val="0099582B"/>
    <w:rsid w:val="00995831"/>
    <w:rsid w:val="00995A1E"/>
    <w:rsid w:val="00997CA2"/>
    <w:rsid w:val="009A4004"/>
    <w:rsid w:val="009A4EBB"/>
    <w:rsid w:val="009A5542"/>
    <w:rsid w:val="009A63F4"/>
    <w:rsid w:val="009A65B8"/>
    <w:rsid w:val="009A6660"/>
    <w:rsid w:val="009A7B16"/>
    <w:rsid w:val="009A7C22"/>
    <w:rsid w:val="009B0BD0"/>
    <w:rsid w:val="009B10D6"/>
    <w:rsid w:val="009B159A"/>
    <w:rsid w:val="009B2F33"/>
    <w:rsid w:val="009B34F7"/>
    <w:rsid w:val="009B417E"/>
    <w:rsid w:val="009C02B6"/>
    <w:rsid w:val="009C0366"/>
    <w:rsid w:val="009C282D"/>
    <w:rsid w:val="009C3980"/>
    <w:rsid w:val="009C64C2"/>
    <w:rsid w:val="009C7490"/>
    <w:rsid w:val="009D0470"/>
    <w:rsid w:val="009D15D2"/>
    <w:rsid w:val="009D4F06"/>
    <w:rsid w:val="009E3D4A"/>
    <w:rsid w:val="009E5BC1"/>
    <w:rsid w:val="009F006D"/>
    <w:rsid w:val="009F155D"/>
    <w:rsid w:val="009F199B"/>
    <w:rsid w:val="009F4ABF"/>
    <w:rsid w:val="009F6007"/>
    <w:rsid w:val="00A02007"/>
    <w:rsid w:val="00A0228F"/>
    <w:rsid w:val="00A049D5"/>
    <w:rsid w:val="00A0701A"/>
    <w:rsid w:val="00A10065"/>
    <w:rsid w:val="00A132E8"/>
    <w:rsid w:val="00A20AB7"/>
    <w:rsid w:val="00A2179E"/>
    <w:rsid w:val="00A21BC1"/>
    <w:rsid w:val="00A22EE0"/>
    <w:rsid w:val="00A23E10"/>
    <w:rsid w:val="00A30AD9"/>
    <w:rsid w:val="00A32C3A"/>
    <w:rsid w:val="00A3445D"/>
    <w:rsid w:val="00A3484A"/>
    <w:rsid w:val="00A36EE2"/>
    <w:rsid w:val="00A41650"/>
    <w:rsid w:val="00A417F0"/>
    <w:rsid w:val="00A423A2"/>
    <w:rsid w:val="00A429EB"/>
    <w:rsid w:val="00A43316"/>
    <w:rsid w:val="00A45453"/>
    <w:rsid w:val="00A4566B"/>
    <w:rsid w:val="00A46D87"/>
    <w:rsid w:val="00A474D0"/>
    <w:rsid w:val="00A47DFE"/>
    <w:rsid w:val="00A510BF"/>
    <w:rsid w:val="00A54191"/>
    <w:rsid w:val="00A5554C"/>
    <w:rsid w:val="00A61F45"/>
    <w:rsid w:val="00A62C55"/>
    <w:rsid w:val="00A743FB"/>
    <w:rsid w:val="00A765C6"/>
    <w:rsid w:val="00A76B40"/>
    <w:rsid w:val="00A80913"/>
    <w:rsid w:val="00A80CE5"/>
    <w:rsid w:val="00A816F9"/>
    <w:rsid w:val="00A81C95"/>
    <w:rsid w:val="00A820B3"/>
    <w:rsid w:val="00A85E0C"/>
    <w:rsid w:val="00A8638B"/>
    <w:rsid w:val="00A90EEF"/>
    <w:rsid w:val="00A95D88"/>
    <w:rsid w:val="00A96FB0"/>
    <w:rsid w:val="00A970D2"/>
    <w:rsid w:val="00AA7B7C"/>
    <w:rsid w:val="00AB1226"/>
    <w:rsid w:val="00AB30DF"/>
    <w:rsid w:val="00AB37DE"/>
    <w:rsid w:val="00AB493C"/>
    <w:rsid w:val="00AB4F3F"/>
    <w:rsid w:val="00AB5405"/>
    <w:rsid w:val="00AB5892"/>
    <w:rsid w:val="00AB7682"/>
    <w:rsid w:val="00AC0958"/>
    <w:rsid w:val="00AC1BEA"/>
    <w:rsid w:val="00AC22C9"/>
    <w:rsid w:val="00AC4668"/>
    <w:rsid w:val="00AC492E"/>
    <w:rsid w:val="00AC561D"/>
    <w:rsid w:val="00AC6157"/>
    <w:rsid w:val="00AC66F3"/>
    <w:rsid w:val="00AC7F61"/>
    <w:rsid w:val="00AD12E7"/>
    <w:rsid w:val="00AD18FC"/>
    <w:rsid w:val="00AD5D70"/>
    <w:rsid w:val="00AD6007"/>
    <w:rsid w:val="00AD6100"/>
    <w:rsid w:val="00AD79C6"/>
    <w:rsid w:val="00AE02EB"/>
    <w:rsid w:val="00AE2F35"/>
    <w:rsid w:val="00AE35CC"/>
    <w:rsid w:val="00AE3F31"/>
    <w:rsid w:val="00AE47D5"/>
    <w:rsid w:val="00AE6056"/>
    <w:rsid w:val="00AE6E1E"/>
    <w:rsid w:val="00AF143E"/>
    <w:rsid w:val="00AF2443"/>
    <w:rsid w:val="00AF2B5E"/>
    <w:rsid w:val="00AF35FF"/>
    <w:rsid w:val="00AF4453"/>
    <w:rsid w:val="00AF4EDF"/>
    <w:rsid w:val="00AF4FC9"/>
    <w:rsid w:val="00AF5C51"/>
    <w:rsid w:val="00AF7C54"/>
    <w:rsid w:val="00B03811"/>
    <w:rsid w:val="00B0451B"/>
    <w:rsid w:val="00B04FAB"/>
    <w:rsid w:val="00B102F9"/>
    <w:rsid w:val="00B118EF"/>
    <w:rsid w:val="00B12404"/>
    <w:rsid w:val="00B13318"/>
    <w:rsid w:val="00B140B5"/>
    <w:rsid w:val="00B14E2A"/>
    <w:rsid w:val="00B14EF3"/>
    <w:rsid w:val="00B16110"/>
    <w:rsid w:val="00B170CA"/>
    <w:rsid w:val="00B2094F"/>
    <w:rsid w:val="00B20A49"/>
    <w:rsid w:val="00B228AC"/>
    <w:rsid w:val="00B232B1"/>
    <w:rsid w:val="00B237CF"/>
    <w:rsid w:val="00B24854"/>
    <w:rsid w:val="00B25CCC"/>
    <w:rsid w:val="00B35CA8"/>
    <w:rsid w:val="00B36273"/>
    <w:rsid w:val="00B375F2"/>
    <w:rsid w:val="00B43840"/>
    <w:rsid w:val="00B43C74"/>
    <w:rsid w:val="00B4520C"/>
    <w:rsid w:val="00B457D0"/>
    <w:rsid w:val="00B46731"/>
    <w:rsid w:val="00B47349"/>
    <w:rsid w:val="00B47FD4"/>
    <w:rsid w:val="00B5059E"/>
    <w:rsid w:val="00B512EE"/>
    <w:rsid w:val="00B5280D"/>
    <w:rsid w:val="00B53BAF"/>
    <w:rsid w:val="00B54053"/>
    <w:rsid w:val="00B55D71"/>
    <w:rsid w:val="00B56790"/>
    <w:rsid w:val="00B570D2"/>
    <w:rsid w:val="00B6234D"/>
    <w:rsid w:val="00B62F1D"/>
    <w:rsid w:val="00B64959"/>
    <w:rsid w:val="00B723DC"/>
    <w:rsid w:val="00B73B87"/>
    <w:rsid w:val="00B73DDC"/>
    <w:rsid w:val="00B7689F"/>
    <w:rsid w:val="00B77742"/>
    <w:rsid w:val="00B77DC4"/>
    <w:rsid w:val="00B80271"/>
    <w:rsid w:val="00B810BA"/>
    <w:rsid w:val="00B8112C"/>
    <w:rsid w:val="00B813D8"/>
    <w:rsid w:val="00B82218"/>
    <w:rsid w:val="00B82500"/>
    <w:rsid w:val="00B83671"/>
    <w:rsid w:val="00B84A9D"/>
    <w:rsid w:val="00B84FF4"/>
    <w:rsid w:val="00B8634E"/>
    <w:rsid w:val="00B917DF"/>
    <w:rsid w:val="00B92C04"/>
    <w:rsid w:val="00B96765"/>
    <w:rsid w:val="00B96CCE"/>
    <w:rsid w:val="00BA07FE"/>
    <w:rsid w:val="00BA3D97"/>
    <w:rsid w:val="00BA42AD"/>
    <w:rsid w:val="00BA45D5"/>
    <w:rsid w:val="00BA5EBC"/>
    <w:rsid w:val="00BA7CFB"/>
    <w:rsid w:val="00BB0887"/>
    <w:rsid w:val="00BB24AF"/>
    <w:rsid w:val="00BB2616"/>
    <w:rsid w:val="00BB3F06"/>
    <w:rsid w:val="00BB5055"/>
    <w:rsid w:val="00BB7862"/>
    <w:rsid w:val="00BC1F4D"/>
    <w:rsid w:val="00BC305D"/>
    <w:rsid w:val="00BC57C1"/>
    <w:rsid w:val="00BC5B3A"/>
    <w:rsid w:val="00BD2A78"/>
    <w:rsid w:val="00BD3BE2"/>
    <w:rsid w:val="00BD49BC"/>
    <w:rsid w:val="00BD4E0A"/>
    <w:rsid w:val="00BD6EC1"/>
    <w:rsid w:val="00BD72A4"/>
    <w:rsid w:val="00BE5436"/>
    <w:rsid w:val="00BF0D1C"/>
    <w:rsid w:val="00BF2ADA"/>
    <w:rsid w:val="00BF5734"/>
    <w:rsid w:val="00BF626C"/>
    <w:rsid w:val="00BF6715"/>
    <w:rsid w:val="00BF734F"/>
    <w:rsid w:val="00BF7462"/>
    <w:rsid w:val="00C013C5"/>
    <w:rsid w:val="00C02FD6"/>
    <w:rsid w:val="00C03080"/>
    <w:rsid w:val="00C060F9"/>
    <w:rsid w:val="00C07101"/>
    <w:rsid w:val="00C130B3"/>
    <w:rsid w:val="00C13C9D"/>
    <w:rsid w:val="00C17183"/>
    <w:rsid w:val="00C203CD"/>
    <w:rsid w:val="00C20CF9"/>
    <w:rsid w:val="00C20DAC"/>
    <w:rsid w:val="00C236E6"/>
    <w:rsid w:val="00C334F9"/>
    <w:rsid w:val="00C3362F"/>
    <w:rsid w:val="00C34AE9"/>
    <w:rsid w:val="00C3514B"/>
    <w:rsid w:val="00C36CED"/>
    <w:rsid w:val="00C37623"/>
    <w:rsid w:val="00C40363"/>
    <w:rsid w:val="00C40C8D"/>
    <w:rsid w:val="00C4609A"/>
    <w:rsid w:val="00C4715C"/>
    <w:rsid w:val="00C47279"/>
    <w:rsid w:val="00C4744B"/>
    <w:rsid w:val="00C474A9"/>
    <w:rsid w:val="00C474AD"/>
    <w:rsid w:val="00C511CA"/>
    <w:rsid w:val="00C518E7"/>
    <w:rsid w:val="00C54859"/>
    <w:rsid w:val="00C5588D"/>
    <w:rsid w:val="00C57887"/>
    <w:rsid w:val="00C612E7"/>
    <w:rsid w:val="00C61491"/>
    <w:rsid w:val="00C62795"/>
    <w:rsid w:val="00C6287E"/>
    <w:rsid w:val="00C65477"/>
    <w:rsid w:val="00C656CD"/>
    <w:rsid w:val="00C706FD"/>
    <w:rsid w:val="00C70C60"/>
    <w:rsid w:val="00C735DB"/>
    <w:rsid w:val="00C7516C"/>
    <w:rsid w:val="00C7604F"/>
    <w:rsid w:val="00C76992"/>
    <w:rsid w:val="00C77846"/>
    <w:rsid w:val="00C77E0A"/>
    <w:rsid w:val="00C77F52"/>
    <w:rsid w:val="00C8270C"/>
    <w:rsid w:val="00C840FB"/>
    <w:rsid w:val="00C85CE1"/>
    <w:rsid w:val="00C85D22"/>
    <w:rsid w:val="00C86FC8"/>
    <w:rsid w:val="00C87646"/>
    <w:rsid w:val="00C87A8F"/>
    <w:rsid w:val="00C93202"/>
    <w:rsid w:val="00C93F44"/>
    <w:rsid w:val="00C94D6A"/>
    <w:rsid w:val="00C96238"/>
    <w:rsid w:val="00CA047D"/>
    <w:rsid w:val="00CA1C06"/>
    <w:rsid w:val="00CA2DA9"/>
    <w:rsid w:val="00CA375C"/>
    <w:rsid w:val="00CA46D1"/>
    <w:rsid w:val="00CB7E9A"/>
    <w:rsid w:val="00CC121F"/>
    <w:rsid w:val="00CC1593"/>
    <w:rsid w:val="00CC2A00"/>
    <w:rsid w:val="00CC3BA1"/>
    <w:rsid w:val="00CC45D5"/>
    <w:rsid w:val="00CC78CE"/>
    <w:rsid w:val="00CD126D"/>
    <w:rsid w:val="00CD1813"/>
    <w:rsid w:val="00CD2E0D"/>
    <w:rsid w:val="00CD33E6"/>
    <w:rsid w:val="00CE314B"/>
    <w:rsid w:val="00CE316C"/>
    <w:rsid w:val="00CE47A5"/>
    <w:rsid w:val="00CE513A"/>
    <w:rsid w:val="00CE60CC"/>
    <w:rsid w:val="00CF1052"/>
    <w:rsid w:val="00CF4530"/>
    <w:rsid w:val="00CF4625"/>
    <w:rsid w:val="00CF5801"/>
    <w:rsid w:val="00CF633C"/>
    <w:rsid w:val="00D00B0C"/>
    <w:rsid w:val="00D02875"/>
    <w:rsid w:val="00D035C9"/>
    <w:rsid w:val="00D03C53"/>
    <w:rsid w:val="00D13A29"/>
    <w:rsid w:val="00D13A3B"/>
    <w:rsid w:val="00D13C4F"/>
    <w:rsid w:val="00D13C9D"/>
    <w:rsid w:val="00D1682D"/>
    <w:rsid w:val="00D2044E"/>
    <w:rsid w:val="00D212DB"/>
    <w:rsid w:val="00D21330"/>
    <w:rsid w:val="00D21FE6"/>
    <w:rsid w:val="00D22A4E"/>
    <w:rsid w:val="00D267E6"/>
    <w:rsid w:val="00D33AA9"/>
    <w:rsid w:val="00D3737C"/>
    <w:rsid w:val="00D403DF"/>
    <w:rsid w:val="00D42BC1"/>
    <w:rsid w:val="00D433DB"/>
    <w:rsid w:val="00D44530"/>
    <w:rsid w:val="00D47D79"/>
    <w:rsid w:val="00D5048B"/>
    <w:rsid w:val="00D51315"/>
    <w:rsid w:val="00D52E42"/>
    <w:rsid w:val="00D55B8A"/>
    <w:rsid w:val="00D56E2F"/>
    <w:rsid w:val="00D57A3E"/>
    <w:rsid w:val="00D57B10"/>
    <w:rsid w:val="00D604D9"/>
    <w:rsid w:val="00D61058"/>
    <w:rsid w:val="00D6239B"/>
    <w:rsid w:val="00D63FF0"/>
    <w:rsid w:val="00D65094"/>
    <w:rsid w:val="00D66F18"/>
    <w:rsid w:val="00D71E3B"/>
    <w:rsid w:val="00D72529"/>
    <w:rsid w:val="00D72FD5"/>
    <w:rsid w:val="00D74A67"/>
    <w:rsid w:val="00D74D35"/>
    <w:rsid w:val="00D74DC1"/>
    <w:rsid w:val="00D75B83"/>
    <w:rsid w:val="00D761C9"/>
    <w:rsid w:val="00D76DFD"/>
    <w:rsid w:val="00D805C2"/>
    <w:rsid w:val="00D81207"/>
    <w:rsid w:val="00D817AA"/>
    <w:rsid w:val="00D83450"/>
    <w:rsid w:val="00D85394"/>
    <w:rsid w:val="00D85663"/>
    <w:rsid w:val="00D86668"/>
    <w:rsid w:val="00D86E42"/>
    <w:rsid w:val="00D90C08"/>
    <w:rsid w:val="00D914A2"/>
    <w:rsid w:val="00D91F6D"/>
    <w:rsid w:val="00D92837"/>
    <w:rsid w:val="00D93A16"/>
    <w:rsid w:val="00D93FCC"/>
    <w:rsid w:val="00DA3B8C"/>
    <w:rsid w:val="00DA4680"/>
    <w:rsid w:val="00DA4920"/>
    <w:rsid w:val="00DA776E"/>
    <w:rsid w:val="00DB305F"/>
    <w:rsid w:val="00DB35A9"/>
    <w:rsid w:val="00DB4127"/>
    <w:rsid w:val="00DB5CD6"/>
    <w:rsid w:val="00DC1D91"/>
    <w:rsid w:val="00DC3F9F"/>
    <w:rsid w:val="00DC438F"/>
    <w:rsid w:val="00DD103F"/>
    <w:rsid w:val="00DD106B"/>
    <w:rsid w:val="00DD1D45"/>
    <w:rsid w:val="00DD32CB"/>
    <w:rsid w:val="00DD3D35"/>
    <w:rsid w:val="00DD6FFB"/>
    <w:rsid w:val="00DD7429"/>
    <w:rsid w:val="00DE0C5D"/>
    <w:rsid w:val="00DE0EEB"/>
    <w:rsid w:val="00DE4429"/>
    <w:rsid w:val="00DE6821"/>
    <w:rsid w:val="00DF1275"/>
    <w:rsid w:val="00DF2765"/>
    <w:rsid w:val="00DF289F"/>
    <w:rsid w:val="00DF3189"/>
    <w:rsid w:val="00DF3447"/>
    <w:rsid w:val="00DF3E6B"/>
    <w:rsid w:val="00DF6200"/>
    <w:rsid w:val="00E009C2"/>
    <w:rsid w:val="00E00D99"/>
    <w:rsid w:val="00E01647"/>
    <w:rsid w:val="00E03D51"/>
    <w:rsid w:val="00E05FD0"/>
    <w:rsid w:val="00E06423"/>
    <w:rsid w:val="00E06AB4"/>
    <w:rsid w:val="00E13EDD"/>
    <w:rsid w:val="00E14675"/>
    <w:rsid w:val="00E1524E"/>
    <w:rsid w:val="00E169C9"/>
    <w:rsid w:val="00E20314"/>
    <w:rsid w:val="00E237D6"/>
    <w:rsid w:val="00E247E2"/>
    <w:rsid w:val="00E255AF"/>
    <w:rsid w:val="00E3125C"/>
    <w:rsid w:val="00E33423"/>
    <w:rsid w:val="00E34F33"/>
    <w:rsid w:val="00E362E5"/>
    <w:rsid w:val="00E367DB"/>
    <w:rsid w:val="00E372FE"/>
    <w:rsid w:val="00E3782C"/>
    <w:rsid w:val="00E37B70"/>
    <w:rsid w:val="00E41ABA"/>
    <w:rsid w:val="00E41C9E"/>
    <w:rsid w:val="00E428A8"/>
    <w:rsid w:val="00E45C75"/>
    <w:rsid w:val="00E4606E"/>
    <w:rsid w:val="00E475DA"/>
    <w:rsid w:val="00E51A2A"/>
    <w:rsid w:val="00E51F8A"/>
    <w:rsid w:val="00E56003"/>
    <w:rsid w:val="00E56E96"/>
    <w:rsid w:val="00E60233"/>
    <w:rsid w:val="00E60633"/>
    <w:rsid w:val="00E60D28"/>
    <w:rsid w:val="00E66B71"/>
    <w:rsid w:val="00E70669"/>
    <w:rsid w:val="00E725DE"/>
    <w:rsid w:val="00E72B61"/>
    <w:rsid w:val="00E72CBC"/>
    <w:rsid w:val="00E73196"/>
    <w:rsid w:val="00E748BF"/>
    <w:rsid w:val="00E76A2C"/>
    <w:rsid w:val="00E76C65"/>
    <w:rsid w:val="00E8058B"/>
    <w:rsid w:val="00E80B46"/>
    <w:rsid w:val="00E834D9"/>
    <w:rsid w:val="00E84834"/>
    <w:rsid w:val="00E85363"/>
    <w:rsid w:val="00E85910"/>
    <w:rsid w:val="00E85CC4"/>
    <w:rsid w:val="00E904BC"/>
    <w:rsid w:val="00E90BED"/>
    <w:rsid w:val="00E918EA"/>
    <w:rsid w:val="00E91C64"/>
    <w:rsid w:val="00E9220A"/>
    <w:rsid w:val="00E94476"/>
    <w:rsid w:val="00E944E4"/>
    <w:rsid w:val="00E95299"/>
    <w:rsid w:val="00E956A8"/>
    <w:rsid w:val="00E96386"/>
    <w:rsid w:val="00EA0B73"/>
    <w:rsid w:val="00EA4516"/>
    <w:rsid w:val="00EA66E9"/>
    <w:rsid w:val="00EA7388"/>
    <w:rsid w:val="00EB56EF"/>
    <w:rsid w:val="00EC030F"/>
    <w:rsid w:val="00EC05B8"/>
    <w:rsid w:val="00EC15EE"/>
    <w:rsid w:val="00EC20BA"/>
    <w:rsid w:val="00EC23F1"/>
    <w:rsid w:val="00EC292E"/>
    <w:rsid w:val="00EC4EB8"/>
    <w:rsid w:val="00EC51CE"/>
    <w:rsid w:val="00EC59B1"/>
    <w:rsid w:val="00EC6122"/>
    <w:rsid w:val="00EC7C48"/>
    <w:rsid w:val="00EC7C5D"/>
    <w:rsid w:val="00ED0FAD"/>
    <w:rsid w:val="00ED1737"/>
    <w:rsid w:val="00ED30FD"/>
    <w:rsid w:val="00ED4FC5"/>
    <w:rsid w:val="00ED5934"/>
    <w:rsid w:val="00ED6F83"/>
    <w:rsid w:val="00EE1012"/>
    <w:rsid w:val="00EE166F"/>
    <w:rsid w:val="00EE1B12"/>
    <w:rsid w:val="00EE2961"/>
    <w:rsid w:val="00EE3D94"/>
    <w:rsid w:val="00EE4EDE"/>
    <w:rsid w:val="00EE55BD"/>
    <w:rsid w:val="00EE774C"/>
    <w:rsid w:val="00EF22D2"/>
    <w:rsid w:val="00EF27F2"/>
    <w:rsid w:val="00EF5B18"/>
    <w:rsid w:val="00EF5DB3"/>
    <w:rsid w:val="00EF7A94"/>
    <w:rsid w:val="00EF7EC5"/>
    <w:rsid w:val="00F0105D"/>
    <w:rsid w:val="00F047B5"/>
    <w:rsid w:val="00F05C1D"/>
    <w:rsid w:val="00F1020E"/>
    <w:rsid w:val="00F1106D"/>
    <w:rsid w:val="00F11E2B"/>
    <w:rsid w:val="00F14100"/>
    <w:rsid w:val="00F2085A"/>
    <w:rsid w:val="00F249D5"/>
    <w:rsid w:val="00F271A5"/>
    <w:rsid w:val="00F31B7A"/>
    <w:rsid w:val="00F3308A"/>
    <w:rsid w:val="00F342A5"/>
    <w:rsid w:val="00F34316"/>
    <w:rsid w:val="00F415C6"/>
    <w:rsid w:val="00F41E38"/>
    <w:rsid w:val="00F42618"/>
    <w:rsid w:val="00F44714"/>
    <w:rsid w:val="00F4492E"/>
    <w:rsid w:val="00F46879"/>
    <w:rsid w:val="00F50B88"/>
    <w:rsid w:val="00F50C3E"/>
    <w:rsid w:val="00F52658"/>
    <w:rsid w:val="00F652EC"/>
    <w:rsid w:val="00F659FF"/>
    <w:rsid w:val="00F67034"/>
    <w:rsid w:val="00F67AF4"/>
    <w:rsid w:val="00F67CC2"/>
    <w:rsid w:val="00F67FED"/>
    <w:rsid w:val="00F7000C"/>
    <w:rsid w:val="00F708FB"/>
    <w:rsid w:val="00F71028"/>
    <w:rsid w:val="00F7147B"/>
    <w:rsid w:val="00F71EEC"/>
    <w:rsid w:val="00F728E7"/>
    <w:rsid w:val="00F73028"/>
    <w:rsid w:val="00F73B1F"/>
    <w:rsid w:val="00F74BE9"/>
    <w:rsid w:val="00F75CB0"/>
    <w:rsid w:val="00F761BC"/>
    <w:rsid w:val="00F76D60"/>
    <w:rsid w:val="00F77B7D"/>
    <w:rsid w:val="00F8277D"/>
    <w:rsid w:val="00F859AB"/>
    <w:rsid w:val="00F86A1D"/>
    <w:rsid w:val="00F95A57"/>
    <w:rsid w:val="00F966E0"/>
    <w:rsid w:val="00FA2E67"/>
    <w:rsid w:val="00FA2F94"/>
    <w:rsid w:val="00FA31BA"/>
    <w:rsid w:val="00FA3CEB"/>
    <w:rsid w:val="00FA4177"/>
    <w:rsid w:val="00FA4572"/>
    <w:rsid w:val="00FB0646"/>
    <w:rsid w:val="00FB081E"/>
    <w:rsid w:val="00FB1C6B"/>
    <w:rsid w:val="00FB3A03"/>
    <w:rsid w:val="00FB41B5"/>
    <w:rsid w:val="00FB4208"/>
    <w:rsid w:val="00FB5871"/>
    <w:rsid w:val="00FB59EC"/>
    <w:rsid w:val="00FB784D"/>
    <w:rsid w:val="00FC1ACF"/>
    <w:rsid w:val="00FC2A16"/>
    <w:rsid w:val="00FC3A77"/>
    <w:rsid w:val="00FC57FD"/>
    <w:rsid w:val="00FC5A09"/>
    <w:rsid w:val="00FC683B"/>
    <w:rsid w:val="00FC6843"/>
    <w:rsid w:val="00FD06D8"/>
    <w:rsid w:val="00FD1D5E"/>
    <w:rsid w:val="00FD3C78"/>
    <w:rsid w:val="00FD6FE5"/>
    <w:rsid w:val="00FE0D42"/>
    <w:rsid w:val="00FE0DDF"/>
    <w:rsid w:val="00FE101B"/>
    <w:rsid w:val="00FE1E26"/>
    <w:rsid w:val="00FE34C1"/>
    <w:rsid w:val="00FE3677"/>
    <w:rsid w:val="00FE3BB2"/>
    <w:rsid w:val="00FE448A"/>
    <w:rsid w:val="00FF05DA"/>
    <w:rsid w:val="00FF1084"/>
    <w:rsid w:val="00FF2941"/>
    <w:rsid w:val="00FF3B06"/>
    <w:rsid w:val="00FF3D22"/>
    <w:rsid w:val="00FF4DB9"/>
    <w:rsid w:val="00FF4FCD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8001C"/>
  <w15:chartTrackingRefBased/>
  <w15:docId w15:val="{D4AC4319-C778-499B-B837-42C5CA7E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5CB"/>
    <w:pPr>
      <w:keepNext/>
      <w:keepLines/>
      <w:spacing w:before="160" w:after="80"/>
      <w:outlineLvl w:val="2"/>
    </w:pPr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4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25A1"/>
    <w:pPr>
      <w:keepNext/>
      <w:keepLines/>
      <w:spacing w:before="80" w:after="40"/>
      <w:outlineLvl w:val="4"/>
    </w:pPr>
    <w:rPr>
      <w:rFonts w:eastAsiaTheme="majorEastAsia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4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35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B14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125A1"/>
    <w:rPr>
      <w:rFonts w:eastAsiaTheme="majorEastAsia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0B5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A10065"/>
    <w:pPr>
      <w:tabs>
        <w:tab w:val="left" w:pos="384"/>
      </w:tabs>
      <w:spacing w:after="240" w:line="24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4761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61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619E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6E6E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D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6FF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F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EC5"/>
  </w:style>
  <w:style w:type="paragraph" w:styleId="Footer">
    <w:name w:val="footer"/>
    <w:basedOn w:val="Normal"/>
    <w:link w:val="FooterChar"/>
    <w:uiPriority w:val="99"/>
    <w:unhideWhenUsed/>
    <w:rsid w:val="00EF7E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EC5"/>
  </w:style>
  <w:style w:type="character" w:styleId="UnresolvedMention">
    <w:name w:val="Unresolved Mention"/>
    <w:basedOn w:val="DefaultParagraphFont"/>
    <w:uiPriority w:val="99"/>
    <w:semiHidden/>
    <w:unhideWhenUsed/>
    <w:rsid w:val="00E76A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F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5B1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B1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B18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3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a82318-df7d-4c2f-88b3-7b65c926a23a">
      <Terms xmlns="http://schemas.microsoft.com/office/infopath/2007/PartnerControls"/>
    </lcf76f155ced4ddcb4097134ff3c332f>
    <extra xmlns="54a82318-df7d-4c2f-88b3-7b65c926a23a" xsi:nil="true"/>
    <DateandTime xmlns="54a82318-df7d-4c2f-88b3-7b65c926a23a" xsi:nil="true"/>
    <TaxCatchAll xmlns="79c36476-307c-47a2-bfa0-3878fccd02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D30E0F3A5214BAC6A4AAF1970CED0" ma:contentTypeVersion="21" ma:contentTypeDescription="Create a new document." ma:contentTypeScope="" ma:versionID="c445bdd2c346c30f40f83585b97a3351">
  <xsd:schema xmlns:xsd="http://www.w3.org/2001/XMLSchema" xmlns:xs="http://www.w3.org/2001/XMLSchema" xmlns:p="http://schemas.microsoft.com/office/2006/metadata/properties" xmlns:ns2="54a82318-df7d-4c2f-88b3-7b65c926a23a" xmlns:ns3="79c36476-307c-47a2-bfa0-3878fccd02f6" targetNamespace="http://schemas.microsoft.com/office/2006/metadata/properties" ma:root="true" ma:fieldsID="cffb12c21c4c201541bbb5da5aae83af" ns2:_="" ns3:_="">
    <xsd:import namespace="54a82318-df7d-4c2f-88b3-7b65c926a23a"/>
    <xsd:import namespace="79c36476-307c-47a2-bfa0-3878fccd02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extra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82318-df7d-4c2f-88b3-7b65c926a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5f9dbe3-e583-4f4b-88e5-419e9d87dc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tra" ma:index="26" nillable="true" ma:displayName="extra" ma:format="Dropdown" ma:internalName="extra">
      <xsd:simpleType>
        <xsd:restriction base="dms:Text">
          <xsd:maxLength value="255"/>
        </xsd:restriction>
      </xsd:simpleType>
    </xsd:element>
    <xsd:element name="DateandTime" ma:index="27" nillable="true" ma:displayName="Date and Time" ma:format="DateOnly" ma:internalName="DateandTime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36476-307c-47a2-bfa0-3878fccd02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fcc402-02e6-473d-95c2-a29df9139fae}" ma:internalName="TaxCatchAll" ma:showField="CatchAllData" ma:web="79c36476-307c-47a2-bfa0-3878fccd0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A46D0-9967-450A-8378-989110355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C3E561-43B6-DD4E-B730-810C87094A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5646C9-5BF6-4205-BE3E-01EA2D9AAB11}">
  <ds:schemaRefs>
    <ds:schemaRef ds:uri="http://schemas.microsoft.com/office/2006/metadata/properties"/>
    <ds:schemaRef ds:uri="http://schemas.microsoft.com/office/infopath/2007/PartnerControls"/>
    <ds:schemaRef ds:uri="54a82318-df7d-4c2f-88b3-7b65c926a23a"/>
    <ds:schemaRef ds:uri="79c36476-307c-47a2-bfa0-3878fccd02f6"/>
  </ds:schemaRefs>
</ds:datastoreItem>
</file>

<file path=customXml/itemProps4.xml><?xml version="1.0" encoding="utf-8"?>
<ds:datastoreItem xmlns:ds="http://schemas.openxmlformats.org/officeDocument/2006/customXml" ds:itemID="{714EF57A-8D58-46F5-A0B7-947AF4923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a82318-df7d-4c2f-88b3-7b65c926a23a"/>
    <ds:schemaRef ds:uri="79c36476-307c-47a2-bfa0-3878fccd0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Kličková</dc:creator>
  <cp:keywords/>
  <dc:description/>
  <cp:lastModifiedBy>Nicola Kličková</cp:lastModifiedBy>
  <cp:revision>3</cp:revision>
  <dcterms:created xsi:type="dcterms:W3CDTF">2026-02-11T18:54:00Z</dcterms:created>
  <dcterms:modified xsi:type="dcterms:W3CDTF">2026-02-11T18:55:00Z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id="XnB3v8Pd"/&gt;&lt;style id="http://www.zotero.org/styles/american-medical-association" hasBibliography="1" bibliographyStyleHasBeenSet="1"/&gt;&lt;prefs&gt;&lt;pref name="fieldType" value="Field"/&gt;&lt;/prefs&gt;&lt;/data&gt;</vt:lpwstr>
  </property>
  <property fmtid="{D5CDD505-2E9C-101B-9397-08002B2CF9AE}" pid="3" name="ContentTypeId">
    <vt:lpwstr>0x0101004D5D30E0F3A5214BAC6A4AAF1970CED0</vt:lpwstr>
  </property>
  <property fmtid="{D5CDD505-2E9C-101B-9397-08002B2CF9AE}" pid="4" name="MediaServiceImageTags">
    <vt:lpwstr/>
  </property>
</Properties>
</file>