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206BA6" w:rsidRPr="00F32654" w:rsidRDefault="00F32654">
      <w:pPr>
        <w:spacing w:after="16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326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figure 1. Intracellular production of IL6 in monocytes after LPS stimulation </w:t>
      </w:r>
    </w:p>
    <w:p w14:paraId="00000002" w14:textId="77777777" w:rsidR="00206BA6" w:rsidRPr="00F32654" w:rsidRDefault="00F32654">
      <w:pPr>
        <w:spacing w:after="16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>PBMC from patients and HDs were stimulated with the TLR4 agonist lipopolysaccharide (LPS) for 4 hours (left panel) or with medium alone (NS). The intracellular production of IL6 was evaluated in CD3</w:t>
      </w:r>
      <w:r w:rsidRPr="00F3265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- </w:t>
      </w: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>CD14</w:t>
      </w:r>
      <w:r w:rsidRPr="00F32654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+</w:t>
      </w: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>cells by flow cytometry, as shown in the representa</w:t>
      </w: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>tive dot plots (right panel). </w:t>
      </w:r>
    </w:p>
    <w:p w14:paraId="00000003" w14:textId="77777777" w:rsidR="00206BA6" w:rsidRPr="00F32654" w:rsidRDefault="00F32654">
      <w:pPr>
        <w:spacing w:after="160" w:line="48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F32654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Supplementary figure 2. </w:t>
      </w: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>IFN</w:t>
      </w:r>
      <w:r w:rsidRPr="00F32654">
        <w:rPr>
          <w:rFonts w:ascii="Cambria Math" w:eastAsia="Cambria Math" w:hAnsi="Cambria Math" w:cs="Cambria Math"/>
          <w:sz w:val="24"/>
          <w:szCs w:val="24"/>
        </w:rPr>
        <w:t>𝛼</w:t>
      </w: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IFN</w:t>
      </w:r>
      <w:proofErr w:type="spellStart"/>
      <w:r w:rsidRPr="00F32654">
        <w:rPr>
          <w:rFonts w:ascii="Times New Roman" w:eastAsia="Times New Roman" w:hAnsi="Times New Roman" w:cs="Times New Roman"/>
          <w:sz w:val="24"/>
          <w:szCs w:val="24"/>
        </w:rPr>
        <w:t>γ</w:t>
      </w:r>
      <w:proofErr w:type="spellEnd"/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production after IMQ stimulation. PBMC from HDs and patients were stimulated with IMQ at 5 </w:t>
      </w:r>
      <w:proofErr w:type="spellStart"/>
      <w:r w:rsidRPr="00F32654">
        <w:rPr>
          <w:rFonts w:ascii="Times New Roman" w:eastAsia="Times New Roman" w:hAnsi="Times New Roman" w:cs="Times New Roman"/>
          <w:sz w:val="24"/>
          <w:szCs w:val="24"/>
        </w:rPr>
        <w:t>μ</w:t>
      </w:r>
      <w:proofErr w:type="spellEnd"/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>g/mL, LPS or cell culture medium (NS). The production of IFN</w:t>
      </w:r>
      <w:r w:rsidRPr="00F32654">
        <w:rPr>
          <w:rFonts w:ascii="Cambria Math" w:eastAsia="Cambria Math" w:hAnsi="Cambria Math" w:cs="Cambria Math"/>
          <w:sz w:val="24"/>
          <w:szCs w:val="24"/>
        </w:rPr>
        <w:t>𝛼</w:t>
      </w: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(left panel) and IFN</w:t>
      </w:r>
      <w:proofErr w:type="spellStart"/>
      <w:r w:rsidRPr="00F32654">
        <w:rPr>
          <w:rFonts w:ascii="Times New Roman" w:eastAsia="Times New Roman" w:hAnsi="Times New Roman" w:cs="Times New Roman"/>
          <w:sz w:val="24"/>
          <w:szCs w:val="24"/>
        </w:rPr>
        <w:t>γ</w:t>
      </w:r>
      <w:proofErr w:type="spellEnd"/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protein (</w:t>
      </w:r>
      <w:r w:rsidRPr="00F32654">
        <w:rPr>
          <w:rFonts w:ascii="Times New Roman" w:eastAsia="Times New Roman" w:hAnsi="Times New Roman" w:cs="Times New Roman"/>
          <w:sz w:val="24"/>
          <w:szCs w:val="24"/>
          <w:lang w:val="en-US"/>
        </w:rPr>
        <w:t>right panel) was evaluated in supernatant by ELISA.</w:t>
      </w:r>
    </w:p>
    <w:p w14:paraId="00000004" w14:textId="77777777" w:rsidR="00206BA6" w:rsidRPr="00F32654" w:rsidRDefault="00206BA6">
      <w:pPr>
        <w:rPr>
          <w:rFonts w:ascii="Times New Roman" w:hAnsi="Times New Roman" w:cs="Times New Roman"/>
          <w:lang w:val="en-US"/>
        </w:rPr>
      </w:pPr>
    </w:p>
    <w:sectPr w:rsidR="00206BA6" w:rsidRPr="00F3265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BA6"/>
    <w:rsid w:val="00206BA6"/>
    <w:rsid w:val="00F3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02AC5A-C23D-47E5-A5C8-1300A931B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Sergio Daga</cp:lastModifiedBy>
  <cp:revision>2</cp:revision>
  <dcterms:created xsi:type="dcterms:W3CDTF">2021-11-11T10:50:00Z</dcterms:created>
  <dcterms:modified xsi:type="dcterms:W3CDTF">2021-11-11T10:50:00Z</dcterms:modified>
</cp:coreProperties>
</file>