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2721" w:rsidRPr="00513B63" w:rsidRDefault="003A2721" w:rsidP="003A2721">
      <w:pPr>
        <w:spacing w:line="360" w:lineRule="auto"/>
        <w:rPr>
          <w:rFonts w:ascii="Arial" w:hAnsi="Arial" w:cs="Arial"/>
          <w:b/>
          <w:bCs/>
          <w:sz w:val="24"/>
        </w:rPr>
      </w:pPr>
      <w:r w:rsidRPr="00513B63">
        <w:rPr>
          <w:rFonts w:ascii="Arial" w:hAnsi="Arial" w:cs="Arial"/>
          <w:b/>
          <w:bCs/>
          <w:sz w:val="24"/>
        </w:rPr>
        <w:t>Supplementary Fig 1. Additional Correlation Analyses of Ferroptosis-Related Genes in AKI.</w:t>
      </w:r>
      <w:r w:rsidRPr="00513B63">
        <w:rPr>
          <w:rFonts w:ascii="Arial" w:hAnsi="Arial" w:cs="Arial" w:hint="eastAsia"/>
          <w:b/>
          <w:bCs/>
          <w:sz w:val="24"/>
        </w:rPr>
        <w:t xml:space="preserve"> </w:t>
      </w:r>
    </w:p>
    <w:p w:rsidR="003A2721" w:rsidRPr="00513B63" w:rsidRDefault="003A2721" w:rsidP="003A2721">
      <w:pPr>
        <w:spacing w:line="360" w:lineRule="auto"/>
        <w:rPr>
          <w:rFonts w:ascii="Arial" w:hAnsi="Arial" w:cs="Arial"/>
          <w:b/>
          <w:bCs/>
          <w:sz w:val="24"/>
        </w:rPr>
      </w:pPr>
      <w:r w:rsidRPr="00513B63">
        <w:rPr>
          <w:rFonts w:ascii="Arial" w:hAnsi="Arial" w:cs="Arial"/>
          <w:b/>
          <w:bCs/>
          <w:sz w:val="24"/>
        </w:rPr>
        <w:t xml:space="preserve">(a) </w:t>
      </w:r>
      <w:r w:rsidRPr="00513B63">
        <w:rPr>
          <w:rFonts w:ascii="Arial" w:hAnsi="Arial" w:cs="Arial"/>
          <w:sz w:val="24"/>
        </w:rPr>
        <w:t>Correlation heatmap showing pairwise relationships among 17 ferroptosis-related DEGs in both control and IR-AKI samples.</w:t>
      </w:r>
      <w:r w:rsidRPr="00513B63">
        <w:rPr>
          <w:rFonts w:ascii="Arial" w:hAnsi="Arial" w:cs="Arial" w:hint="eastAsia"/>
          <w:b/>
          <w:bCs/>
          <w:sz w:val="24"/>
        </w:rPr>
        <w:t xml:space="preserve"> </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(b) </w:t>
      </w:r>
      <w:r w:rsidRPr="00513B63">
        <w:rPr>
          <w:rFonts w:ascii="Arial" w:hAnsi="Arial" w:cs="Arial"/>
          <w:sz w:val="24"/>
        </w:rPr>
        <w:t xml:space="preserve">Correlation heatmap of the same 17 DEGs in IR-AKI samples alone. </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(c) </w:t>
      </w:r>
      <w:r w:rsidRPr="00513B63">
        <w:rPr>
          <w:rFonts w:ascii="Arial" w:hAnsi="Arial" w:cs="Arial"/>
          <w:sz w:val="24"/>
        </w:rPr>
        <w:t>Correlation heatmap of ferroptosis-related genes in control and AKI groups.</w:t>
      </w:r>
    </w:p>
    <w:p w:rsidR="003A2721" w:rsidRPr="00513B63" w:rsidRDefault="003A2721" w:rsidP="003A2721">
      <w:pPr>
        <w:spacing w:line="360" w:lineRule="auto"/>
        <w:rPr>
          <w:rFonts w:ascii="Arial" w:hAnsi="Arial" w:cs="Arial"/>
          <w:sz w:val="24"/>
        </w:rPr>
      </w:pPr>
    </w:p>
    <w:p w:rsidR="003A2721" w:rsidRPr="00513B63" w:rsidRDefault="003A2721" w:rsidP="003A2721">
      <w:pPr>
        <w:spacing w:line="360" w:lineRule="auto"/>
        <w:rPr>
          <w:rFonts w:ascii="Arial" w:hAnsi="Arial" w:cs="Arial"/>
          <w:b/>
          <w:bCs/>
          <w:sz w:val="24"/>
        </w:rPr>
      </w:pPr>
      <w:r w:rsidRPr="00513B63">
        <w:rPr>
          <w:rFonts w:ascii="Arial" w:hAnsi="Arial" w:cs="Arial"/>
          <w:b/>
          <w:bCs/>
          <w:sz w:val="24"/>
        </w:rPr>
        <w:t>Supplementary Fig 2. Validation and Clustering Analyses of the Ferroptosis-Based Diagnostic Model.</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(a) </w:t>
      </w:r>
      <w:r w:rsidRPr="00513B63">
        <w:rPr>
          <w:rFonts w:ascii="Arial" w:hAnsi="Arial" w:cs="Arial"/>
          <w:sz w:val="24"/>
        </w:rPr>
        <w:t>Calibration curve assessing the model’s sensitivity in predicting AKI risk based on 1,000 bootstrap resampling.</w:t>
      </w:r>
    </w:p>
    <w:p w:rsidR="003A2721" w:rsidRPr="00513B63" w:rsidRDefault="003A2721" w:rsidP="003A2721">
      <w:pPr>
        <w:spacing w:line="360" w:lineRule="auto"/>
        <w:rPr>
          <w:rFonts w:ascii="Arial" w:hAnsi="Arial" w:cs="Arial"/>
          <w:sz w:val="24"/>
        </w:rPr>
      </w:pPr>
      <w:r w:rsidRPr="00513B63">
        <w:rPr>
          <w:rFonts w:ascii="Arial" w:hAnsi="Arial" w:cs="Arial"/>
          <w:b/>
          <w:bCs/>
          <w:sz w:val="24"/>
        </w:rPr>
        <w:t>(b)</w:t>
      </w:r>
      <w:r w:rsidRPr="00513B63">
        <w:rPr>
          <w:rFonts w:ascii="Arial" w:hAnsi="Arial" w:cs="Arial"/>
          <w:sz w:val="24"/>
        </w:rPr>
        <w:t xml:space="preserve"> Calibration curve evaluating the model’s specificity, indicating consistent agreement between predicted and observed outcomes. </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(c) </w:t>
      </w:r>
      <w:r w:rsidRPr="00513B63">
        <w:rPr>
          <w:rFonts w:ascii="Arial" w:hAnsi="Arial" w:cs="Arial"/>
          <w:sz w:val="24"/>
        </w:rPr>
        <w:t>Heatmap showing expression profiles of ferroptosis-related genes across the three patient clusters. Predicted AKI probability from the diagnostic model is also displayed.</w:t>
      </w:r>
      <w:r w:rsidRPr="00513B63">
        <w:rPr>
          <w:rFonts w:ascii="Arial" w:hAnsi="Arial" w:cs="Arial" w:hint="eastAsia"/>
          <w:sz w:val="24"/>
        </w:rPr>
        <w:t xml:space="preserve"> </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(d) </w:t>
      </w:r>
      <w:r w:rsidRPr="00513B63">
        <w:rPr>
          <w:rFonts w:ascii="Arial" w:hAnsi="Arial" w:cs="Arial"/>
          <w:sz w:val="24"/>
        </w:rPr>
        <w:t>Boxplots showing the expression levels of 17 differentially expressed genes among the three patient clusters.</w:t>
      </w:r>
    </w:p>
    <w:p w:rsidR="003A2721" w:rsidRPr="00513B63" w:rsidRDefault="003A2721" w:rsidP="003A2721">
      <w:pPr>
        <w:spacing w:line="360" w:lineRule="auto"/>
        <w:rPr>
          <w:rFonts w:ascii="Arial" w:hAnsi="Arial" w:cs="Arial"/>
          <w:b/>
          <w:bCs/>
          <w:sz w:val="24"/>
        </w:rPr>
      </w:pPr>
    </w:p>
    <w:p w:rsidR="003A2721" w:rsidRPr="00513B63" w:rsidRDefault="003A2721" w:rsidP="003A2721">
      <w:pPr>
        <w:spacing w:line="360" w:lineRule="auto"/>
        <w:rPr>
          <w:rFonts w:ascii="Arial" w:hAnsi="Arial" w:cs="Arial"/>
          <w:b/>
          <w:bCs/>
          <w:sz w:val="24"/>
        </w:rPr>
      </w:pPr>
      <w:r w:rsidRPr="00513B63">
        <w:rPr>
          <w:rFonts w:ascii="Arial" w:hAnsi="Arial" w:cs="Arial"/>
          <w:b/>
          <w:bCs/>
          <w:sz w:val="24"/>
        </w:rPr>
        <w:t>Supplementary Fig 3. Construction and Module Detection Using WGCNA to Identify IR-AKI-Associated Gene Networks.</w:t>
      </w:r>
    </w:p>
    <w:p w:rsidR="003A2721" w:rsidRPr="00513B63" w:rsidRDefault="003A2721" w:rsidP="003A2721">
      <w:pPr>
        <w:spacing w:line="360" w:lineRule="auto"/>
        <w:rPr>
          <w:rFonts w:ascii="Arial" w:hAnsi="Arial" w:cs="Arial"/>
          <w:sz w:val="24"/>
        </w:rPr>
      </w:pPr>
      <w:r w:rsidRPr="00513B63">
        <w:rPr>
          <w:rFonts w:ascii="Arial" w:hAnsi="Arial" w:cs="Arial"/>
          <w:b/>
          <w:bCs/>
          <w:sz w:val="24"/>
        </w:rPr>
        <w:t>(a) Sample clustering to detect outliers before filtering.</w:t>
      </w:r>
      <w:r w:rsidRPr="00513B63">
        <w:rPr>
          <w:rFonts w:ascii="Arial" w:hAnsi="Arial" w:cs="Arial"/>
          <w:sz w:val="24"/>
        </w:rPr>
        <w:t xml:space="preserve"> Hierarchical clustering dendrogram showing the sample relationships before filtering. The plot visualizes the clustering of samples based on gene expression data, allowing the detection of outlier samples for removal.</w:t>
      </w:r>
    </w:p>
    <w:p w:rsidR="003A2721" w:rsidRPr="00513B63" w:rsidRDefault="003A2721" w:rsidP="003A2721">
      <w:pPr>
        <w:spacing w:line="360" w:lineRule="auto"/>
        <w:rPr>
          <w:rFonts w:ascii="Arial" w:hAnsi="Arial" w:cs="Arial"/>
          <w:sz w:val="24"/>
        </w:rPr>
      </w:pPr>
      <w:r w:rsidRPr="00513B63">
        <w:rPr>
          <w:rFonts w:ascii="Arial" w:hAnsi="Arial" w:cs="Arial"/>
          <w:b/>
          <w:bCs/>
          <w:sz w:val="24"/>
        </w:rPr>
        <w:t>(b) Sample clustering to detect outliers after filtering.</w:t>
      </w:r>
      <w:r w:rsidRPr="00513B63">
        <w:rPr>
          <w:b/>
          <w:bCs/>
        </w:rPr>
        <w:t xml:space="preserve"> </w:t>
      </w:r>
      <w:r w:rsidRPr="00513B63">
        <w:rPr>
          <w:rFonts w:ascii="Arial" w:hAnsi="Arial" w:cs="Arial"/>
          <w:sz w:val="24"/>
        </w:rPr>
        <w:t>Hierarchical clustering dendrogram showing the sample relationships after filtering out low-quality samples and genes. This plot reflects the revised sample clustering, where outliers have been removed to ensure robust analysis.</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(c) Soft threshold (power) analysis for WGCNA. The figure displays two </w:t>
      </w:r>
      <w:r w:rsidRPr="00513B63">
        <w:rPr>
          <w:rFonts w:ascii="Arial" w:hAnsi="Arial" w:cs="Arial"/>
          <w:b/>
          <w:bCs/>
          <w:sz w:val="24"/>
        </w:rPr>
        <w:lastRenderedPageBreak/>
        <w:t xml:space="preserve">scatter plots: (left) </w:t>
      </w:r>
      <w:r w:rsidRPr="00513B63">
        <w:rPr>
          <w:rFonts w:ascii="Arial" w:hAnsi="Arial" w:cs="Arial"/>
          <w:sz w:val="24"/>
        </w:rPr>
        <w:t>the relationship between the soft threshold (power) values and the scale-free topology model fit (signed R²), with a red horizontal line at 0.8 indicating the threshold for choosing the optimal power value;</w:t>
      </w:r>
      <w:r w:rsidRPr="00513B63">
        <w:rPr>
          <w:rFonts w:ascii="Arial" w:hAnsi="Arial" w:cs="Arial"/>
          <w:b/>
          <w:bCs/>
          <w:sz w:val="24"/>
        </w:rPr>
        <w:t xml:space="preserve"> (right)</w:t>
      </w:r>
      <w:r w:rsidRPr="00513B63">
        <w:rPr>
          <w:rFonts w:ascii="Arial" w:hAnsi="Arial" w:cs="Arial"/>
          <w:sz w:val="24"/>
        </w:rPr>
        <w:t xml:space="preserve"> the relationship between the soft threshold (power) values and the mean connectivity of the network, which helps evaluate network connectivity as a function of the power value. Both plots provide insights into selecting the appropriate power for network construction. </w:t>
      </w:r>
    </w:p>
    <w:p w:rsidR="003A2721" w:rsidRPr="00513B63" w:rsidRDefault="003A2721" w:rsidP="003A2721">
      <w:pPr>
        <w:spacing w:line="360" w:lineRule="auto"/>
        <w:rPr>
          <w:rFonts w:ascii="Arial" w:hAnsi="Arial" w:cs="Arial"/>
          <w:sz w:val="24"/>
        </w:rPr>
      </w:pPr>
    </w:p>
    <w:p w:rsidR="003A2721" w:rsidRPr="00513B63" w:rsidRDefault="003A2721" w:rsidP="003A2721">
      <w:pPr>
        <w:spacing w:line="360" w:lineRule="auto"/>
        <w:rPr>
          <w:rFonts w:ascii="Arial" w:hAnsi="Arial" w:cs="Arial"/>
          <w:b/>
          <w:bCs/>
          <w:sz w:val="24"/>
        </w:rPr>
      </w:pPr>
      <w:r w:rsidRPr="00513B63">
        <w:rPr>
          <w:rFonts w:ascii="Arial" w:hAnsi="Arial" w:cs="Arial"/>
          <w:b/>
          <w:bCs/>
          <w:sz w:val="24"/>
        </w:rPr>
        <w:t>Supplementary Fig 4. Supplementary Analysis of Single-cell RNA-seq Data.</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(a) </w:t>
      </w:r>
      <w:r w:rsidRPr="00513B63">
        <w:rPr>
          <w:rFonts w:ascii="Arial" w:hAnsi="Arial" w:cs="Arial" w:hint="eastAsia"/>
          <w:b/>
          <w:bCs/>
          <w:sz w:val="24"/>
        </w:rPr>
        <w:t>Q</w:t>
      </w:r>
      <w:r w:rsidRPr="00513B63">
        <w:rPr>
          <w:rFonts w:ascii="Arial" w:hAnsi="Arial" w:cs="Arial"/>
          <w:b/>
          <w:bCs/>
          <w:sz w:val="24"/>
        </w:rPr>
        <w:t xml:space="preserve">uality control metrics of single-cell RNA-seq data. </w:t>
      </w:r>
      <w:r w:rsidRPr="00513B63">
        <w:rPr>
          <w:rFonts w:ascii="Arial" w:hAnsi="Arial" w:cs="Arial"/>
          <w:sz w:val="24"/>
        </w:rPr>
        <w:t>Violin plots showing the distribution of quality control metrics: gene counts (</w:t>
      </w:r>
      <w:proofErr w:type="spellStart"/>
      <w:r w:rsidRPr="00513B63">
        <w:rPr>
          <w:rFonts w:ascii="Arial" w:hAnsi="Arial" w:cs="Arial"/>
          <w:sz w:val="24"/>
        </w:rPr>
        <w:t>nFeature_RNA</w:t>
      </w:r>
      <w:proofErr w:type="spellEnd"/>
      <w:r w:rsidRPr="00513B63">
        <w:rPr>
          <w:rFonts w:ascii="Arial" w:hAnsi="Arial" w:cs="Arial"/>
          <w:sz w:val="24"/>
        </w:rPr>
        <w:t>), UMI counts (</w:t>
      </w:r>
      <w:proofErr w:type="spellStart"/>
      <w:r w:rsidRPr="00513B63">
        <w:rPr>
          <w:rFonts w:ascii="Arial" w:hAnsi="Arial" w:cs="Arial"/>
          <w:sz w:val="24"/>
        </w:rPr>
        <w:t>nCount_RNA</w:t>
      </w:r>
      <w:proofErr w:type="spellEnd"/>
      <w:r w:rsidRPr="00513B63">
        <w:rPr>
          <w:rFonts w:ascii="Arial" w:hAnsi="Arial" w:cs="Arial"/>
          <w:sz w:val="24"/>
        </w:rPr>
        <w:t>), and the percentages of mitochondrial (percent.mt) and hemoglobin (</w:t>
      </w:r>
      <w:proofErr w:type="spellStart"/>
      <w:proofErr w:type="gramStart"/>
      <w:r w:rsidRPr="00513B63">
        <w:rPr>
          <w:rFonts w:ascii="Arial" w:hAnsi="Arial" w:cs="Arial"/>
          <w:sz w:val="24"/>
        </w:rPr>
        <w:t>percent.HB</w:t>
      </w:r>
      <w:proofErr w:type="spellEnd"/>
      <w:proofErr w:type="gramEnd"/>
      <w:r w:rsidRPr="00513B63">
        <w:rPr>
          <w:rFonts w:ascii="Arial" w:hAnsi="Arial" w:cs="Arial"/>
          <w:sz w:val="24"/>
        </w:rPr>
        <w:t>) transcripts. These metrics were used to exclude low-quality cells from downstream analysis.</w:t>
      </w:r>
    </w:p>
    <w:p w:rsidR="003A2721" w:rsidRPr="00513B63" w:rsidRDefault="003A2721" w:rsidP="003A2721">
      <w:pPr>
        <w:spacing w:line="360" w:lineRule="auto"/>
        <w:rPr>
          <w:rFonts w:ascii="Arial" w:hAnsi="Arial" w:cs="Arial"/>
          <w:sz w:val="24"/>
        </w:rPr>
      </w:pPr>
      <w:r w:rsidRPr="00513B63">
        <w:rPr>
          <w:rFonts w:ascii="Arial" w:hAnsi="Arial" w:cs="Arial"/>
          <w:b/>
          <w:bCs/>
          <w:sz w:val="24"/>
        </w:rPr>
        <w:t xml:space="preserve">(b) Identification of highly variable genes. </w:t>
      </w:r>
      <w:r w:rsidRPr="00513B63">
        <w:rPr>
          <w:rFonts w:ascii="Arial" w:hAnsi="Arial" w:cs="Arial"/>
          <w:sz w:val="24"/>
        </w:rPr>
        <w:t>Scatter plot showing gene variability across cells. The top 2,000 highly variable genes were identified for downstream dimensionality reduction and clustering. The top 10 most variable genes are labeled in the plot.</w:t>
      </w:r>
    </w:p>
    <w:p w:rsidR="003A2721" w:rsidRPr="00513B63" w:rsidRDefault="003A2721" w:rsidP="003A2721">
      <w:pPr>
        <w:spacing w:line="360" w:lineRule="auto"/>
        <w:rPr>
          <w:rFonts w:ascii="Arial" w:hAnsi="Arial" w:cs="Arial"/>
          <w:sz w:val="24"/>
        </w:rPr>
      </w:pPr>
      <w:r w:rsidRPr="00513B63">
        <w:rPr>
          <w:rFonts w:ascii="Arial" w:hAnsi="Arial" w:cs="Arial"/>
          <w:b/>
          <w:bCs/>
          <w:sz w:val="24"/>
        </w:rPr>
        <w:t>(c) Principal component analysis (PCA) of highly variable genes.</w:t>
      </w:r>
      <w:r w:rsidRPr="00513B63">
        <w:rPr>
          <w:rFonts w:ascii="Arial" w:hAnsi="Arial" w:cs="Arial"/>
          <w:sz w:val="24"/>
        </w:rPr>
        <w:t xml:space="preserve"> </w:t>
      </w:r>
      <w:r w:rsidRPr="00513B63">
        <w:rPr>
          <w:rFonts w:ascii="Arial" w:hAnsi="Arial" w:cs="Arial"/>
          <w:b/>
          <w:bCs/>
          <w:sz w:val="24"/>
        </w:rPr>
        <w:t>(left):</w:t>
      </w:r>
      <w:r w:rsidRPr="00513B63">
        <w:rPr>
          <w:rFonts w:ascii="Arial" w:hAnsi="Arial" w:cs="Arial"/>
          <w:sz w:val="24"/>
        </w:rPr>
        <w:t xml:space="preserve"> PCA plot showing sample clustering by dataset. </w:t>
      </w:r>
      <w:r w:rsidRPr="00513B63">
        <w:rPr>
          <w:rFonts w:ascii="Arial" w:hAnsi="Arial" w:cs="Arial"/>
          <w:b/>
          <w:bCs/>
          <w:sz w:val="24"/>
        </w:rPr>
        <w:t>(right):</w:t>
      </w:r>
      <w:r w:rsidRPr="00513B63">
        <w:rPr>
          <w:rFonts w:ascii="Arial" w:hAnsi="Arial" w:cs="Arial"/>
          <w:sz w:val="24"/>
        </w:rPr>
        <w:t xml:space="preserve"> Elbow plot showing variance explained by each principal component, used to determine the number of components for downstream analysis.</w:t>
      </w:r>
    </w:p>
    <w:p w:rsidR="003A2721" w:rsidRPr="00513B63" w:rsidRDefault="003A2721" w:rsidP="003A2721">
      <w:pPr>
        <w:spacing w:line="360" w:lineRule="auto"/>
        <w:rPr>
          <w:rFonts w:ascii="Arial" w:hAnsi="Arial" w:cs="Arial"/>
          <w:sz w:val="24"/>
        </w:rPr>
      </w:pPr>
      <w:r w:rsidRPr="00513B63">
        <w:rPr>
          <w:rFonts w:ascii="Arial" w:hAnsi="Arial" w:cs="Arial" w:hint="eastAsia"/>
          <w:b/>
          <w:bCs/>
          <w:sz w:val="24"/>
        </w:rPr>
        <w:t>(</w:t>
      </w:r>
      <w:r w:rsidRPr="00513B63">
        <w:rPr>
          <w:rFonts w:ascii="Arial" w:hAnsi="Arial" w:cs="Arial"/>
          <w:b/>
          <w:bCs/>
          <w:sz w:val="24"/>
        </w:rPr>
        <w:t xml:space="preserve">d) </w:t>
      </w:r>
      <w:proofErr w:type="spellStart"/>
      <w:r w:rsidRPr="00513B63">
        <w:rPr>
          <w:rFonts w:ascii="Arial" w:hAnsi="Arial" w:cs="Arial"/>
          <w:sz w:val="24"/>
        </w:rPr>
        <w:t>tSNE</w:t>
      </w:r>
      <w:proofErr w:type="spellEnd"/>
      <w:r w:rsidRPr="00513B63">
        <w:rPr>
          <w:rFonts w:ascii="Arial" w:hAnsi="Arial" w:cs="Arial"/>
          <w:sz w:val="24"/>
        </w:rPr>
        <w:t xml:space="preserve"> and UMAP plots showing clustering of single cells based on the top principal components.</w:t>
      </w:r>
    </w:p>
    <w:p w:rsidR="003A2721" w:rsidRPr="00513B63" w:rsidRDefault="003A2721" w:rsidP="003A2721">
      <w:pPr>
        <w:spacing w:line="360" w:lineRule="auto"/>
        <w:rPr>
          <w:rFonts w:ascii="Arial" w:hAnsi="Arial" w:cs="Arial"/>
          <w:sz w:val="24"/>
        </w:rPr>
      </w:pPr>
      <w:r w:rsidRPr="00513B63">
        <w:rPr>
          <w:rFonts w:ascii="Arial" w:hAnsi="Arial" w:cs="Arial" w:hint="eastAsia"/>
          <w:b/>
          <w:bCs/>
          <w:sz w:val="24"/>
        </w:rPr>
        <w:t>(</w:t>
      </w:r>
      <w:r w:rsidRPr="00513B63">
        <w:rPr>
          <w:rFonts w:ascii="Arial" w:hAnsi="Arial" w:cs="Arial"/>
          <w:b/>
          <w:bCs/>
          <w:sz w:val="24"/>
        </w:rPr>
        <w:t xml:space="preserve">e) </w:t>
      </w:r>
      <w:r w:rsidRPr="00513B63">
        <w:rPr>
          <w:rFonts w:ascii="Arial" w:hAnsi="Arial" w:cs="Arial"/>
          <w:sz w:val="24"/>
        </w:rPr>
        <w:t>UMAP plot showing cell clustering across different tissue types.</w:t>
      </w:r>
    </w:p>
    <w:p w:rsidR="003A2721" w:rsidRPr="00513B63" w:rsidRDefault="003A2721" w:rsidP="003A2721">
      <w:pPr>
        <w:spacing w:line="360" w:lineRule="auto"/>
        <w:rPr>
          <w:rFonts w:ascii="Arial" w:hAnsi="Arial" w:cs="Arial"/>
          <w:sz w:val="24"/>
        </w:rPr>
      </w:pPr>
      <w:r w:rsidRPr="00513B63">
        <w:rPr>
          <w:rFonts w:ascii="Arial" w:hAnsi="Arial" w:cs="Arial" w:hint="eastAsia"/>
          <w:b/>
          <w:bCs/>
          <w:sz w:val="24"/>
        </w:rPr>
        <w:t>(</w:t>
      </w:r>
      <w:r w:rsidRPr="00513B63">
        <w:rPr>
          <w:rFonts w:ascii="Arial" w:hAnsi="Arial" w:cs="Arial"/>
          <w:b/>
          <w:bCs/>
          <w:sz w:val="24"/>
        </w:rPr>
        <w:t xml:space="preserve">f) </w:t>
      </w:r>
      <w:proofErr w:type="spellStart"/>
      <w:r w:rsidRPr="00513B63">
        <w:rPr>
          <w:rFonts w:ascii="Arial" w:hAnsi="Arial" w:cs="Arial"/>
          <w:sz w:val="24"/>
        </w:rPr>
        <w:t>tSNE</w:t>
      </w:r>
      <w:proofErr w:type="spellEnd"/>
      <w:r w:rsidRPr="00513B63">
        <w:rPr>
          <w:rFonts w:ascii="Arial" w:hAnsi="Arial" w:cs="Arial"/>
          <w:sz w:val="24"/>
        </w:rPr>
        <w:t xml:space="preserve"> and UMAP plots showing annotated cell types.</w:t>
      </w:r>
    </w:p>
    <w:p w:rsidR="003A2721" w:rsidRPr="00513B63" w:rsidRDefault="003A2721" w:rsidP="003A2721">
      <w:pPr>
        <w:spacing w:line="360" w:lineRule="auto"/>
        <w:rPr>
          <w:rFonts w:ascii="Arial" w:hAnsi="Arial" w:cs="Arial"/>
          <w:sz w:val="24"/>
        </w:rPr>
      </w:pPr>
      <w:r w:rsidRPr="00513B63">
        <w:rPr>
          <w:rFonts w:ascii="Arial" w:hAnsi="Arial" w:cs="Arial" w:hint="eastAsia"/>
          <w:b/>
          <w:bCs/>
          <w:sz w:val="24"/>
        </w:rPr>
        <w:t>(</w:t>
      </w:r>
      <w:r w:rsidRPr="00513B63">
        <w:rPr>
          <w:rFonts w:ascii="Arial" w:hAnsi="Arial" w:cs="Arial"/>
          <w:b/>
          <w:bCs/>
          <w:sz w:val="24"/>
        </w:rPr>
        <w:t>g)</w:t>
      </w:r>
      <w:r w:rsidRPr="00513B63">
        <w:rPr>
          <w:rFonts w:ascii="Arial" w:hAnsi="Arial" w:cs="Arial"/>
          <w:sz w:val="24"/>
        </w:rPr>
        <w:t xml:space="preserve"> UMAP plots showing expression patterns of selected genes (</w:t>
      </w:r>
      <w:r w:rsidRPr="00513B63">
        <w:rPr>
          <w:rFonts w:ascii="Arial" w:hAnsi="Arial" w:cs="Arial"/>
          <w:i/>
          <w:iCs/>
          <w:sz w:val="24"/>
        </w:rPr>
        <w:t xml:space="preserve">Slc39a14, Tfrc, Hmox1, Txnrd1, </w:t>
      </w:r>
      <w:proofErr w:type="spellStart"/>
      <w:r w:rsidRPr="00513B63">
        <w:rPr>
          <w:rFonts w:ascii="Arial" w:hAnsi="Arial" w:cs="Arial"/>
          <w:i/>
          <w:iCs/>
          <w:sz w:val="24"/>
        </w:rPr>
        <w:t>Gclm</w:t>
      </w:r>
      <w:proofErr w:type="spellEnd"/>
      <w:r w:rsidRPr="00513B63">
        <w:rPr>
          <w:rFonts w:ascii="Arial" w:hAnsi="Arial" w:cs="Arial"/>
          <w:i/>
          <w:iCs/>
          <w:sz w:val="24"/>
        </w:rPr>
        <w:t>)</w:t>
      </w:r>
      <w:r w:rsidRPr="00513B63">
        <w:rPr>
          <w:rFonts w:ascii="Arial" w:hAnsi="Arial" w:cs="Arial"/>
          <w:sz w:val="24"/>
        </w:rPr>
        <w:t xml:space="preserve"> across different tissue types.</w:t>
      </w:r>
    </w:p>
    <w:p w:rsidR="003A2721" w:rsidRPr="00513B63" w:rsidRDefault="003A2721" w:rsidP="003A2721">
      <w:pPr>
        <w:spacing w:line="360" w:lineRule="auto"/>
        <w:rPr>
          <w:rFonts w:ascii="Arial" w:hAnsi="Arial" w:cs="Arial"/>
          <w:sz w:val="24"/>
        </w:rPr>
      </w:pPr>
    </w:p>
    <w:p w:rsidR="003A2721" w:rsidRPr="00513B63" w:rsidRDefault="003A2721" w:rsidP="003A2721">
      <w:pPr>
        <w:spacing w:line="360" w:lineRule="auto"/>
        <w:rPr>
          <w:rFonts w:ascii="Arial" w:hAnsi="Arial" w:cs="Arial"/>
          <w:b/>
          <w:bCs/>
          <w:sz w:val="24"/>
        </w:rPr>
      </w:pPr>
      <w:r w:rsidRPr="00513B63">
        <w:rPr>
          <w:rFonts w:ascii="Arial" w:hAnsi="Arial" w:cs="Arial"/>
          <w:b/>
          <w:bCs/>
          <w:sz w:val="24"/>
        </w:rPr>
        <w:lastRenderedPageBreak/>
        <w:t>Supplementary Fig 5. Supplementary Analysis of Spatial Transcriptomics.</w:t>
      </w:r>
    </w:p>
    <w:p w:rsidR="003A2721" w:rsidRPr="00513B63" w:rsidRDefault="003A2721" w:rsidP="003A2721">
      <w:pPr>
        <w:spacing w:line="360" w:lineRule="auto"/>
        <w:rPr>
          <w:rFonts w:ascii="Arial" w:hAnsi="Arial" w:cs="Arial"/>
          <w:sz w:val="24"/>
        </w:rPr>
      </w:pPr>
      <w:r w:rsidRPr="00513B63">
        <w:rPr>
          <w:rFonts w:ascii="Arial" w:hAnsi="Arial" w:cs="Arial" w:hint="eastAsia"/>
          <w:sz w:val="24"/>
        </w:rPr>
        <w:t>(</w:t>
      </w:r>
      <w:r w:rsidRPr="00513B63">
        <w:rPr>
          <w:rFonts w:ascii="Arial" w:hAnsi="Arial" w:cs="Arial"/>
          <w:sz w:val="24"/>
        </w:rPr>
        <w:t xml:space="preserve">a) UMAP plot displaying transcriptional clusters. </w:t>
      </w:r>
    </w:p>
    <w:p w:rsidR="003A2721" w:rsidRPr="00513B63" w:rsidRDefault="003A2721" w:rsidP="003A2721">
      <w:pPr>
        <w:spacing w:line="360" w:lineRule="auto"/>
        <w:rPr>
          <w:rFonts w:ascii="Arial" w:hAnsi="Arial" w:cs="Arial"/>
          <w:sz w:val="24"/>
        </w:rPr>
      </w:pPr>
      <w:r w:rsidRPr="00513B63">
        <w:rPr>
          <w:rFonts w:ascii="Arial" w:hAnsi="Arial" w:cs="Arial"/>
          <w:sz w:val="24"/>
        </w:rPr>
        <w:t>(b) Spatial mapping of clusters over tissue sections, preserving spatial context.</w:t>
      </w:r>
    </w:p>
    <w:p w:rsidR="003A2721" w:rsidRPr="00513B63" w:rsidRDefault="003A2721" w:rsidP="003A2721">
      <w:pPr>
        <w:spacing w:line="360" w:lineRule="auto"/>
        <w:rPr>
          <w:rFonts w:ascii="Arial" w:hAnsi="Arial" w:cs="Arial"/>
          <w:sz w:val="24"/>
        </w:rPr>
      </w:pPr>
      <w:r w:rsidRPr="00513B63">
        <w:rPr>
          <w:rFonts w:ascii="Arial" w:hAnsi="Arial" w:cs="Arial" w:hint="eastAsia"/>
          <w:sz w:val="24"/>
        </w:rPr>
        <w:t>(</w:t>
      </w:r>
      <w:r w:rsidRPr="00513B63">
        <w:rPr>
          <w:rFonts w:ascii="Arial" w:hAnsi="Arial" w:cs="Arial"/>
          <w:sz w:val="24"/>
        </w:rPr>
        <w:t>c) Dot plot showing the expression levels of selected genes across clusters.</w:t>
      </w:r>
    </w:p>
    <w:p w:rsidR="003A2721" w:rsidRPr="00513B63" w:rsidRDefault="003A2721" w:rsidP="003A2721">
      <w:pPr>
        <w:spacing w:line="360" w:lineRule="auto"/>
        <w:rPr>
          <w:rFonts w:ascii="Arial" w:hAnsi="Arial" w:cs="Arial"/>
          <w:sz w:val="24"/>
        </w:rPr>
      </w:pPr>
      <w:r w:rsidRPr="00513B63">
        <w:rPr>
          <w:rFonts w:ascii="Arial" w:hAnsi="Arial" w:cs="Arial"/>
          <w:sz w:val="24"/>
        </w:rPr>
        <w:t xml:space="preserve">(d)Cell-cell interaction heatmap showing the strength of communication between different cell types. </w:t>
      </w:r>
    </w:p>
    <w:p w:rsidR="003A2721" w:rsidRDefault="003A2721" w:rsidP="003A2721">
      <w:pPr>
        <w:spacing w:line="360" w:lineRule="auto"/>
        <w:rPr>
          <w:rFonts w:ascii="Arial" w:hAnsi="Arial" w:cs="Arial"/>
          <w:sz w:val="24"/>
        </w:rPr>
      </w:pPr>
      <w:r w:rsidRPr="00513B63">
        <w:rPr>
          <w:rFonts w:ascii="Arial" w:hAnsi="Arial" w:cs="Arial"/>
          <w:sz w:val="24"/>
        </w:rPr>
        <w:t>(e) Network diagram illustrating the interactions between cell types.</w:t>
      </w:r>
      <w:r w:rsidRPr="00BF5788">
        <w:rPr>
          <w:rFonts w:ascii="Arial" w:hAnsi="Arial" w:cs="Arial"/>
          <w:sz w:val="24"/>
        </w:rPr>
        <w:t xml:space="preserve"> </w:t>
      </w:r>
    </w:p>
    <w:p w:rsidR="00DD29AF" w:rsidRPr="003A2721" w:rsidRDefault="00DD29AF"/>
    <w:sectPr w:rsidR="00DD29AF" w:rsidRPr="003A27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21"/>
    <w:rsid w:val="00042412"/>
    <w:rsid w:val="00042B12"/>
    <w:rsid w:val="00084365"/>
    <w:rsid w:val="00094F57"/>
    <w:rsid w:val="000A17B0"/>
    <w:rsid w:val="000D64F5"/>
    <w:rsid w:val="000E6951"/>
    <w:rsid w:val="000F3BB0"/>
    <w:rsid w:val="00103AFE"/>
    <w:rsid w:val="001270E0"/>
    <w:rsid w:val="001B0844"/>
    <w:rsid w:val="001D0F33"/>
    <w:rsid w:val="00235735"/>
    <w:rsid w:val="0025507B"/>
    <w:rsid w:val="00265124"/>
    <w:rsid w:val="002A6AF4"/>
    <w:rsid w:val="0032065F"/>
    <w:rsid w:val="00332F73"/>
    <w:rsid w:val="00397548"/>
    <w:rsid w:val="003A2721"/>
    <w:rsid w:val="003A4E72"/>
    <w:rsid w:val="003A7F29"/>
    <w:rsid w:val="003C4447"/>
    <w:rsid w:val="004037BF"/>
    <w:rsid w:val="00471687"/>
    <w:rsid w:val="005302C4"/>
    <w:rsid w:val="00537D90"/>
    <w:rsid w:val="005429FC"/>
    <w:rsid w:val="005514F3"/>
    <w:rsid w:val="005573C9"/>
    <w:rsid w:val="005D36E0"/>
    <w:rsid w:val="005E26BC"/>
    <w:rsid w:val="005E569C"/>
    <w:rsid w:val="005E7486"/>
    <w:rsid w:val="00635A49"/>
    <w:rsid w:val="006570D4"/>
    <w:rsid w:val="006A60DE"/>
    <w:rsid w:val="006E2E7A"/>
    <w:rsid w:val="00713C30"/>
    <w:rsid w:val="00724C7A"/>
    <w:rsid w:val="007F18D5"/>
    <w:rsid w:val="008615AB"/>
    <w:rsid w:val="00865033"/>
    <w:rsid w:val="00871180"/>
    <w:rsid w:val="0088467A"/>
    <w:rsid w:val="008A59FC"/>
    <w:rsid w:val="008E6968"/>
    <w:rsid w:val="00915E32"/>
    <w:rsid w:val="009463B2"/>
    <w:rsid w:val="00951917"/>
    <w:rsid w:val="0097746D"/>
    <w:rsid w:val="0098750A"/>
    <w:rsid w:val="009A5050"/>
    <w:rsid w:val="009B4727"/>
    <w:rsid w:val="00A71A0C"/>
    <w:rsid w:val="00A83983"/>
    <w:rsid w:val="00A83CB2"/>
    <w:rsid w:val="00AC3DD9"/>
    <w:rsid w:val="00AD3E6D"/>
    <w:rsid w:val="00B55016"/>
    <w:rsid w:val="00B61D20"/>
    <w:rsid w:val="00B705A0"/>
    <w:rsid w:val="00BB54E8"/>
    <w:rsid w:val="00BC0CF5"/>
    <w:rsid w:val="00BC663A"/>
    <w:rsid w:val="00BC7890"/>
    <w:rsid w:val="00BD764A"/>
    <w:rsid w:val="00C44A4E"/>
    <w:rsid w:val="00D1574B"/>
    <w:rsid w:val="00D35079"/>
    <w:rsid w:val="00D52617"/>
    <w:rsid w:val="00D56259"/>
    <w:rsid w:val="00D65955"/>
    <w:rsid w:val="00D93A60"/>
    <w:rsid w:val="00DB05FC"/>
    <w:rsid w:val="00DC2C14"/>
    <w:rsid w:val="00DD29AF"/>
    <w:rsid w:val="00DD6F61"/>
    <w:rsid w:val="00E20BF1"/>
    <w:rsid w:val="00E3626E"/>
    <w:rsid w:val="00E51616"/>
    <w:rsid w:val="00E966B5"/>
    <w:rsid w:val="00EE61E6"/>
    <w:rsid w:val="00F25C83"/>
    <w:rsid w:val="00F44F8F"/>
    <w:rsid w:val="00F5193A"/>
    <w:rsid w:val="00F6063C"/>
    <w:rsid w:val="00F816E1"/>
    <w:rsid w:val="00F86F4D"/>
    <w:rsid w:val="00FA4A20"/>
    <w:rsid w:val="00FD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C794B0"/>
  <w15:chartTrackingRefBased/>
  <w15:docId w15:val="{CE367642-8E35-D240-A5D4-EF4D947F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72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D65955"/>
    <w:pPr>
      <w:jc w:val="both"/>
    </w:pPr>
    <w:tblPr>
      <w:tblBorders>
        <w:top w:val="single" w:sz="4" w:space="0" w:color="auto"/>
        <w:bottom w:val="single" w:sz="4" w:space="0" w:color="auto"/>
      </w:tblBorders>
    </w:tblPr>
    <w:tcPr>
      <w:shd w:val="clear" w:color="auto" w:fill="auto"/>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Evian</dc:creator>
  <cp:keywords/>
  <dc:description/>
  <cp:lastModifiedBy>Evian</cp:lastModifiedBy>
  <cp:revision>1</cp:revision>
  <dcterms:created xsi:type="dcterms:W3CDTF">2025-09-22T04:01:00Z</dcterms:created>
  <dcterms:modified xsi:type="dcterms:W3CDTF">2025-09-22T04:03:00Z</dcterms:modified>
</cp:coreProperties>
</file>