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006BC8" w:rsidRPr="00491438" w:rsidRDefault="00006BC8" w:rsidP="00006BC8">
      <w:pPr>
        <w:spacing w:line="480" w:lineRule="auto"/>
      </w:pPr>
      <w:r w:rsidRPr="00491438">
        <w:t>SUPPLEMENTARY MATERIALS AND METHODS</w:t>
      </w:r>
    </w:p>
    <w:p w:rsidR="00491438" w:rsidRPr="00491438" w:rsidRDefault="00491438" w:rsidP="00006BC8">
      <w:pPr>
        <w:spacing w:line="480" w:lineRule="auto"/>
      </w:pPr>
    </w:p>
    <w:p w:rsidR="00006BC8" w:rsidRPr="00491438" w:rsidRDefault="00006BC8" w:rsidP="00006BC8">
      <w:pPr>
        <w:spacing w:line="480" w:lineRule="auto"/>
        <w:rPr>
          <w:b/>
        </w:rPr>
      </w:pPr>
      <w:r w:rsidRPr="00491438">
        <w:rPr>
          <w:b/>
        </w:rPr>
        <w:t>WGS and WES sequencing and variant calling</w:t>
      </w:r>
    </w:p>
    <w:p w:rsidR="00006BC8" w:rsidRPr="00491438" w:rsidRDefault="00006BC8" w:rsidP="00006BC8">
      <w:pPr>
        <w:spacing w:line="480" w:lineRule="auto"/>
      </w:pPr>
      <w:r w:rsidRPr="00491438">
        <w:tab/>
        <w:t xml:space="preserve">WGS followed a PCR-free sample preparation and sequenced on the Illumina </w:t>
      </w:r>
      <w:proofErr w:type="spellStart"/>
      <w:r w:rsidRPr="00491438">
        <w:t>HiSeq</w:t>
      </w:r>
      <w:proofErr w:type="spellEnd"/>
      <w:r w:rsidRPr="00491438">
        <w:t xml:space="preserve"> X Ten using 150 </w:t>
      </w:r>
      <w:proofErr w:type="spellStart"/>
      <w:r w:rsidRPr="00491438">
        <w:t>bp</w:t>
      </w:r>
      <w:proofErr w:type="spellEnd"/>
      <w:r w:rsidRPr="00491438">
        <w:t xml:space="preserve"> paired-end reads with mean coverage of 30×. WES samples were sequenced using the Agilent </w:t>
      </w:r>
      <w:proofErr w:type="spellStart"/>
      <w:r w:rsidRPr="00491438">
        <w:t>SureSelect</w:t>
      </w:r>
      <w:proofErr w:type="spellEnd"/>
      <w:r w:rsidRPr="00491438">
        <w:t xml:space="preserve"> Human All Exon V5+UTRs Kit according to the manufacturer’s recommendations with mean target coverage of 67×.</w:t>
      </w:r>
    </w:p>
    <w:p w:rsidR="00006BC8" w:rsidRPr="00491438" w:rsidRDefault="00006BC8" w:rsidP="00006BC8">
      <w:pPr>
        <w:spacing w:line="480" w:lineRule="auto"/>
      </w:pPr>
      <w:r w:rsidRPr="00491438">
        <w:tab/>
        <w:t>Sequenced reads were aligned against the GRCh37/hg19 human reference genome using BWA-MEM</w:t>
      </w:r>
      <w:r w:rsidRPr="00491438">
        <w:fldChar w:fldCharType="begin" w:fldLock="1"/>
      </w:r>
      <w:r w:rsidRPr="00491438">
        <w:instrText>ADDIN CSL_CITATION { "citationItems" : [ { "id" : "ITEM-1", "itemData" : { "DOI" : "10.1093/bioinformatics/btp324", "ISBN" : "1367-4811 (Electronic)\\r1367-4803 (Linking)", "ISSN" : "13674803", "PMID" : "19451168", "abstract" : "MOTIVATION: The enormous amount of short reads generated by the new DNA sequencing technologies call for the development of fast and accurate read alignment programs. A first generation of hash table-based methods has been developed, including MAQ, which is accurate, feature rich and fast enough to align short reads from a single individual. However, MAQ does not support gapped alignment for single-end reads, which makes it unsuitable for alignment of longer reads where indels may occur frequently. The speed of MAQ is also a concern when the alignment is scaled up to the resequencing of hundreds of individuals.\\n\\nRESULTS: We implemented Burrows-Wheeler Alignment tool (BWA), a new read alignment package that is based on backward search with Burrows-Wheeler Transform (BWT), to efficiently align short sequencing reads against a large reference sequence such as the human genome, allowing mismatches and gaps. BWA supports both base space reads, e.g. from Illumina sequencing machines, and color space reads from AB SOLiD machines. Evaluations on both simulated and real data suggest that BWA is approximately 10-20x faster than MAQ, while achieving similar accuracy. In addition, BWA outputs alignment in the new standard SAM (Sequence Alignment/Map) format. Variant calling and other downstream analyses after the alignment can be achieved with the open source SAMtools software package.\\n\\nAVAILABILITY: http://maq.sourceforge.net.", "author" : [ { "dropping-particle" : "", "family" : "Li", "given" : "Heng", "non-dropping-particle" : "", "parse-names" : false, "suffix" : "" }, { "dropping-particle" : "", "family" : "Durbin", "given" : "Richard", "non-dropping-particle" : "", "parse-names" : false, "suffix" : "" } ], "container-title" : "Bioinformatics", "id" : "ITEM-1", "issue" : "14", "issued" : { "date-parts" : [ [ "2009" ] ] }, "page" : "1754-1760", "title" : "Fast and accurate short read alignment with Burrows-Wheeler transform", "type" : "article-journal", "volume" : "25" }, "uris" : [ "http://www.mendeley.com/documents/?uuid=c8de08f4-0655-400e-b931-8639ce58a873" ] } ], "mendeley" : { "formattedCitation" : "&lt;sup&gt;1&lt;/sup&gt;", "plainTextFormattedCitation" : "1", "previouslyFormattedCitation" : "&lt;sup&gt;1&lt;/sup&gt;" }, "properties" : { "noteIndex" : 30 }, "schema" : "https://github.com/citation-style-language/schema/raw/master/csl-citation.json" }</w:instrText>
      </w:r>
      <w:r w:rsidRPr="00491438">
        <w:fldChar w:fldCharType="separate"/>
      </w:r>
      <w:r w:rsidRPr="00491438">
        <w:rPr>
          <w:noProof/>
          <w:vertAlign w:val="superscript"/>
        </w:rPr>
        <w:t>1</w:t>
      </w:r>
      <w:r w:rsidRPr="00491438">
        <w:fldChar w:fldCharType="end"/>
      </w:r>
      <w:r w:rsidRPr="00491438">
        <w:t> v0.7.7, PCR duplicates were marked using Picard</w:t>
      </w:r>
      <w:r w:rsidRPr="00491438">
        <w:fldChar w:fldCharType="begin" w:fldLock="1"/>
      </w:r>
      <w:r w:rsidRPr="00491438">
        <w:instrText>ADDIN CSL_CITATION { "citationItems" : [ { "id" : "ITEM-1", "itemData" : { "URL" : "http://broadinstitute.github.io/picard/", "id" : "ITEM-1", "issued" : { "date-parts" : [ [ "0" ] ] }, "title" : "Picard", "type" : "webpage" }, "uris" : [ "http://www.mendeley.com/documents/?uuid=1ca578c4-0ac5-4cfb-9686-cabaf737bc08" ] } ], "mendeley" : { "formattedCitation" : "&lt;sup&gt;2&lt;/sup&gt;", "plainTextFormattedCitation" : "2", "previouslyFormattedCitation" : "&lt;sup&gt;2&lt;/sup&gt;" }, "properties" : { "noteIndex" : 4 }, "schema" : "https://github.com/citation-style-language/schema/raw/master/csl-citation.json" }</w:instrText>
      </w:r>
      <w:r w:rsidRPr="00491438">
        <w:fldChar w:fldCharType="separate"/>
      </w:r>
      <w:r w:rsidRPr="00491438">
        <w:rPr>
          <w:noProof/>
          <w:vertAlign w:val="superscript"/>
        </w:rPr>
        <w:t>2</w:t>
      </w:r>
      <w:r w:rsidRPr="00491438">
        <w:fldChar w:fldCharType="end"/>
      </w:r>
      <w:r w:rsidRPr="00491438">
        <w:t xml:space="preserve"> v1.136, and Genome Analysis Toolkit (GATK)</w:t>
      </w:r>
      <w:r w:rsidRPr="00491438">
        <w:fldChar w:fldCharType="begin" w:fldLock="1"/>
      </w:r>
      <w:r w:rsidRPr="00491438">
        <w:instrText>ADDIN CSL_CITATION { "citationItems" : [ { "id" : "ITEM-1", "itemData" : { "DOI" : "10.1002/0471250953.bi1110s43.From", "ISBN" : "0471250953", "author" : [ { "dropping-particle" : "Van Der", "family" : "Auwera", "given" : "Geraldine A", "non-dropping-particle" : "", "parse-names" : false, "suffix" : "" }, { "dropping-particle" : "", "family" : "Carneiro", "given" : "Mauricio O", "non-dropping-particle" : "", "parse-names" : false, "suffix" : "" }, { "dropping-particle" : "", "family" : "Hartl", "given" : "Chris", "non-dropping-particle" : "", "parse-names" : false, "suffix" : "" }, { "dropping-particle" : "", "family" : "Poplin", "given" : "Ryan", "non-dropping-particle" : "", "parse-names" : false, "suffix" : "" }, { "dropping-particle" : "", "family" : "Levy-moonshine", "given" : "Ami", "non-dropping-particle" : "", "parse-names" : false, "suffix" : "" }, { "dropping-particle" : "", "family" : "Jordan", "given" : "Tadeusz", "non-dropping-particle" : "", "parse-names" : false, "suffix" : "" }, { "dropping-particle" : "", "family" : "Shakir", "given" : "Khalid", "non-dropping-particle" : "", "parse-names" : false, "suffix" : "" }, { "dropping-particle" : "", "family" : "Roazen", "given" : "David", "non-dropping-particle" : "", "parse-names" : false, "suffix" : "" }, { "dropping-particle" : "", "family" : "Thibault", "given" : "Joel", "non-dropping-particle" : "", "parse-names" : false, "suffix" : "" }, { "dropping-particle" : "", "family" : "Banks", "given" : "Eric", "non-dropping-particle" : "", "parse-names" : false, "suffix" : "" }, { "dropping-particle" : "V", "family" : "Garimella", "given" : "Kiran", "non-dropping-particle" : "", "parse-names" : false, "suffix" : "" }, { "dropping-particle" : "", "family" : "Altshuler", "given" : "David", "non-dropping-particle" : "", "parse-names" : false, "suffix" : "" }, { "dropping-particle" : "", "family" : "Gabriel", "given" : "Stacey", "non-dropping-particle" : "", "parse-names" : false, "suffix" : "" }, { "dropping-particle" : "", "family" : "Depristo", "given" : "Mark A", "non-dropping-particle" : "", "parse-names" : false, "suffix" : "" } ], "container-title" : "Curr Protoc Bioinformatics", "id" : "ITEM-1", "issue" : "1110", "issued" : { "date-parts" : [ [ "2014" ] ] }, "title" : "From FastQ data to high confidence varant calls: the Genonme Analysis Toolkit best practices pipeline", "type" : "book", "volume" : "11" }, "uris" : [ "http://www.mendeley.com/documents/?uuid=47c9a1f8-87a6-4cab-8af9-33a9cf1f86a7" ] }, { "id" : "ITEM-2", "itemData" : { "DOI" : "10.1101/gr.107524.110", "ISSN" : "1088-9051", "abstract" : "Next-generation DNA sequencing (NGS) projects, such as the 1000 Genomes Project, are already revolutionizing our understanding of genetic variation among individuals. However, the massive data sets generated by NGS\u2014the 1000 Genome pilot alone includes nearly five terabases\u2014make writing feature-rich, efficient, and robust analysis tools difficult for even computationally sophisticated individuals. Indeed, many professionals are limited in the scope and the ease with which they can answer scientific questions by the complexity of accessing and manipulating the data produced by these machines. Here, we discuss our Genome Analysis Toolkit (GATK), a structured programming framework designed to ease the development of efficient and robust analysis tools for next-generation DNA sequencers using the functional programming philosophy of MapReduce. The GATK provides a small but rich set of data access patterns that encompass the majority of analysis tool needs. Separating specific analysis calculations from common data management infrastructure enables us to optimize the GATK framework for correctness, stability, and CPU and memory efficiency and to enable distributed and shared memory parallelization. We highlight the capabilities of the GATK by describing the implementation and application of robust, scale-tolerant tools like coverage calculators and single nucleotide polymorphism (SNP) calling. We conclude that the GATK programming framework enables developers and analysts to quickly and easily write efficient and robust NGS tools, many of which have already been incorporated into large-scale sequencing projects like the 1000 Genomes Project and The Cancer Genome Atlas. ", "author" : [ { "dropping-particle" : "", "family" : "McKenna", "given" : "Aaron", "non-dropping-particle" : "", "parse-names" : false, "suffix" : "" }, { "dropping-particle" : "", "family" : "Hanna", "given" : "Matthew", "non-dropping-particle" : "", "parse-names" : false, "suffix" : "" }, { "dropping-particle" : "", "family" : "Banks", "given" : "Eric", "non-dropping-particle" : "", "parse-names" : false, "suffix" : "" }, { "dropping-particle" : "", "family" : "Sivachenko", "given" : "Andrey", "non-dropping-particle" : "", "parse-names" : false, "suffix" : "" }, { "dropping-particle" : "", "family" : "Cibulskis", "given" : "Kristian", "non-dropping-particle" : "", "parse-names" : false, "suffix" : "" }, { "dropping-particle" : "", "family" : "Kernytsky", "given" : "Andrew", "non-dropping-particle" : "", "parse-names" : false, "suffix" : "" }, { "dropping-particle" : "", "family" : "Garimella", "given" : "Kiran", "non-dropping-particle" : "", "parse-names" : false, "suffix" : "" }, { "dropping-particle" : "", "family" : "Altshuler", "given" : "David", "non-dropping-particle" : "", "parse-names" : false, "suffix" : "" }, { "dropping-particle" : "", "family" : "Gabriel", "given" : "Stacey", "non-dropping-particle" : "", "parse-names" : false, "suffix" : "" }, { "dropping-particle" : "", "family" : "Daly", "given" : "Mark", "non-dropping-particle" : "", "parse-names" : false, "suffix" : "" }, { "dropping-particle" : "", "family" : "DePristo", "given" : "Mark A", "non-dropping-particle" : "", "parse-names" : false, "suffix" : "" } ], "container-title" : "Genome Research", "id" : "ITEM-2", "issue" : "9", "issued" : { "date-parts" : [ [ "2010", "9", "11" ] ] }, "page" : "1297-1303", "publisher" : "Cold Spring Harbor Laboratory Press", "title" : "The Genome Analysis Toolkit: A MapReduce framework for analyzing next-generation DNA sequencing data", "type" : "article-journal", "volume" : "20" }, "uris" : [ "http://www.mendeley.com/documents/?uuid=ba58c348-2ecd-4f6e-92a0-308a7681f2cb" ] } ], "mendeley" : { "formattedCitation" : "&lt;sup&gt;3,4&lt;/sup&gt;", "plainTextFormattedCitation" : "3,4", "previouslyFormattedCitation" : "&lt;sup&gt;3,4&lt;/sup&gt;" }, "properties" : { "noteIndex" : 3 }, "schema" : "https://github.com/citation-style-language/schema/raw/master/csl-citation.json" }</w:instrText>
      </w:r>
      <w:r w:rsidRPr="00491438">
        <w:fldChar w:fldCharType="separate"/>
      </w:r>
      <w:r w:rsidRPr="00491438">
        <w:rPr>
          <w:noProof/>
          <w:vertAlign w:val="superscript"/>
        </w:rPr>
        <w:t>3,4</w:t>
      </w:r>
      <w:r w:rsidRPr="00491438">
        <w:fldChar w:fldCharType="end"/>
      </w:r>
      <w:r w:rsidRPr="00491438">
        <w:t xml:space="preserve"> v3.4-46 was applied for further BAM processing. Sample genotypes were called by </w:t>
      </w:r>
      <w:bookmarkStart w:id="0" w:name="OLE_LINK1"/>
      <w:r w:rsidRPr="00491438">
        <w:t xml:space="preserve">GATK </w:t>
      </w:r>
      <w:proofErr w:type="spellStart"/>
      <w:r w:rsidRPr="00491438">
        <w:t>HaplotypeCaller</w:t>
      </w:r>
      <w:proofErr w:type="spellEnd"/>
      <w:r w:rsidRPr="00491438">
        <w:t xml:space="preserve"> </w:t>
      </w:r>
      <w:bookmarkEnd w:id="0"/>
      <w:r w:rsidRPr="00491438">
        <w:t xml:space="preserve">algorithm, and all single </w:t>
      </w:r>
      <w:proofErr w:type="spellStart"/>
      <w:r w:rsidRPr="00491438">
        <w:t>gVCF</w:t>
      </w:r>
      <w:proofErr w:type="spellEnd"/>
      <w:r w:rsidRPr="00491438">
        <w:t xml:space="preserve">-files were combined and jointly aggregated. </w:t>
      </w:r>
    </w:p>
    <w:p w:rsidR="00006BC8" w:rsidRPr="00491438" w:rsidRDefault="00006BC8" w:rsidP="00006BC8">
      <w:pPr>
        <w:spacing w:line="480" w:lineRule="auto"/>
      </w:pPr>
      <w:r w:rsidRPr="00491438">
        <w:tab/>
        <w:t xml:space="preserve">Samples were filtered based on high contamination (&gt;5%), high proportion of chimeric alignment (&gt;5%), low coverage (&lt;20×), low call rate for SNVs (&lt;99%), discordance with genome-wide array data (&gt;5%) and mismatch between phenotypic and genotypic sex. Additional outlier samples (mean ±3 SD) were excluded based on the calculations of the number of variants, non-reference variants, heterozygous variants, heterozygous/homozygous variants ratio, transition/transversion ratio, insertion/deletion ratio for novel indels, and insertion/deletion ratio for indels observed in </w:t>
      </w:r>
      <w:proofErr w:type="spellStart"/>
      <w:r w:rsidRPr="00491438">
        <w:t>dbSNP</w:t>
      </w:r>
      <w:proofErr w:type="spellEnd"/>
      <w:r w:rsidRPr="00491438">
        <w:t>. Extremely low coverage samples (below mean –3 SD) and extreme values (mean ±3 SD) of multiallelic SNVs and inbreeding coefficient F were removed additionally in WES quality control. After filtering and exclusion of duplicates between two datasets, the final WGS sample set contained 2420 and the final WES sample set 2356 unique samples.</w:t>
      </w:r>
    </w:p>
    <w:p w:rsidR="00006BC8" w:rsidRPr="00491438" w:rsidRDefault="00006BC8" w:rsidP="00006BC8">
      <w:pPr>
        <w:spacing w:line="480" w:lineRule="auto"/>
      </w:pPr>
      <w:r w:rsidRPr="00491438">
        <w:tab/>
        <w:t xml:space="preserve">The following filters were applied for genotype quality control: genotype quality &lt;20, read depth &gt;200 for WGS and &lt;8 for WES, </w:t>
      </w:r>
      <w:proofErr w:type="spellStart"/>
      <w:r w:rsidRPr="00491438">
        <w:t>phred</w:t>
      </w:r>
      <w:proofErr w:type="spellEnd"/>
      <w:r w:rsidRPr="00491438">
        <w:t xml:space="preserve">-scaled genotype likelihood of reference </w:t>
      </w:r>
      <w:r w:rsidRPr="00491438">
        <w:lastRenderedPageBreak/>
        <w:t>allele &lt;20 for heterozygous and homozygous variant calls, and allele balance &lt;0.2 or &gt;0.8 for heterozygous calls. The GATK Variant Quality Score Recalibration (VQSR) was used to filter variants with a truth sensitivity of 99.8% for SNVs and of 99.9% for indels. Furthermore, variants with inbreeding coefficient less than –0.3, quality by depth &lt;2 for SNVs and &lt;3 for indels, call rate &lt;90%, Hardy-Weinberg equilibrium P-value &lt;1×10</w:t>
      </w:r>
      <w:r w:rsidRPr="00491438">
        <w:rPr>
          <w:vertAlign w:val="superscript"/>
        </w:rPr>
        <w:t>-9</w:t>
      </w:r>
      <w:r w:rsidRPr="00491438">
        <w:t xml:space="preserve"> were removed in addition to multi-allelic variants, and low-complexity regions</w:t>
      </w:r>
      <w:r w:rsidRPr="00491438">
        <w:fldChar w:fldCharType="begin" w:fldLock="1"/>
      </w:r>
      <w:r w:rsidRPr="00491438">
        <w:instrText>ADDIN CSL_CITATION { "citationItems" : [ { "id" : "ITEM-1", "itemData" : { "DOI" : "10.1093/bioinformatics/btu356", "ISBN" : "1367-4803", "ISSN" : "14602059", "PMID" : "24974202", "abstract" : "Motivation: Whole-genome high-coverage sequencing has been widely used for personal and cancer genomics as well as in various research areas. However, in the lack of an unbiased whole-genome truth set, the global error rate of variant calls and the leading causal artifacts still remain unclear even given the great efforts in the evaluation of variant calling methods. Results: We made ten SNP and INDEL call sets with two read mappers and five variant callers, both on a haploid human genome and a diploid genome at a similar coverage. By investigating false heterozygous calls in the haploid genome, we identified the erroneous realignment in low-complexity regions and the incomplete reference genome with respect to the sample as the two major sources of errors, which press for continued improvements in these two areas. We estimated that the error rate of raw genotype calls is as high as 1 in 10-15kb, but the error rate of post-filtered calls is reduced to 1 in 100-200kb without significant compromise on the sensitivity. Availability: BWA-MEM alignment: http://bit.ly/1g8XqRt; Scripts: https://github.com/lh3/varcmp; Additional data: http://figshare.com/account/projects/1013", "author" : [ { "dropping-particle" : "", "family" : "Li", "given" : "Heng", "non-dropping-particle" : "", "parse-names" : false, "suffix" : "" }, { "dropping-particle" : "", "family" : "Wren", "given" : "Jonathan", "non-dropping-particle" : "", "parse-names" : false, "suffix" : "" } ], "container-title" : "Bioinformatics", "id" : "ITEM-1", "issue" : "20", "issued" : { "date-parts" : [ [ "2014" ] ] }, "page" : "2843-2851", "title" : "Toward better understanding of artifacts in variant calling from high-coverage samples", "type" : "article-journal", "volume" : "30" }, "uris" : [ "http://www.mendeley.com/documents/?uuid=8e35b25f-20d9-4a75-bb74-eb7643d01d13" ] } ], "mendeley" : { "formattedCitation" : "&lt;sup&gt;5&lt;/sup&gt;", "plainTextFormattedCitation" : "5", "previouslyFormattedCitation" : "&lt;sup&gt;5&lt;/sup&gt;" }, "properties" : { "noteIndex" : 31 }, "schema" : "https://github.com/citation-style-language/schema/raw/master/csl-citation.json" }</w:instrText>
      </w:r>
      <w:r w:rsidRPr="00491438">
        <w:fldChar w:fldCharType="separate"/>
      </w:r>
      <w:r w:rsidRPr="00491438">
        <w:rPr>
          <w:noProof/>
          <w:vertAlign w:val="superscript"/>
        </w:rPr>
        <w:t>5</w:t>
      </w:r>
      <w:r w:rsidRPr="00491438">
        <w:fldChar w:fldCharType="end"/>
      </w:r>
      <w:r w:rsidRPr="00491438">
        <w:t xml:space="preserve">. </w:t>
      </w:r>
    </w:p>
    <w:p w:rsidR="00006BC8" w:rsidRPr="00491438" w:rsidRDefault="00006BC8" w:rsidP="00006BC8">
      <w:pPr>
        <w:spacing w:line="480" w:lineRule="auto"/>
      </w:pPr>
      <w:r w:rsidRPr="00491438">
        <w:tab/>
        <w:t>Sequence variants were annotated with Variant Effect Predictor</w:t>
      </w:r>
      <w:r w:rsidRPr="00491438">
        <w:fldChar w:fldCharType="begin" w:fldLock="1"/>
      </w:r>
      <w:r w:rsidRPr="00491438">
        <w:instrText>ADDIN CSL_CITATION { "citationItems" : [ { "id" : "ITEM-1", "itemData" : { "DOI" : "10.1186/s13059-016-0974-4", "ISBN" : "1474760X (Electronic)", "ISSN" : "1474-760X", "PMID" : "27268795", "abstract" : "The Ensembl Variant Effect Predictor is a powerful toolset for the analysis, annotation, and prioritization of genomic variants in coding and non-coding regions. It provides access to an extensive collection of genomic annotation, with a variety of interfaces to suit different requirements, and simple options for configuring and extending analysis. It is open source, free to use, and supports full reproducibility of results. The Ensembl Variant Effect Predictor can simplify and accelerate variant interpretation in a wide range of study designs.", "author" : [ { "dropping-particle" : "", "family" : "McLaren", "given" : "William", "non-dropping-particle" : "", "parse-names" : false, "suffix" : "" }, { "dropping-particle" : "", "family" : "Gil", "given" : "Laurent", "non-dropping-particle" : "", "parse-names" : false, "suffix" : "" }, { "dropping-particle" : "", "family" : "Hunt", "given" : "Sarah E.", "non-dropping-particle" : "", "parse-names" : false, "suffix" : "" }, { "dropping-particle" : "", "family" : "Riat", "given" : "Harpreet Singh", "non-dropping-particle" : "", "parse-names" : false, "suffix" : "" }, { "dropping-particle" : "", "family" : "Ritchie", "given" : "Graham R. S.", "non-dropping-particle" : "", "parse-names" : false, "suffix" : "" }, { "dropping-particle" : "", "family" : "Thormann", "given" : "Anja", "non-dropping-particle" : "", "parse-names" : false, "suffix" : "" }, { "dropping-particle" : "", "family" : "Flicek", "given" : "Paul", "non-dropping-particle" : "", "parse-names" : false, "suffix" : "" }, { "dropping-particle" : "", "family" : "Cunningham", "given" : "Fiona", "non-dropping-particle" : "", "parse-names" : false, "suffix" : "" } ], "container-title" : "Genome Biology", "id" : "ITEM-1", "issue" : "1", "issued" : { "date-parts" : [ [ "2016" ] ] }, "page" : "122", "publisher" : "Genome Biology", "title" : "The Ensembl Variant Effect Predictor", "type" : "article-journal", "volume" : "17" }, "uris" : [ "http://www.mendeley.com/documents/?uuid=53ad6f12-87c4-4787-b389-c7a2b6a4b6a5" ] } ], "mendeley" : { "formattedCitation" : "&lt;sup&gt;6&lt;/sup&gt;", "plainTextFormattedCitation" : "6", "previouslyFormattedCitation" : "&lt;sup&gt;6&lt;/sup&gt;" }, "properties" : { "noteIndex" : 4 }, "schema" : "https://github.com/citation-style-language/schema/raw/master/csl-citation.json" }</w:instrText>
      </w:r>
      <w:r w:rsidRPr="00491438">
        <w:fldChar w:fldCharType="separate"/>
      </w:r>
      <w:r w:rsidRPr="00491438">
        <w:rPr>
          <w:noProof/>
          <w:vertAlign w:val="superscript"/>
        </w:rPr>
        <w:t>6</w:t>
      </w:r>
      <w:r w:rsidRPr="00491438">
        <w:fldChar w:fldCharType="end"/>
      </w:r>
      <w:r w:rsidRPr="00491438">
        <w:t xml:space="preserve"> version 87 (</w:t>
      </w:r>
      <w:proofErr w:type="spellStart"/>
      <w:r w:rsidRPr="00491438">
        <w:t>Gencode</w:t>
      </w:r>
      <w:proofErr w:type="spellEnd"/>
      <w:r w:rsidRPr="00491438">
        <w:t xml:space="preserve"> v19 on assembly GRCh37.p13) and ANNOVAR</w:t>
      </w:r>
      <w:r w:rsidRPr="00491438">
        <w:fldChar w:fldCharType="begin" w:fldLock="1"/>
      </w:r>
      <w:r w:rsidRPr="00491438">
        <w:instrText>ADDIN CSL_CITATION { "citationItems" : [ { "id" : "ITEM-1", "itemData" : { "DOI" : "10.1038/nprot.2015.105", "ISBN" : "1750-2799 (Electronic)\\r1750-2799 (Linking)", "ISSN" : "1754-2189", "PMID" : "26379229", "abstract" : "Recent developments in sequencing techniques have enabled rapid and high-throughput generation of sequence data, democratizing the ability to compile information on large amounts of genetic variations in individual laboratories. However, there is a growing gap between the generation of raw sequencing data and the extraction of meaningful biological information. Here, we describe a protocol to use the ANNOVAR (ANNOtate VARiation) software to facilitate fast and easy variant annotations, including gene-based, region-based and filter-based annotations on a variant call format (VCF) file generated from human genomes. We further describe a protocol for gene-based annotation of a newly sequenced nonhuman species. Finally, we describe how to use a user-friendly and easily accessible web server called wANNOVAR to prioritize candidate genes for a Mendelian disease. The variant annotation protocols take 5-30 min of computer time, depending on the size of the variant file, and 5-10 min of hands-on time. In summary, through the command-line tool and the web server, these protocols provide a convenient means to analyze genetic variants generated in humans and other species.", "author" : [ { "dropping-particle" : "", "family" : "Yang", "given" : "Hui", "non-dropping-particle" : "", "parse-names" : false, "suffix" : "" }, { "dropping-particle" : "", "family" : "Wang", "given" : "Kai", "non-dropping-particle" : "", "parse-names" : false, "suffix" : "" } ], "container-title" : "Nature Protocols", "id" : "ITEM-1", "issue" : "10", "issued" : { "date-parts" : [ [ "2015" ] ] }, "page" : "1556-1566", "publisher" : "Nature Publishing Group", "title" : "Genomic variant annotation and prioritization with ANNOVAR and wANNOVAR", "type" : "article-journal", "volume" : "10" }, "uris" : [ "http://www.mendeley.com/documents/?uuid=3ce31d3a-fe24-477c-87ec-13ec057fc3b2" ] } ], "mendeley" : { "formattedCitation" : "&lt;sup&gt;7&lt;/sup&gt;", "plainTextFormattedCitation" : "7", "previouslyFormattedCitation" : "&lt;sup&gt;7&lt;/sup&gt;" }, "properties" : { "noteIndex" : 4 }, "schema" : "https://github.com/citation-style-language/schema/raw/master/csl-citation.json" }</w:instrText>
      </w:r>
      <w:r w:rsidRPr="00491438">
        <w:fldChar w:fldCharType="separate"/>
      </w:r>
      <w:r w:rsidRPr="00491438">
        <w:rPr>
          <w:noProof/>
          <w:vertAlign w:val="superscript"/>
        </w:rPr>
        <w:t>7</w:t>
      </w:r>
      <w:r w:rsidRPr="00491438">
        <w:fldChar w:fldCharType="end"/>
      </w:r>
      <w:r w:rsidRPr="00491438">
        <w:t>.</w:t>
      </w:r>
    </w:p>
    <w:p w:rsidR="00006BC8" w:rsidRPr="00491438" w:rsidRDefault="00006BC8" w:rsidP="00006BC8">
      <w:pPr>
        <w:spacing w:line="480" w:lineRule="auto"/>
      </w:pPr>
    </w:p>
    <w:p w:rsidR="00006BC8" w:rsidRPr="00491438" w:rsidRDefault="00006BC8" w:rsidP="00006BC8">
      <w:pPr>
        <w:spacing w:line="480" w:lineRule="auto"/>
        <w:rPr>
          <w:b/>
        </w:rPr>
      </w:pPr>
      <w:r w:rsidRPr="00491438">
        <w:rPr>
          <w:b/>
        </w:rPr>
        <w:t>Identification of FH-associated variants</w:t>
      </w:r>
    </w:p>
    <w:p w:rsidR="00C231C8" w:rsidRPr="00491438" w:rsidRDefault="00C231C8" w:rsidP="00C231C8">
      <w:pPr>
        <w:spacing w:line="480" w:lineRule="auto"/>
        <w:rPr>
          <w:lang w:val="en-GB"/>
        </w:rPr>
      </w:pPr>
      <w:r w:rsidRPr="00491438">
        <w:rPr>
          <w:lang w:val="en-GB"/>
        </w:rPr>
        <w:tab/>
        <w:t>We considered variants annotated as loss-of-function (</w:t>
      </w:r>
      <w:r w:rsidRPr="00491438">
        <w:rPr>
          <w:i/>
          <w:lang w:val="en-GB"/>
        </w:rPr>
        <w:t>i.e</w:t>
      </w:r>
      <w:r w:rsidRPr="00491438">
        <w:rPr>
          <w:lang w:val="en-GB"/>
        </w:rPr>
        <w:t xml:space="preserve">., premature stop codon, disruption of an essential splice site, or frameshift of the reading frame), deleterious missense variants in </w:t>
      </w:r>
      <w:r w:rsidRPr="00491438">
        <w:rPr>
          <w:i/>
          <w:lang w:val="en-GB"/>
        </w:rPr>
        <w:t>LDLR,</w:t>
      </w:r>
      <w:r w:rsidRPr="00491438">
        <w:rPr>
          <w:lang w:val="en-GB"/>
        </w:rPr>
        <w:t xml:space="preserve"> gain-of-function missense variants in </w:t>
      </w:r>
      <w:r w:rsidRPr="00491438">
        <w:rPr>
          <w:i/>
          <w:lang w:val="en-GB"/>
        </w:rPr>
        <w:t>PCKS9</w:t>
      </w:r>
      <w:r w:rsidRPr="00491438">
        <w:rPr>
          <w:lang w:val="en-GB"/>
        </w:rPr>
        <w:t>, and deleterious variants in exon 26 (encompassing the binding site of the LDL receptor)</w:t>
      </w:r>
      <w:r w:rsidRPr="00491438">
        <w:rPr>
          <w:lang w:val="en-GB"/>
        </w:rPr>
        <w:fldChar w:fldCharType="begin" w:fldLock="1"/>
      </w:r>
      <w:r w:rsidRPr="00491438">
        <w:rPr>
          <w:lang w:val="en-GB"/>
        </w:rPr>
        <w:instrText>ADDIN CSL_CITATION { "citationItems" : [ { "id" : "ITEM-1", "itemData" : { "DOI" : "10.1172/JCI1847", "ISBN" : "0004143320001", "ISSN" : "00219738", "PMID" : "9486979", "abstract" : "Familial defective apolipoprotein B100 (FDB) is caused by a mutation of apo-B100 (R3500Q) that disrupts the receptor binding of low density lipoproteins (LDL), which leads to hypercholesterolemia and premature atherosclerosis. In this study, mutant forms of human apo-B were expressed in transgenic mice, and the resulting human recombinant LDL were purified and tested for their receptor-binding activity. Site-directed mutagenesis and other evidence indicated that Site B (amino acids 3,359-3,369) binds to the LDL receptor and that arginine-3,500 is not directly involved in receptor binding. The carboxyl-terminal 20% of apo-B100 is necessary for the R3500Q mutation to disrupt receptor binding, since removal of the carboxyl terminus in FDB LDL results in normal receptor-binding activity. Similarly, removal of the carboxyl terminus of apo-B100 on receptor-inactive VLDL dramatically increases apo-B-mediated receptor-binding activity. We propose that the carboxyl terminus normally functions to inhibit the interaction of apo-B100 VLDL with the LDL receptor, but after the conversion of triglyceride-rich VLDL to smaller cholesterol-rich LDL, arginine-3,500 interacts with the carboxyl terminus, permitting normal interaction between LDL and its receptor. Moreover, the loss of arginine at this site destabilizes this interaction, resulting in receptor-binding defective LDL.", "author" : [ { "dropping-particle" : "", "family" : "Bor\u00e9n", "given" : "Jan", "non-dropping-particle" : "", "parse-names" : false, "suffix" : "" }, { "dropping-particle" : "", "family" : "Lee", "given" : "Isabelle", "non-dropping-particle" : "", "parse-names" : false, "suffix" : "" }, { "dropping-particle" : "", "family" : "Zhu", "given" : "Weimin", "non-dropping-particle" : "", "parse-names" : false, "suffix" : "" }, { "dropping-particle" : "", "family" : "Arnold", "given" : "Kay", "non-dropping-particle" : "", "parse-names" : false, "suffix" : "" }, { "dropping-particle" : "", "family" : "Taylor", "given" : "Stacy", "non-dropping-particle" : "", "parse-names" : false, "suffix" : "" }, { "dropping-particle" : "", "family" : "Innerarity", "given" : "Thomas L.", "non-dropping-particle" : "", "parse-names" : false, "suffix" : "" } ], "container-title" : "Journal of Clinical Investigation", "id" : "ITEM-1", "issue" : "5", "issued" : { "date-parts" : [ [ "1998" ] ] }, "page" : "1084-1093", "title" : "Identification of the low density lipoprotein receptor-binding site in apolipoprotein B100 and the modulation of its binding activity by the carboxyl terminus in familial defective Apo-B100", "type" : "article-journal", "volume" : "101" }, "uris" : [ "http://www.mendeley.com/documents/?uuid=0c7ff753-bffe-4bf6-933d-0af31b4836f9" ] } ], "mendeley" : { "formattedCitation" : "&lt;sup&gt;8&lt;/sup&gt;", "plainTextFormattedCitation" : "8", "previouslyFormattedCitation" : "&lt;sup&gt;8&lt;/sup&gt;" }, "properties" : { "noteIndex" : 5 }, "schema" : "https://github.com/citation-style-language/schema/raw/master/csl-citation.json" }</w:instrText>
      </w:r>
      <w:r w:rsidRPr="00491438">
        <w:rPr>
          <w:lang w:val="en-GB"/>
        </w:rPr>
        <w:fldChar w:fldCharType="separate"/>
      </w:r>
      <w:r w:rsidRPr="00491438">
        <w:rPr>
          <w:noProof/>
          <w:vertAlign w:val="superscript"/>
          <w:lang w:val="en-GB"/>
        </w:rPr>
        <w:t>8</w:t>
      </w:r>
      <w:r w:rsidRPr="00491438">
        <w:rPr>
          <w:lang w:val="en-GB"/>
        </w:rPr>
        <w:fldChar w:fldCharType="end"/>
      </w:r>
      <w:r w:rsidRPr="00491438">
        <w:rPr>
          <w:lang w:val="en-GB"/>
        </w:rPr>
        <w:t xml:space="preserve"> in </w:t>
      </w:r>
      <w:r w:rsidRPr="00491438">
        <w:rPr>
          <w:i/>
          <w:lang w:val="en-GB"/>
        </w:rPr>
        <w:t>APOB</w:t>
      </w:r>
      <w:r w:rsidRPr="00491438">
        <w:rPr>
          <w:lang w:val="en-GB"/>
        </w:rPr>
        <w:t xml:space="preserve">. The following </w:t>
      </w:r>
      <w:r w:rsidRPr="00491438">
        <w:rPr>
          <w:i/>
          <w:lang w:val="en-GB"/>
        </w:rPr>
        <w:t>in silico</w:t>
      </w:r>
      <w:r w:rsidRPr="00491438">
        <w:rPr>
          <w:lang w:val="en-GB"/>
        </w:rPr>
        <w:t xml:space="preserve"> prediction algorithms were considered for pathogenicity estimation of missense variants: SIFT</w:t>
      </w:r>
      <w:r w:rsidRPr="00491438">
        <w:rPr>
          <w:lang w:val="en-GB"/>
        </w:rPr>
        <w:fldChar w:fldCharType="begin" w:fldLock="1"/>
      </w:r>
      <w:r w:rsidRPr="00491438">
        <w:rPr>
          <w:lang w:val="en-GB"/>
        </w:rPr>
        <w:instrText>ADDIN CSL_CITATION { "citationItems" : [ { "id" : "ITEM-1", "itemData" : { "ISSN" : "0305-1048", "abstract" : "Single nucleotide polymorphism (SNP) studies and random mutagenesis projects identify amino acid substitutions in protein-coding regions. Each substitution has the potential to affect protein function. SIFT (Sorting Intolerant From Tolerant) is a program that predicts whether an amino acid substitution affects protein function so that users can prioritize substitutions for further study. We have shown that SIFT can distinguish between functionally neutral and deleterious amino acid changes in mutagenesis studies and on human polymorphisms. SIFT is available at http://blocks.fhcrc.org/sift/SIFT.html. ", "author" : [ { "dropping-particle" : "", "family" : "Ng", "given" : "Pauline C", "non-dropping-particle" : "", "parse-names" : false, "suffix" : "" }, { "dropping-particle" : "", "family" : "Henikoff", "given" : "Steven", "non-dropping-particle" : "", "parse-names" : false, "suffix" : "" } ], "container-title" : "Nucleic Acids Research", "id" : "ITEM-1", "issue" : "13", "issued" : { "date-parts" : [ [ "2003", "7", "1" ] ] }, "page" : "3812-3814", "publisher" : "Oxford University Press", "publisher-place" : "Oxford, UK", "title" : "SIFT: predicting amino acid changes that affect protein function", "type" : "article-journal", "volume" : "31" }, "uris" : [ "http://www.mendeley.com/documents/?uuid=bb2b1791-c090-4efa-831f-c6685b316d4c" ] } ], "mendeley" : { "formattedCitation" : "&lt;sup&gt;9&lt;/sup&gt;", "plainTextFormattedCitation" : "9", "previouslyFormattedCitation" : "&lt;sup&gt;9&lt;/sup&gt;" }, "properties" : { "noteIndex" : 5 }, "schema" : "https://github.com/citation-style-language/schema/raw/master/csl-citation.json" }</w:instrText>
      </w:r>
      <w:r w:rsidRPr="00491438">
        <w:rPr>
          <w:lang w:val="en-GB"/>
        </w:rPr>
        <w:fldChar w:fldCharType="separate"/>
      </w:r>
      <w:r w:rsidRPr="00491438">
        <w:rPr>
          <w:noProof/>
          <w:vertAlign w:val="superscript"/>
          <w:lang w:val="en-GB"/>
        </w:rPr>
        <w:t>9</w:t>
      </w:r>
      <w:r w:rsidRPr="00491438">
        <w:rPr>
          <w:lang w:val="en-GB"/>
        </w:rPr>
        <w:fldChar w:fldCharType="end"/>
      </w:r>
      <w:r w:rsidRPr="00491438">
        <w:rPr>
          <w:lang w:val="en-GB"/>
        </w:rPr>
        <w:t>, PolyPhen-2 HumDiv</w:t>
      </w:r>
      <w:r w:rsidRPr="00491438">
        <w:rPr>
          <w:lang w:val="en-GB"/>
        </w:rPr>
        <w:fldChar w:fldCharType="begin" w:fldLock="1"/>
      </w:r>
      <w:r w:rsidRPr="00491438">
        <w:rPr>
          <w:lang w:val="en-GB"/>
        </w:rPr>
        <w:instrText>ADDIN CSL_CITATION { "citationItems" : [ { "id" : "ITEM-1", "itemData" : { "DOI" : "10.1038/nmeth0410-248", "ISBN" : "1548-7105 (Electronic)\\n1548-7091 (Linking)", "ISSN" : "1548-7091", "PMID" : "20354512", "abstract" : "248 | VOL.7 NO.4 | APRIL 2010 | nature methods correspondence tions (omitting the time stamps). We used interventional data on steady-state gene expression levels of known single-gene knock-out experiments as the gold standard for determining the causal effects. We applied IDA, as well as Lasso and Elastic-net, to the observational datasets and evaluated how well the resulting top q predicted effects (q = 10 for the networks of size 10 and q = 25 for the networks of size 100) corresponded to the top m percentage (m = 5 or 10) of the effects as computed from the interventional data (Supplementary Methods). We counted the number of networks in which the partial area under the receiver operating characteristic curve (pAUC) was better than random guessing at significance level a = 0.01 for both values of m (Supplementary Methods). By this measure, IDA was at least as good as Lasso and Elastic-net for all four possible combinations of the type of observational data (multifactorial or time series) and the size of the networks (10 or 100 genes). The difference was largest for the multifactorial data on the networks of size 10, where IDA was substantially better than Lasso and Elastic-net for three of the five networks (Supplementary Fig. 1 and Supplementary Table 2). For instance, in this setting with m = 10 and q = 10, IDA found 4, 4, 5, 1 and 2 true positives for the five different networks, whereas Lasso found 1, 1, 0, 1 and 2 true positives and Elastic-net found 3, 1, 0, 1 and 1 true positives. The results presented here on S. cerevisiae and the DREAM4 data are proof-of-concept results that IDA can predict the stron-gest causal effects in potentially large-scale biological systems by using only observational data. In particular, the results on S. cerevisiae demonstrate that we were able to do this in a chal-lenging real-world setting where the number of variables (5,361) was much larger than the sample size (63) and the variables were substantially disturbed by noise. As IDA is supported by math-ematical theory, we expect the results presented here to generalize to other problems. Of course, statistical predictions based on observational data can never replace intervention experiments. In fact, whenever possible, IDA predictions should be followed up by intervention experiments. In this way, the predictions can serve as a new tool for the design of experiments, as they indicate which interven-tions are likely to show a large effect. Software for IDA is ava\u2026", "author" : [ { "dropping-particle" : "", "family" : "Adzhubei", "given" : "Ivan A", "non-dropping-particle" : "", "parse-names" : false, "suffix" : "" }, { "dropping-particle" : "", "family" : "Schmidt", "given" : "Steffen", "non-dropping-particle" : "", "parse-names" : false, "suffix" : "" }, { "dropping-particle" : "", "family" : "Peshkin", "given" : "Leonid", "non-dropping-particle" : "", "parse-names" : false, "suffix" : "" }, { "dropping-particle" : "", "family" : "Ramensky", "given" : "Vasily E", "non-dropping-particle" : "", "parse-names" : false, "suffix" : "" }, { "dropping-particle" : "", "family" : "Gerasimova", "given" : "Anna", "non-dropping-particle" : "", "parse-names" : false, "suffix" : "" }, { "dropping-particle" : "", "family" : "Bork", "given" : "Peer", "non-dropping-particle" : "", "parse-names" : false, "suffix" : "" }, { "dropping-particle" : "", "family" : "Kondrashov", "given" : "Alexey S", "non-dropping-particle" : "", "parse-names" : false, "suffix" : "" }, { "dropping-particle" : "", "family" : "Sunyaev", "given" : "Shamil R", "non-dropping-particle" : "", "parse-names" : false, "suffix" : "" } ], "container-title" : "Nature Methods", "id" : "ITEM-1", "issue" : "4", "issued" : { "date-parts" : [ [ "2010" ] ] }, "page" : "248-249", "publisher" : "Nature Publishing Group", "title" : "A method and server for predicting damaging missense mutations", "type" : "article-journal", "volume" : "7" }, "uris" : [ "http://www.mendeley.com/documents/?uuid=d2ce9a9f-a9b1-425f-bd1d-5a1fe5710135" ] } ], "mendeley" : { "formattedCitation" : "&lt;sup&gt;10&lt;/sup&gt;", "plainTextFormattedCitation" : "10", "previouslyFormattedCitation" : "&lt;sup&gt;10&lt;/sup&gt;" }, "properties" : { "noteIndex" : 4 }, "schema" : "https://github.com/citation-style-language/schema/raw/master/csl-citation.json" }</w:instrText>
      </w:r>
      <w:r w:rsidRPr="00491438">
        <w:rPr>
          <w:lang w:val="en-GB"/>
        </w:rPr>
        <w:fldChar w:fldCharType="separate"/>
      </w:r>
      <w:r w:rsidRPr="00491438">
        <w:rPr>
          <w:noProof/>
          <w:vertAlign w:val="superscript"/>
          <w:lang w:val="en-GB"/>
        </w:rPr>
        <w:t>10</w:t>
      </w:r>
      <w:r w:rsidRPr="00491438">
        <w:rPr>
          <w:lang w:val="en-GB"/>
        </w:rPr>
        <w:fldChar w:fldCharType="end"/>
      </w:r>
      <w:r w:rsidRPr="00491438">
        <w:rPr>
          <w:lang w:val="en-GB"/>
        </w:rPr>
        <w:t>, CAROL</w:t>
      </w:r>
      <w:r w:rsidRPr="00491438">
        <w:rPr>
          <w:lang w:val="en-GB"/>
        </w:rPr>
        <w:fldChar w:fldCharType="begin" w:fldLock="1"/>
      </w:r>
      <w:r w:rsidRPr="00491438">
        <w:rPr>
          <w:lang w:val="en-GB"/>
        </w:rPr>
        <w:instrText>ADDIN CSL_CITATION { "citationItems" : [ { "id" : "ITEM-1", "itemData" : { "DOI" : "10.1159/000334984.A", "author" : [ { "dropping-particle" : "", "family" : "Lopes", "given" : "Margarida C", "non-dropping-particle" : "", "parse-names" : false, "suffix" : "" }, { "dropping-particle" : "", "family" : "Joyce", "given" : "Chris", "non-dropping-particle" : "", "parse-names" : false, "suffix" : "" }, { "dropping-particle" : "", "family" : "Ritchie", "given" : "Graham R S", "non-dropping-particle" : "", "parse-names" : false, "suffix" : "" }, { "dropping-particle" : "", "family" : "John", "given" : "Sally L", "non-dropping-particle" : "", "parse-names" : false, "suffix" : "" } ], "id" : "ITEM-1", "issue" : "1", "issued" : { "date-parts" : [ [ "2012" ] ] }, "page" : "47-51", "title" : "Europe PMC Funders Group Europe PMC Funders Author Manuscripts A Combined Functional Annotation Score for Non-Synonymous Variants", "type" : "article-journal", "volume" : "73" }, "uris" : [ "http://www.mendeley.com/documents/?uuid=2b974bc0-dbaa-465c-9373-317cb18fc7f7" ] } ], "mendeley" : { "formattedCitation" : "&lt;sup&gt;11&lt;/sup&gt;", "plainTextFormattedCitation" : "11", "previouslyFormattedCitation" : "&lt;sup&gt;11&lt;/sup&gt;" }, "properties" : { "noteIndex" : 4 }, "schema" : "https://github.com/citation-style-language/schema/raw/master/csl-citation.json" }</w:instrText>
      </w:r>
      <w:r w:rsidRPr="00491438">
        <w:rPr>
          <w:lang w:val="en-GB"/>
        </w:rPr>
        <w:fldChar w:fldCharType="separate"/>
      </w:r>
      <w:r w:rsidRPr="00491438">
        <w:rPr>
          <w:noProof/>
          <w:vertAlign w:val="superscript"/>
          <w:lang w:val="en-GB"/>
        </w:rPr>
        <w:t>11</w:t>
      </w:r>
      <w:r w:rsidRPr="00491438">
        <w:rPr>
          <w:lang w:val="en-GB"/>
        </w:rPr>
        <w:fldChar w:fldCharType="end"/>
      </w:r>
      <w:r w:rsidRPr="00491438">
        <w:rPr>
          <w:lang w:val="en-GB"/>
        </w:rPr>
        <w:t>, CADD_Phred</w:t>
      </w:r>
      <w:r w:rsidRPr="00491438">
        <w:rPr>
          <w:lang w:val="en-GB"/>
        </w:rPr>
        <w:fldChar w:fldCharType="begin" w:fldLock="1"/>
      </w:r>
      <w:r w:rsidRPr="00491438">
        <w:rPr>
          <w:lang w:val="en-GB"/>
        </w:rPr>
        <w:instrText>ADDIN CSL_CITATION { "citationItems" : [ { "id" : "ITEM-1", "itemData" : { "DOI" : "10.1038/ng.2892", "ISBN" : "1546-1718 (Electronic)\\r1061-4036 (Linking)", "ISSN" : "1061-4036", "PMID" : "24487276", "abstract" : "Current methods for annotating and interpreting human genetic variation tend to exploit a single information type (for example, conservation) and/or are restricted in scope (for example, to missense changes). Here we describe Combined Annotation-Dependent Depletion (CADD), a method for objectively integrating many diverse annotations into a single measure (C score) for each variant. We implement CADD as a support vector machine trained to differentiate 14.7 million high-frequency human-derived alleles from 14.7 million simulated variants. We precompute C scores for all 8.6 billion possible human single-nucleotide variants and enable scoring of short insertions-deletions. C scores correlate with allelic diversity, annotations of functionality, pathogenicity, disease severity, experimentally measured regulatory effects and complex trait associations, and they highly rank known pathogenic variants within individual genomes. The ability of CADD to prioritize functional, deleterious and pathogenic variants across many functional categories, effect sizes and genetic architectures is unmatched by any current single-annotation method.", "author" : [ { "dropping-particle" : "", "family" : "Kircher", "given" : "Martin", "non-dropping-particle" : "", "parse-names" : false, "suffix" : "" }, { "dropping-particle" : "", "family" : "Witten", "given" : "Daniela M", "non-dropping-particle" : "", "parse-names" : false, "suffix" : "" }, { "dropping-particle" : "", "family" : "Jain", "given" : "Preti", "non-dropping-particle" : "", "parse-names" : false, "suffix" : "" }, { "dropping-particle" : "", "family" : "O'Roak", "given" : "Brian J", "non-dropping-particle" : "", "parse-names" : false, "suffix" : "" }, { "dropping-particle" : "", "family" : "Cooper", "given" : "Gregory M", "non-dropping-particle" : "", "parse-names" : false, "suffix" : "" }, { "dropping-particle" : "", "family" : "Shendure", "given" : "Jay", "non-dropping-particle" : "", "parse-names" : false, "suffix" : "" } ], "container-title" : "Nature Genetics", "id" : "ITEM-1", "issue" : "3", "issued" : { "date-parts" : [ [ "2014" ] ] }, "page" : "310-315", "publisher" : "Nature Publishing Group", "title" : "A general framework for estimating the relative pathogenicity of human genetic variants", "type" : "article-journal", "volume" : "46" }, "uris" : [ "http://www.mendeley.com/documents/?uuid=259f5390-0b4c-42d7-96ae-f4d1e35ff026" ] } ], "mendeley" : { "formattedCitation" : "&lt;sup&gt;12&lt;/sup&gt;", "plainTextFormattedCitation" : "12", "previouslyFormattedCitation" : "&lt;sup&gt;12&lt;/sup&gt;" }, "properties" : { "noteIndex" : 4 }, "schema" : "https://github.com/citation-style-language/schema/raw/master/csl-citation.json" }</w:instrText>
      </w:r>
      <w:r w:rsidRPr="00491438">
        <w:rPr>
          <w:lang w:val="en-GB"/>
        </w:rPr>
        <w:fldChar w:fldCharType="separate"/>
      </w:r>
      <w:r w:rsidRPr="00491438">
        <w:rPr>
          <w:noProof/>
          <w:vertAlign w:val="superscript"/>
          <w:lang w:val="en-GB"/>
        </w:rPr>
        <w:t>12</w:t>
      </w:r>
      <w:r w:rsidRPr="00491438">
        <w:rPr>
          <w:lang w:val="en-GB"/>
        </w:rPr>
        <w:fldChar w:fldCharType="end"/>
      </w:r>
      <w:r w:rsidRPr="00491438">
        <w:rPr>
          <w:lang w:val="en-GB"/>
        </w:rPr>
        <w:t>, PhyloP</w:t>
      </w:r>
      <w:r w:rsidRPr="00491438">
        <w:rPr>
          <w:lang w:val="en-GB"/>
        </w:rPr>
        <w:fldChar w:fldCharType="begin" w:fldLock="1"/>
      </w:r>
      <w:r w:rsidRPr="00491438">
        <w:rPr>
          <w:lang w:val="en-GB"/>
        </w:rPr>
        <w:instrText>ADDIN CSL_CITATION { "citationItems" : [ { "id" : "ITEM-1", "itemData" : { "DOI" : "10.1101/gr.3577405", "ISBN" : "1088-9051 (Print)\\r1088-9051 (Linking)", "ISSN" : "10889051", "PMID" : "15965027", "abstract" : "Comparisons of orthologous genomic DNA sequences can be used to characterize regions that have been subject to purifying selection and are enriched for functional elements. We here present the results of such an analysis on an alignment of sequences from 29 mammalian species. The alignment captures approximately 3.9 neutral substitutions per site and spans approximately 1.9 Mbp of the human genome. We identify constrained elements from 3 bp to over 1 kbp in length, covering approximately 5.5% of the human locus. Our estimate for the total amount of nonexonic constraint experienced by this locus is roughly twice that for exonic constraint. Constrained elements tend to cluster, and we identify large constrained regions that correspond well with known functional elements. While constraint density inversely correlates with mobile element density, we also show the presence of unambiguously constrained elements overlapping mammalian ancestral repeats. In addition, we describe a number of elements in this region that have undergone intense purifying selection throughout mammalian evolution, and we show that these important elements are more numerous than previously thought. These results were obtained with Genomic Evolutionary Rate Profiling (GERP), a statistically rigorous and biologically transparent framework for constrained element identification. GERP identifies regions at high resolution that exhibit nucleotide substitution deficits, and measures these deficits as \"rejected substitutions\". Rejected substitutions reflect the intensity of past purifying selection and are used to rank and characterize constrained elements. We anticipate that GERP and the types of analyses it facilitates will provide further insights and improved annotation for the human genome as mammalian genome sequence data become richer.", "author" : [ { "dropping-particle" : "", "family" : "Cooper", "given" : "Gregory M.", "non-dropping-particle" : "", "parse-names" : false, "suffix" : "" }, { "dropping-particle" : "", "family" : "Stone", "given" : "Eric A.", "non-dropping-particle" : "", "parse-names" : false, "suffix" : "" }, { "dropping-particle" : "", "family" : "Asimenos", "given" : "George", "non-dropping-particle" : "", "parse-names" : false, "suffix" : "" }, { "dropping-particle" : "", "family" : "Green", "given" : "Eric D.", "non-dropping-particle" : "", "parse-names" : false, "suffix" : "" }, { "dropping-particle" : "", "family" : "Batzoglou", "given" : "Serafim", "non-dropping-particle" : "", "parse-names" : false, "suffix" : "" }, { "dropping-particle" : "", "family" : "Sidow", "given" : "Arend", "non-dropping-particle" : "", "parse-names" : false, "suffix" : "" } ], "container-title" : "Genome Research", "id" : "ITEM-1", "issue" : "7", "issued" : { "date-parts" : [ [ "2005" ] ] }, "page" : "901-913", "title" : "Distribution and intensity of constraint in mammalian genomic sequence", "type" : "article-journal", "volume" : "15" }, "uris" : [ "http://www.mendeley.com/documents/?uuid=9f58e0d6-bb16-4bb9-a7ec-929db4210dd9" ] } ], "mendeley" : { "formattedCitation" : "&lt;sup&gt;13&lt;/sup&gt;", "plainTextFormattedCitation" : "13", "previouslyFormattedCitation" : "&lt;sup&gt;13&lt;/sup&gt;" }, "properties" : { "noteIndex" : 4 }, "schema" : "https://github.com/citation-style-language/schema/raw/master/csl-citation.json" }</w:instrText>
      </w:r>
      <w:r w:rsidRPr="00491438">
        <w:rPr>
          <w:lang w:val="en-GB"/>
        </w:rPr>
        <w:fldChar w:fldCharType="separate"/>
      </w:r>
      <w:r w:rsidRPr="00491438">
        <w:rPr>
          <w:noProof/>
          <w:vertAlign w:val="superscript"/>
          <w:lang w:val="en-GB"/>
        </w:rPr>
        <w:t>13</w:t>
      </w:r>
      <w:r w:rsidRPr="00491438">
        <w:rPr>
          <w:lang w:val="en-GB"/>
        </w:rPr>
        <w:fldChar w:fldCharType="end"/>
      </w:r>
      <w:r w:rsidRPr="00491438">
        <w:rPr>
          <w:lang w:val="en-GB"/>
        </w:rPr>
        <w:t xml:space="preserve"> and MutationTaster2</w:t>
      </w:r>
      <w:r w:rsidRPr="00491438">
        <w:rPr>
          <w:lang w:val="en-GB"/>
        </w:rPr>
        <w:fldChar w:fldCharType="begin" w:fldLock="1"/>
      </w:r>
      <w:r w:rsidRPr="00491438">
        <w:rPr>
          <w:lang w:val="en-GB"/>
        </w:rPr>
        <w:instrText>ADDIN CSL_CITATION { "citationItems" : [ { "id" : "ITEM-1", "itemData" : { "DOI" : "10.1038/nmeth.2890", "ISBN" : "1548-7105 (Electronic)\\r1548-7091 (Linking)", "ISSN" : "1548-7091", "PMID" : "24681721", "abstract" : "To the Editor: The majority of the gene variants discovered by next-generation sequencing (NGS) projects are either intronic or synony-mous. These variants are difficult to interpret because their effects on protein expression and function tend to be less obvious than those of missense or nonsense variants. Here we present MutationTaster2 (http://www.mutationtaster.org/), the latest version of our web-based software MutationTaster 1 , which evaluates the pathogenic potential of DNA sequence alterations. It is designed to predict the functional consequences of not only amino acid substitutions but also intronic and synonymous alterations, short insertion and/or deletion (indel) mutations and variants spanning intron-exon borders. MutationTaster2 includes all publicly available single-nucleotide polymorphisms (SNPs) and indels from the 1000 Genomes Project 2 (hereafter referred to as 1000G) as well as known disease variants from ClinVar 3 and HGMD Public 4 . Alterations found more than four times in the homozygous state in 1000G or in HapMap 5 are automatically regarded as neutral. Variants marked as pathogenic in ClinVar are automatically predicted to be disease causing, and the disease phe-notype is displayed. We have integrated tests for regulatory features, including data from the ENCODE project 6 and JASPAR 7 , and score the evolutionary conservation around DNA variants (Supplementary Methods). To reduce the number of false positive splice-site four barcodes left out). We first immobilized cells on glass surfaces (Supplementary Methods). The DNA probes were hybridized, imaged and then removed by DNase I treatment (88.5% \u00b1 11.0% efficiency (\u00b1 standard deviation); Supplementary Fig. 2 and Supplementary Note). The remaining signal was pho-tobleached (Supplementary Fig. 3). Even after six hybridizations, mRNAs were observed at 70.9% \u00b1 21.8% of the original intensity (Supplementary Fig. 4). We observed that 77.9% \u00b1 5.6% of the spots that colocalized in the first two hybridizations also colo-calized with the third hybridization (Fig. 1b and Supplementary Figs. 5 and 6). We quantified the mRNA abundances by counting the occurrence of corresponding barcodes in the cell (n = 37 cells; Supplementary Figs. 7 and 8). We also show that mRNAs can be stripped and rehybridized efficiently in adherent mammalian cells (Supplementary Figs. 9 and 10). Sequential barcoding has many advantages. First, it scales up quickly; with even two dyes the coding capacity is in prin\u2026", "author" : [ { "dropping-particle" : "", "family" : "Schwarz", "given" : "Jana Marie", "non-dropping-particle" : "", "parse-names" : false, "suffix" : "" }, { "dropping-particle" : "", "family" : "Cooper", "given" : "David N", "non-dropping-particle" : "", "parse-names" : false, "suffix" : "" }, { "dropping-particle" : "", "family" : "Schuelke", "given" : "Markus", "non-dropping-particle" : "", "parse-names" : false, "suffix" : "" }, { "dropping-particle" : "", "family" : "Seelow", "given" : "Dominik", "non-dropping-particle" : "", "parse-names" : false, "suffix" : "" } ], "container-title" : "Nature Methods", "id" : "ITEM-1", "issue" : "4", "issued" : { "date-parts" : [ [ "2014" ] ] }, "page" : "361-362", "publisher" : "Nature Publishing Group", "title" : "MutationTaster2: mutation prediction for the deep-sequencing age", "type" : "article-journal", "volume" : "11" }, "uris" : [ "http://www.mendeley.com/documents/?uuid=36fc3cc7-8a91-4863-83e3-32326a54cd1d" ] } ], "mendeley" : { "formattedCitation" : "&lt;sup&gt;14&lt;/sup&gt;", "plainTextFormattedCitation" : "14", "previouslyFormattedCitation" : "&lt;sup&gt;14&lt;/sup&gt;" }, "properties" : { "noteIndex" : 4 }, "schema" : "https://github.com/citation-style-language/schema/raw/master/csl-citation.json" }</w:instrText>
      </w:r>
      <w:r w:rsidRPr="00491438">
        <w:rPr>
          <w:lang w:val="en-GB"/>
        </w:rPr>
        <w:fldChar w:fldCharType="separate"/>
      </w:r>
      <w:r w:rsidRPr="00491438">
        <w:rPr>
          <w:noProof/>
          <w:vertAlign w:val="superscript"/>
          <w:lang w:val="en-GB"/>
        </w:rPr>
        <w:t>14</w:t>
      </w:r>
      <w:r w:rsidRPr="00491438">
        <w:rPr>
          <w:lang w:val="en-GB"/>
        </w:rPr>
        <w:fldChar w:fldCharType="end"/>
      </w:r>
      <w:r w:rsidRPr="00491438">
        <w:rPr>
          <w:lang w:val="en-GB"/>
        </w:rPr>
        <w:t>. The identified variants were further reviewed to estimate the carrier prevalence and prior association with hypercholesterolemia in the following databases:</w:t>
      </w:r>
      <w:r w:rsidRPr="00491438">
        <w:rPr>
          <w:i/>
          <w:lang w:val="en-GB"/>
        </w:rPr>
        <w:t xml:space="preserve"> </w:t>
      </w:r>
      <w:r w:rsidRPr="00491438">
        <w:rPr>
          <w:lang w:val="en-GB"/>
        </w:rPr>
        <w:t>Genome Aggregation Database (</w:t>
      </w:r>
      <w:proofErr w:type="spellStart"/>
      <w:r w:rsidRPr="00491438">
        <w:rPr>
          <w:lang w:val="en-GB"/>
        </w:rPr>
        <w:t>gnomAD</w:t>
      </w:r>
      <w:proofErr w:type="spellEnd"/>
      <w:r w:rsidRPr="00491438">
        <w:rPr>
          <w:lang w:val="en-GB"/>
        </w:rPr>
        <w:t>)</w:t>
      </w:r>
      <w:r w:rsidRPr="00491438">
        <w:rPr>
          <w:lang w:val="en-GB"/>
        </w:rPr>
        <w:fldChar w:fldCharType="begin" w:fldLock="1"/>
      </w:r>
      <w:r w:rsidRPr="00491438">
        <w:rPr>
          <w:lang w:val="en-GB"/>
        </w:rPr>
        <w:instrText>ADDIN CSL_CITATION { "citationItems" : [ { "id" : "ITEM-1", "itemData" : { "author" : [ { "dropping-particle" : "", "family" : "Lek", "given" : "Monkol", "non-dropping-particle" : "", "parse-names" : false, "suffix" : "" }, { "dropping-particle" : "", "family" : "Karczewski", "given" : "Konrad J", "non-dropping-particle" : "", "parse-names" : false, "suffix" : "" }, { "dropping-particle" : "V", "family" : "Minikel", "given" : "Eric", "non-dropping-particle" : "", "parse-names" : false, "suffix" : "" }, { "dropping-particle" : "", "family" : "Samocha", "given" : "Kaitlin E", "non-dropping-particle" : "", "parse-names" : false, "suffix" : "" }, { "dropping-particle" : "", "family" : "Banks", "given" : "Eric", "non-dropping-particle" : "", "parse-names" : false, "suffix" : "" }, { "dropping-particle" : "", "family" : "Fennell", "given" : "Timothy", "non-dropping-particle" : "", "parse-names" : false, "suffix" : "" }, { "dropping-particle" : "", "family" : "O\u2019Donnell-Luria", "given" : "Anne H", "non-dropping-particle" : "", "parse-names" : false, "suffix" : "" }, { "dropping-particle" : "", "family" : "Ware", "given" : "James S", "non-dropping-particle" : "", "parse-names" : false, "suffix" : "" }, { "dropping-particle" : "", "family" : "Hill", "given" : "Andrew J", "non-dropping-particle" : "", "parse-names" : false, "suffix" : "" }, { "dropping-particle" : "", "family" : "Cummings", "given" : "Beryl B", "non-dropping-particle" : "", "parse-names" : false, "suffix" : "" }, { "dropping-particle" : "", "family" : "Tukiainen", "given" : "Taru", "non-dropping-particle" : "", "parse-names" : false, "suffix" : "" }, { "dropping-particle" : "", "family" : "Birnbaum", "given" : "Daniel P", "non-dropping-particle" : "", "parse-names" : false, "suffix" : "" }, { "dropping-particle" : "", "family" : "Kosmicki", "given" : "Jack A", "non-dropping-particle" : "", "parse-names" : false, "suffix" : "" }, { "dropping-particle" : "", "family" : "Duncan", "given" : "Laramie E", "non-dropping-particle" : "", "parse-names" : false, "suffix" : "" }, { "dropping-particle" : "", "family" : "Estrada", "given" : "Karol", "non-dropping-particle" : "", "parse-names" : false, "suffix" : "" }, { "dropping-particle" : "", "family" : "Zhao", "given" : "Fengmei", "non-dropping-particle" : "", "parse-names" : false, "suffix" : "" }, { "dropping-particle" : "", "family" : "Zou", "given" : "James", "non-dropping-particle" : "", "parse-names" : false, "suffix" : "" }, { "dropping-particle" : "", "family" : "Pierce-Hoffman", "given" : "Emma", "non-dropping-particle" : "", "parse-names" : false, "suffix" : "" }, { "dropping-particle" : "", "family" : "Berghout", "given" : "Joanne", "non-dropping-particle" : "", "parse-names" : false, "suffix" : "" }, { "dropping-particle" : "", "family" : "Cooper", "given" : "David N", "non-dropping-particle" : "", "parse-names" : false, "suffix" : "" }, { "dropping-particle" : "", "family" : "Deflaux", "given" : "Nicole", "non-dropping-particle" : "", "parse-names" : false, "suffix" : "" }, { "dropping-particle" : "", "family" : "DePristo", "given" : "Mark", "non-dropping-particle" : "", "parse-names" : false, "suffix" : "" }, { "dropping-particle" : "", "family" : "Do", "given" : "Ron", "non-dropping-particle" : "", "parse-names" : false, "suffix" : "" }, { "dropping-particle" : "", "family" : "Flannick", "given" : "Jason", "non-dropping-particle" : "", "parse-names" : false, "suffix" : "" }, { "dropping-particle" : "", "family" : "Fromer", "given" : "Menachem", "non-dropping-particle" : "", "parse-names" : false, "suffix" : "" }, { "dropping-particle" : "", "family" : "Gauthier", "given" : "Laura", "non-dropping-particle" : "", "parse-names" : false, "suffix" : "" }, { "dropping-particle" : "", "family" : "Goldstein", "given" : "Jackie", "non-dropping-particle" : "", "parse-names" : false, "suffix" : "" }, { "dropping-particle" : "", "family" : "Gupta", "given" : "Namrata", "non-dropping-particle" : "", "parse-names" : false, "suffix" : "" }, { "dropping-particle" : "", "family" : "Howrigan", "given" : "Daniel", "non-dropping-particle" : "", "parse-names" : false, "suffix" : "" }, { "dropping-particle" : "", "family" : "Kiezun", "given" : "Adam", "non-dropping-particle" : "", "parse-names" : false, "suffix" : "" }, { "dropping-particle" : "", "family" : "Kurki", "given" : "Mitja I", "non-dropping-particle" : "", "parse-names" : false, "suffix" : "" }, { "dropping-particle" : "", "family" : "Moonshine", "given" : "Ami Levy", "non-dropping-particle" : "", "parse-names" : false, "suffix" : "" }, { "dropping-particle" : "", "family" : "Natarajan", "given" : "Pradeep", "non-dropping-particle" : "", "parse-names" : false, "suffix" : "" }, { "dropping-particle" : "", "family" : "Orozco", "given" : "Lorena", "non-dropping-particle" : "", "parse-names" : false, "suffix" : "" }, { "dropping-particle" : "", "family" : "Peloso", "given" : "Gina M", "non-dropping-particle" : "", "parse-names" : false, "suffix" : "" }, { "dropping-particle" : "", "family" : "Poplin", "given" : "Ryan", "non-dropping-particle" : "", "parse-names" : false, "suffix" : "" }, { "dropping-particle" : "", "family" : "Rivas", "given" : "Manuel A", "non-dropping-particle" : "", "parse-names" : false, "suffix" : "" }, { "dropping-particle" : "", "family" : "Ruano-Rubio", "given" : "Valentin", "non-dropping-particle" : "", "parse-names" : false, "suffix" : "" }, { "dropping-particle" : "", "family" : "Rose", "given" : "Samuel A", "non-dropping-particle" : "", "parse-names" : false, "suffix" : "" }, { "dropping-particle" : "", "family" : "Ruderfer", "given" : "Douglas M", "non-dropping-particle" : "", "parse-names" : false, "suffix" : "" }, { "dropping-particle" : "", "family" : "Shakir", "given" : "Khalid", "non-dropping-particle" : "", "parse-names" : false, "suffix" : "" }, { "dropping-particle" : "", "family" : "Stenson", "given" : "Peter D", "non-dropping-particle" : "", "parse-names" : false, "suffix" : "" }, { "dropping-particle" : "", "family" : "Stevens", "given" : "Christine", "non-dropping-particle" : "", "parse-names" : false, "suffix" : "" }, { "dropping-particle" : "", "family" : "Thomas", "given" : "Brett P", "non-dropping-particle" : "", "parse-names" : false, "suffix" : "" }, { "dropping-particle" : "", "family" : "Tiao", "given" : "Grace", "non-dropping-particle" : "", "parse-names" : false, "suffix" : "" }, { "dropping-particle" : "", "family" : "Tusie-Luna", "given" : "Maria T", "non-dropping-particle" : "", "parse-names" : false, "suffix" : "" }, { "dropping-particle" : "", "family" : "Weisburd", "given" : "Ben", "non-dropping-particle" : "", "parse-names" : false, "suffix" : "" }, { "dropping-particle" : "", "family" : "Won", "given" : "Hong-Hee", "non-dropping-particle" : "", "parse-names" : false, "suffix" : "" }, { "dropping-particle" : "", "family" : "Yu", "given" : "Dongmei", "non-dropping-particle" : "", "parse-names" : false, "suffix" : "" }, { "dropping-particle" : "", "family" : "Altshuler", "given" : "David M", "non-dropping-particle" : "", "parse-names" : false, "suffix" : "" }, { "dropping-particle" : "", "family" : "Ardissino", "given" : "Diego", "non-dropping-particle" : "", "parse-names" : false, "suffix" : "" }, { "dropping-particle" : "", "family" : "Boehnke", "given" : "Michael", "non-dropping-particle" : "", "parse-names" : false, "suffix" : "" }, { "dropping-particle" : "", "family" : "Danesh", "given" : "John", "non-dropping-particle" : "", "parse-names" : false, "suffix" : "" }, { "dropping-particle" : "", "family" : "Donnelly", "given" : "Stacey", "non-dropping-particle" : "", "parse-names" : false, "suffix" : "" }, { "dropping-particle" : "", "family" : "Elosua", "given" : "Roberto", "non-dropping-particle" : "", "parse-names" : false, "suffix" : "" }, { "dropping-particle" : "", "family" : "Florez", "given" : "Jose C", "non-dropping-particle" : "", "parse-names" : false, "suffix" : "" }, { "dropping-particle" : "", "family" : "Gabriel", "given" : "Stacey B", "non-dropping-particle" : "", "parse-names" : false, "suffix" : "" }, { "dropping-particle" : "", "family" : "Getz", "given" : "Gad", "non-dropping-particle" : "", "parse-names" : false, "suffix" : "" }, { "dropping-particle" : "", "family" : "Glatt", "given" : "Stephen J", "non-dropping-particle" : "", "parse-names" : false, "suffix" : "" }, { "dropping-particle" : "", "family" : "Hultman", "given" : "Christina M", "non-dropping-particle" : "", "parse-names" : false, "suffix" : "" }, { "dropping-particle" : "", "family" : "Kathiresan", "given" : "Sekar", "non-dropping-particle" : "", "parse-names" : false, "suffix" : "" }, { "dropping-particle" : "", "family" : "Laakso", "given" : "Markku", "non-dropping-particle" : "", "parse-names" : false, "suffix" : "" }, { "dropping-particle" : "", "family" : "McCarroll", "given" : "Steven", "non-dropping-particle" : "", "parse-names" : false, "suffix" : "" }, { "dropping-particle" : "", "family" : "McCarthy", "given" : "Mark I", "non-dropping-particle" : "", "parse-names" : false, "suffix" : "" }, { "dropping-particle" : "", "family" : "McGovern", "given" : "Dermot", "non-dropping-particle" : "", "parse-names" : false, "suffix" : "" }, { "dropping-particle" : "", "family" : "McPherson", "given" : "Ruth", "non-dropping-particle" : "", "parse-names" : false, "suffix" : "" }, { "dropping-particle" : "", "family" : "Neale", "given" : "Benjamin M", "non-dropping-particle" : "", "parse-names" : false, "suffix" : "" }, { "dropping-particle" : "", "family" : "Palotie", "given" : "Aarno", "non-dropping-particle" : "", "parse-names" : false, "suffix" : "" }, { "dropping-particle" : "", "family" : "Purcell", "given" : "Shaun M", "non-dropping-particle" : "", "parse-names" : false, "suffix" : "" }, { "dropping-particle" : "", "family" : "Saleheen", "given" : "Danish", "non-dropping-particle" : "", "parse-names" : false, "suffix" : "" }, { "dropping-particle" : "", "family" : "Scharf", "given" : "Jeremiah M", "non-dropping-particle" : "", "parse-names" : false, "suffix" : "" }, { "dropping-particle" : "", "family" : "Sklar", "given" : "Pamela", "non-dropping-particle" : "", "parse-names" : false, "suffix" : "" }, { "dropping-particle" : "", "family" : "Sullivan", "given" : "Patrick F", "non-dropping-particle" : "", "parse-names" : false, "suffix" : "" }, { "dropping-particle" : "", "family" : "Tuomilehto", "given" : "Jaakko", "non-dropping-particle" : "", "parse-names" : false, "suffix" : "" }, { "dropping-particle" : "", "family" : "Tsuang", "given" : "Ming T", "non-dropping-particle" : "", "parse-names" : false, "suffix" : "" }, { "dropping-particle" : "", "family" : "Watkins", "given" : "Hugh C", "non-dropping-particle" : "", "parse-names" : false, "suffix" : "" }, { "dropping-particle" : "", "family" : "Wilson", "given" : "James G", "non-dropping-particle" : "", "parse-names" : false, "suffix" : "" }, { "dropping-particle" : "", "family" : "Daly", "given" : "Mark J", "non-dropping-particle" : "", "parse-names" : false, "suffix" : "" }, { "dropping-particle" : "", "family" : "MacArthur", "given" : "Daniel G", "non-dropping-particle" : "", "parse-names" : false, "suffix" : "" }, { "dropping-particle" : "", "family" : "Consortium", "given" : "Exome Aggregation", "non-dropping-particle" : "", "parse-names" : false, "suffix" : "" } ], "container-title" : "Nature", "id" : "ITEM-1", "issued" : { "date-parts" : [ [ "2016", "8", "17" ] ] }, "page" : "285", "publisher" : "The Author(s)", "title" : "Analysis of protein-coding genetic variation in 60,706 humans", "type" : "article-journal", "volume" : "536" }, "uris" : [ "http://www.mendeley.com/documents/?uuid=84e9bffd-61f4-40b2-9d25-a962e75c683c" ] } ], "mendeley" : { "formattedCitation" : "&lt;sup&gt;15&lt;/sup&gt;", "plainTextFormattedCitation" : "15", "previouslyFormattedCitation" : "&lt;sup&gt;15&lt;/sup&gt;" }, "properties" : { "noteIndex" : 6 }, "schema" : "https://github.com/citation-style-language/schema/raw/master/csl-citation.json" }</w:instrText>
      </w:r>
      <w:r w:rsidRPr="00491438">
        <w:rPr>
          <w:lang w:val="en-GB"/>
        </w:rPr>
        <w:fldChar w:fldCharType="separate"/>
      </w:r>
      <w:r w:rsidRPr="00491438">
        <w:rPr>
          <w:noProof/>
          <w:vertAlign w:val="superscript"/>
          <w:lang w:val="en-GB"/>
        </w:rPr>
        <w:t>15</w:t>
      </w:r>
      <w:r w:rsidRPr="00491438">
        <w:rPr>
          <w:lang w:val="en-GB"/>
        </w:rPr>
        <w:fldChar w:fldCharType="end"/>
      </w:r>
      <w:r w:rsidRPr="00491438">
        <w:rPr>
          <w:lang w:val="en-GB"/>
        </w:rPr>
        <w:t xml:space="preserve"> v2.0, Sequencing Initiative Suomi (</w:t>
      </w:r>
      <w:proofErr w:type="spellStart"/>
      <w:r w:rsidRPr="00491438">
        <w:rPr>
          <w:lang w:val="en-GB"/>
        </w:rPr>
        <w:t>SISu</w:t>
      </w:r>
      <w:proofErr w:type="spellEnd"/>
      <w:r w:rsidRPr="00491438">
        <w:rPr>
          <w:lang w:val="en-GB"/>
        </w:rPr>
        <w:t>)</w:t>
      </w:r>
      <w:r w:rsidRPr="00491438">
        <w:rPr>
          <w:lang w:val="en-GB"/>
        </w:rPr>
        <w:fldChar w:fldCharType="begin" w:fldLock="1"/>
      </w:r>
      <w:r w:rsidRPr="00491438">
        <w:rPr>
          <w:lang w:val="en-GB"/>
        </w:rPr>
        <w:instrText>ADDIN CSL_CITATION { "citationItems" : [ { "id" : "ITEM-1", "itemData" : { "URL" : "url: http://sisuproject.fi", "accessed" : { "date-parts" : [ [ "2018", "1", "1" ] ] }, "id" : "ITEM-1", "issued" : { "date-parts" : [ [ "0" ] ] }, "title" : "Sequencing Initiative Suomi project (SISu), Institute for Molecular Medicine Finland (FIMM), University of Helsinki, Finland", "type" : "webpage" }, "uris" : [ "http://www.mendeley.com/documents/?uuid=00a1db7b-8375-4dee-b5d1-49fc26753782" ] } ], "mendeley" : { "formattedCitation" : "&lt;sup&gt;16&lt;/sup&gt;", "plainTextFormattedCitation" : "16", "previouslyFormattedCitation" : "&lt;sup&gt;16&lt;/sup&gt;" }, "properties" : { "noteIndex" : 6 }, "schema" : "https://github.com/citation-style-language/schema/raw/master/csl-citation.json" }</w:instrText>
      </w:r>
      <w:r w:rsidRPr="00491438">
        <w:rPr>
          <w:lang w:val="en-GB"/>
        </w:rPr>
        <w:fldChar w:fldCharType="separate"/>
      </w:r>
      <w:r w:rsidRPr="00491438">
        <w:rPr>
          <w:noProof/>
          <w:vertAlign w:val="superscript"/>
          <w:lang w:val="en-GB"/>
        </w:rPr>
        <w:t>16</w:t>
      </w:r>
      <w:r w:rsidRPr="00491438">
        <w:rPr>
          <w:lang w:val="en-GB"/>
        </w:rPr>
        <w:fldChar w:fldCharType="end"/>
      </w:r>
      <w:r w:rsidRPr="00491438">
        <w:rPr>
          <w:lang w:val="en-GB"/>
        </w:rPr>
        <w:t>, UCL low-density lipoprotein receptor variant database</w:t>
      </w:r>
      <w:r w:rsidRPr="00491438">
        <w:rPr>
          <w:lang w:val="en-GB"/>
        </w:rPr>
        <w:fldChar w:fldCharType="begin" w:fldLock="1"/>
      </w:r>
      <w:r w:rsidRPr="00491438">
        <w:rPr>
          <w:lang w:val="en-GB"/>
        </w:rPr>
        <w:instrText>ADDIN CSL_CITATION { "citationItems" : [ { "id" : "ITEM-1", "itemData" : { "abstract" : "Background Familial hypercholesterolaemia (OMIM 143890) is most frequently caused by variations in the low-density lipoprotein receptor (LDLR) gene. Predicting whether novel variants are pathogenic may not be straightforward, especially for missense and synonymous variants. In 2013, the Association of Clinical Genetic Scientists published guidelines for the classification of variants, with categories 1 and 2 representing clearly not or unlikely pathogenic, respectively, 3 representing variants of unknown significance (VUS), and 4 and 5 representing likely to be or clearly pathogenic, respectively. Here, we update the University College London (UCL) LDLR variant database according to these guidelines.Methods PubMed searches and alerts were used to identify novel LDLR variants for inclusion in the database. Standard in silico tools were used to predict potential pathogenicity. Variants were designated as class 4/5 only when the predictions from the different programs were concordant and as class 3 when predictions were discordant.Results The updated database (http://www.lovd.nl/LDLR) now includes 2925 curated variants, representing 1707 independent events. All 129 nonsense variants, 337 small frame-shifting and 117/118 large rearrangements were classified as 4 or 5. Of the 795 missense variants, 115 were in classes 1 and 2, 605 in class 4 and 75 in class 3. 111/181 intronic variants, 4/34 synonymous variants and 14/37 promoter variants were assigned to classes 4 or 5. Overall, 112 (7%) of reported variants were class 3.Conclusions This study updates the LDLR variant database and identifies a number of reported VUS where additional family and in vitro studies will be required to confirm or refute their pathogenicity.", "author" : [ { "dropping-particle" : "", "family" : "Leigh", "given" : "Sarah", "non-dropping-particle" : "", "parse-names" : false, "suffix" : "" }, { "dropping-particle" : "", "family" : "Futema", "given" : "Marta", "non-dropping-particle" : "", "parse-names" : false, "suffix" : "" }, { "dropping-particle" : "", "family" : "Whittall", "given" : "Ros", "non-dropping-particle" : "", "parse-names" : false, "suffix" : "" }, { "dropping-particle" : "", "family" : "Taylor-Beadling", "given" : "Alison", "non-dropping-particle" : "", "parse-names" : false, "suffix" : "" }, { "dropping-particle" : "", "family" : "Williams", "given" : "Maggie", "non-dropping-particle" : "", "parse-names" : false, "suffix" : "" }, { "dropping-particle" : "", "family" : "Dunnen", "given" : "Johan T", "non-dropping-particle" : "den", "parse-names" : false, "suffix" : "" }, { "dropping-particle" : "", "family" : "Humphries", "given" : "Steve E", "non-dropping-particle" : "", "parse-names" : false, "suffix" : "" } ], "container-title" : "Journal of Medical Genetics", "id" : "ITEM-1", "issue" : "4", "issued" : { "date-parts" : [ [ "2017", "4", "1" ] ] }, "page" : "217 LP  - 223", "title" : "The UCL low-density lipoprotein receptor gene variant database: pathogenicity update", "type" : "article-journal", "volume" : "54" }, "uris" : [ "http://www.mendeley.com/documents/?uuid=ee0cdad4-9f46-4d6f-b9eb-8c277d6e7963" ] } ], "mendeley" : { "formattedCitation" : "&lt;sup&gt;17&lt;/sup&gt;", "plainTextFormattedCitation" : "17", "previouslyFormattedCitation" : "&lt;sup&gt;17&lt;/sup&gt;" }, "properties" : { "noteIndex" : 6 }, "schema" : "https://github.com/citation-style-language/schema/raw/master/csl-citation.json" }</w:instrText>
      </w:r>
      <w:r w:rsidRPr="00491438">
        <w:rPr>
          <w:lang w:val="en-GB"/>
        </w:rPr>
        <w:fldChar w:fldCharType="separate"/>
      </w:r>
      <w:r w:rsidRPr="00491438">
        <w:rPr>
          <w:noProof/>
          <w:vertAlign w:val="superscript"/>
          <w:lang w:val="en-GB"/>
        </w:rPr>
        <w:t>17</w:t>
      </w:r>
      <w:r w:rsidRPr="00491438">
        <w:rPr>
          <w:lang w:val="en-GB"/>
        </w:rPr>
        <w:fldChar w:fldCharType="end"/>
      </w:r>
      <w:r w:rsidRPr="00491438">
        <w:rPr>
          <w:color w:val="000000" w:themeColor="text1"/>
          <w:lang w:val="en-GB"/>
        </w:rPr>
        <w:t xml:space="preserve">, </w:t>
      </w:r>
      <w:r w:rsidRPr="00491438">
        <w:rPr>
          <w:lang w:val="en-GB"/>
        </w:rPr>
        <w:t>NCBI-ClinVar</w:t>
      </w:r>
      <w:r w:rsidRPr="00491438">
        <w:rPr>
          <w:lang w:val="en-GB"/>
        </w:rPr>
        <w:fldChar w:fldCharType="begin" w:fldLock="1"/>
      </w:r>
      <w:r w:rsidRPr="00491438">
        <w:rPr>
          <w:lang w:val="en-GB"/>
        </w:rPr>
        <w:instrText>ADDIN CSL_CITATION { "citationItems" : [ { "id" : "ITEM-1", "itemData" : { "DOI" : "10.1093/nar/gkt1113", "ISSN" : "0305-1048", "abstract" : "ClinVar (http://www.ncbi.nlm.nih.gov/clinvar/) provides a freely available archive of reports of relationships among medically important variants and phenotypes. ClinVar accessions submissions reporting human variation, interpretations of the relationship of that variation to human health and the evidence supporting each interpretation. The database is tightly coupled with dbSNP and dbVar, which maintain information about the location of variation on human assemblies. ClinVar is also based on the phenotypic descriptions maintained in MedGen (http://www.ncbi.nlm.nih.gov/medgen). Each ClinVar record represents the submitter, the variation and the phenotype, i.e. the unit that is assigned an accession of the format SCV000000000.0. The submitter can update the submission at any time, in which case a new version is assigned. To facilitate evaluation of the medical importance of each variant, ClinVar aggregates submissions with the same variation/phenotype combination, adds value from other NCBI databases, assigns a distinct accession of the format RCV000000000.0 and reports if there are conflicting clinical interpretations. Data in ClinVar are available in multiple formats, including html, download as XML, VCF or tab-delimited subsets. Data from ClinVar are provided as annotation tracks on genomic RefSeqs and are used in tools such as Variation Reporter (http://www.ncbi.nlm.nih.gov/variation/tools/reporter), which reports what is known about variation based on user-supplied locations. ", "author" : [ { "dropping-particle" : "", "family" : "Landrum", "given" : "Melissa J", "non-dropping-particle" : "", "parse-names" : false, "suffix" : "" }, { "dropping-particle" : "", "family" : "Lee", "given" : "Jennifer M", "non-dropping-particle" : "", "parse-names" : false, "suffix" : "" }, { "dropping-particle" : "", "family" : "Riley", "given" : "George R", "non-dropping-particle" : "", "parse-names" : false, "suffix" : "" }, { "dropping-particle" : "", "family" : "Jang", "given" : "Wonhee", "non-dropping-particle" : "", "parse-names" : false, "suffix" : "" }, { "dropping-particle" : "", "family" : "Rubinstein", "given" : "Wendy S", "non-dropping-particle" : "", "parse-names" : false, "suffix" : "" }, { "dropping-particle" : "", "family" : "Church", "given" : "Deanna M", "non-dropping-particle" : "", "parse-names" : false, "suffix" : "" }, { "dropping-particle" : "", "family" : "Maglott", "given" : "Donna R", "non-dropping-particle" : "", "parse-names" : false, "suffix" : "" } ], "container-title" : "Nucleic Acids Research", "id" : "ITEM-1", "issue" : "Database issue", "issued" : { "date-parts" : [ [ "2014", "1", "1" ] ] }, "page" : "D980-D985", "publisher" : "Oxford University Press", "title" : "ClinVar: public archive of relationships among sequence variation and human phenotype", "type" : "article-journal", "volume" : "42" }, "uris" : [ "http://www.mendeley.com/documents/?uuid=ed982342-76b3-48cc-9485-47903a7a002e" ] } ], "mendeley" : { "formattedCitation" : "&lt;sup&gt;18&lt;/sup&gt;", "plainTextFormattedCitation" : "18", "previouslyFormattedCitation" : "&lt;sup&gt;18&lt;/sup&gt;" }, "properties" : { "noteIndex" : 6 }, "schema" : "https://github.com/citation-style-language/schema/raw/master/csl-citation.json" }</w:instrText>
      </w:r>
      <w:r w:rsidRPr="00491438">
        <w:rPr>
          <w:lang w:val="en-GB"/>
        </w:rPr>
        <w:fldChar w:fldCharType="separate"/>
      </w:r>
      <w:r w:rsidRPr="00491438">
        <w:rPr>
          <w:noProof/>
          <w:vertAlign w:val="superscript"/>
          <w:lang w:val="en-GB"/>
        </w:rPr>
        <w:t>18</w:t>
      </w:r>
      <w:r w:rsidRPr="00491438">
        <w:rPr>
          <w:lang w:val="en-GB"/>
        </w:rPr>
        <w:fldChar w:fldCharType="end"/>
      </w:r>
      <w:r w:rsidRPr="00491438">
        <w:rPr>
          <w:lang w:val="en-GB"/>
        </w:rPr>
        <w:t>, and public version of Human Gene Mutation Database</w:t>
      </w:r>
      <w:r w:rsidRPr="00491438">
        <w:rPr>
          <w:lang w:val="en-GB"/>
        </w:rPr>
        <w:fldChar w:fldCharType="begin" w:fldLock="1"/>
      </w:r>
      <w:r w:rsidRPr="00491438">
        <w:rPr>
          <w:lang w:val="en-GB"/>
        </w:rPr>
        <w:instrText>ADDIN CSL_CITATION { "citationItems" : [ { "id" : "ITEM-1", "itemData" : { "DOI" : "10.1002/humu.10212", "ISBN" : "1098-1004 (Electronic)", "ISSN" : "10597794", "PMID" : "12754702", "abstract" : "The Human Gene Mutation Database (HGMD) constitutes a comprehensive core collection of data on germ-line mutations in nuclear genes underlying or associated with human inherited disease (www.hgmd.org). Data catalogued includes: single base-pair substitutions in coding, regulatory and splicing-relevant regions; micro-deletions and micro-insertions; indels; triplet repeat expansions as well as gross deletions; insertions; duplications; and complex rearrangements. Each mutation is entered into HGMD only once in order to avoid confusion between recurrent and identical-by-descent lesions. By March 2003, the database contained in excess of 39,415 different lesions detected in 1,516 different nuclear genes, with new entries currently accumulating at a rate exceeding 5,000 per annum. Since its inception, HGMD has been expanded to include cDNA reference sequences for more than 87% of listed genes, splice junction sequences, disease-associated and functional polymorphisms, as well as links to data present in publicly available online locus-specific mutation databases. Although HGMD has recently entered into a licensing agreement with Celera Genomics (Rockville, MD), mutation data will continue to be made freely available via the Internet.", "author" : [ { "dropping-particle" : "", "family" : "Stenson", "given" : "Peter D.", "non-dropping-particle" : "", "parse-names" : false, "suffix" : "" }, { "dropping-particle" : "V.", "family" : "Ball", "given" : "Edward", "non-dropping-particle" : "", "parse-names" : false, "suffix" : "" }, { "dropping-particle" : "", "family" : "Mort", "given" : "Matthew", "non-dropping-particle" : "", "parse-names" : false, "suffix" : "" }, { "dropping-particle" : "", "family" : "Phillips", "given" : "Andrew D.", "non-dropping-particle" : "", "parse-names" : false, "suffix" : "" }, { "dropping-particle" : "", "family" : "Shiel", "given" : "Jacqueline A.", "non-dropping-particle" : "", "parse-names" : false, "suffix" : "" }, { "dropping-particle" : "", "family" : "Thomas", "given" : "Nick S T", "non-dropping-particle" : "", "parse-names" : false, "suffix" : "" }, { "dropping-particle" : "", "family" : "Abeysinghe", "given" : "Shaun", "non-dropping-particle" : "", "parse-names" : false, "suffix" : "" }, { "dropping-particle" : "", "family" : "Krawczak", "given" : "Michael", "non-dropping-particle" : "", "parse-names" : false, "suffix" : "" }, { "dropping-particle" : "", "family" : "Cooper", "given" : "David N.", "non-dropping-particle" : "", "parse-names" : false, "suffix" : "" } ], "container-title" : "Human Mutation", "id" : "ITEM-1", "issue" : "6", "issued" : { "date-parts" : [ [ "2003" ] ] }, "page" : "577-581", "title" : "Human Gene Mutation Database (HGMD??): 2003 Update", "type" : "article-journal", "volume" : "21" }, "uris" : [ "http://www.mendeley.com/documents/?uuid=a700fc59-4790-4c02-8e1b-a7cb4b984765" ] } ], "mendeley" : { "formattedCitation" : "&lt;sup&gt;19&lt;/sup&gt;", "plainTextFormattedCitation" : "19", "previouslyFormattedCitation" : "&lt;sup&gt;19&lt;/sup&gt;" }, "properties" : { "noteIndex" : 6 }, "schema" : "https://github.com/citation-style-language/schema/raw/master/csl-citation.json" }</w:instrText>
      </w:r>
      <w:r w:rsidRPr="00491438">
        <w:rPr>
          <w:lang w:val="en-GB"/>
        </w:rPr>
        <w:fldChar w:fldCharType="separate"/>
      </w:r>
      <w:r w:rsidRPr="00491438">
        <w:rPr>
          <w:noProof/>
          <w:vertAlign w:val="superscript"/>
          <w:lang w:val="en-GB"/>
        </w:rPr>
        <w:t>19</w:t>
      </w:r>
      <w:r w:rsidRPr="00491438">
        <w:rPr>
          <w:lang w:val="en-GB"/>
        </w:rPr>
        <w:fldChar w:fldCharType="end"/>
      </w:r>
      <w:r w:rsidRPr="00491438">
        <w:rPr>
          <w:lang w:val="en-GB"/>
        </w:rPr>
        <w:t>. A variant was considered as FH-associated if MAF &lt;0.5%, identified in a carrier with LDL-C level of ≥4.0 mmol/L and 1) reported as pathogenic/likely pathogenic in NCBI-ClinVar</w:t>
      </w:r>
      <w:r w:rsidRPr="00491438">
        <w:rPr>
          <w:lang w:val="en-GB"/>
        </w:rPr>
        <w:fldChar w:fldCharType="begin" w:fldLock="1"/>
      </w:r>
      <w:r w:rsidRPr="00491438">
        <w:rPr>
          <w:lang w:val="en-GB"/>
        </w:rPr>
        <w:instrText>ADDIN CSL_CITATION { "citationItems" : [ { "id" : "ITEM-1", "itemData" : { "DOI" : "10.1093/nar/gkt1113", "ISSN" : "0305-1048", "abstract" : "ClinVar (http://www.ncbi.nlm.nih.gov/clinvar/) provides a freely available archive of reports of relationships among medically important variants and phenotypes. ClinVar accessions submissions reporting human variation, interpretations of the relationship of that variation to human health and the evidence supporting each interpretation. The database is tightly coupled with dbSNP and dbVar, which maintain information about the location of variation on human assemblies. ClinVar is also based on the phenotypic descriptions maintained in MedGen (http://www.ncbi.nlm.nih.gov/medgen). Each ClinVar record represents the submitter, the variation and the phenotype, i.e. the unit that is assigned an accession of the format SCV000000000.0. The submitter can update the submission at any time, in which case a new version is assigned. To facilitate evaluation of the medical importance of each variant, ClinVar aggregates submissions with the same variation/phenotype combination, adds value from other NCBI databases, assigns a distinct accession of the format RCV000000000.0 and reports if there are conflicting clinical interpretations. Data in ClinVar are available in multiple formats, including html, download as XML, VCF or tab-delimited subsets. Data from ClinVar are provided as annotation tracks on genomic RefSeqs and are used in tools such as Variation Reporter (http://www.ncbi.nlm.nih.gov/variation/tools/reporter), which reports what is known about variation based on user-supplied locations. ", "author" : [ { "dropping-particle" : "", "family" : "Landrum", "given" : "Melissa J", "non-dropping-particle" : "", "parse-names" : false, "suffix" : "" }, { "dropping-particle" : "", "family" : "Lee", "given" : "Jennifer M", "non-dropping-particle" : "", "parse-names" : false, "suffix" : "" }, { "dropping-particle" : "", "family" : "Riley", "given" : "George R", "non-dropping-particle" : "", "parse-names" : false, "suffix" : "" }, { "dropping-particle" : "", "family" : "Jang", "given" : "Wonhee", "non-dropping-particle" : "", "parse-names" : false, "suffix" : "" }, { "dropping-particle" : "", "family" : "Rubinstein", "given" : "Wendy S", "non-dropping-particle" : "", "parse-names" : false, "suffix" : "" }, { "dropping-particle" : "", "family" : "Church", "given" : "Deanna M", "non-dropping-particle" : "", "parse-names" : false, "suffix" : "" }, { "dropping-particle" : "", "family" : "Maglott", "given" : "Donna R", "non-dropping-particle" : "", "parse-names" : false, "suffix" : "" } ], "container-title" : "Nucleic Acids Research", "id" : "ITEM-1", "issue" : "Database issue", "issued" : { "date-parts" : [ [ "2014", "1", "1" ] ] }, "page" : "D980-D985", "publisher" : "Oxford University Press", "title" : "ClinVar: public archive of relationships among sequence variation and human phenotype", "type" : "article-journal", "volume" : "42" }, "uris" : [ "http://www.mendeley.com/documents/?uuid=ed982342-76b3-48cc-9485-47903a7a002e" ] } ], "mendeley" : { "formattedCitation" : "&lt;sup&gt;18&lt;/sup&gt;", "plainTextFormattedCitation" : "18", "previouslyFormattedCitation" : "&lt;sup&gt;18&lt;/sup&gt;" }, "properties" : { "noteIndex" : 6 }, "schema" : "https://github.com/citation-style-language/schema/raw/master/csl-citation.json" }</w:instrText>
      </w:r>
      <w:r w:rsidRPr="00491438">
        <w:rPr>
          <w:lang w:val="en-GB"/>
        </w:rPr>
        <w:fldChar w:fldCharType="separate"/>
      </w:r>
      <w:r w:rsidRPr="00491438">
        <w:rPr>
          <w:noProof/>
          <w:vertAlign w:val="superscript"/>
          <w:lang w:val="en-GB"/>
        </w:rPr>
        <w:t>18</w:t>
      </w:r>
      <w:r w:rsidRPr="00491438">
        <w:rPr>
          <w:lang w:val="en-GB"/>
        </w:rPr>
        <w:fldChar w:fldCharType="end"/>
      </w:r>
      <w:r w:rsidRPr="00491438">
        <w:rPr>
          <w:lang w:val="en-GB"/>
        </w:rPr>
        <w:t xml:space="preserve"> and/or 2) determined pathogenic according to </w:t>
      </w:r>
      <w:r w:rsidRPr="00491438">
        <w:rPr>
          <w:i/>
          <w:lang w:val="en-GB"/>
        </w:rPr>
        <w:t>in silico</w:t>
      </w:r>
      <w:r w:rsidRPr="00491438">
        <w:rPr>
          <w:lang w:val="en-GB"/>
        </w:rPr>
        <w:t xml:space="preserve"> prediction algorithms.</w:t>
      </w:r>
    </w:p>
    <w:p w:rsidR="00006BC8" w:rsidRPr="00491438" w:rsidRDefault="00006BC8" w:rsidP="00006BC8">
      <w:pPr>
        <w:spacing w:line="480" w:lineRule="auto"/>
      </w:pPr>
      <w:r w:rsidRPr="00491438">
        <w:lastRenderedPageBreak/>
        <w:tab/>
        <w:t>The determined untreated baseline LDL-C level threshold of ≥4.0 mmol/L considered in FH-associated variant identification corresponds to the lowest LDL-C value considered in the Dutch Lipid Clinic Network (DLCN) diagnostic criteria for familial hypercholesterolemia diagnosis</w:t>
      </w:r>
      <w:r w:rsidRPr="00491438">
        <w:fldChar w:fldCharType="begin" w:fldLock="1"/>
      </w:r>
      <w:r w:rsidR="00C231C8" w:rsidRPr="00491438">
        <w:instrText>ADDIN CSL_CITATION { "citationItems" : [ { "id" : "ITEM-1", "itemData" : { "author" : [ { "dropping-particle" : "", "family" : "Defesche JC1, Lansberg PJ, Umans-Eckenhausen MA", "given" : "Kastelein JJ.", "non-dropping-particle" : "", "parse-names" : false, "suffix" : "" } ], "container-title" : "Semin Vasc Med.", "id" : "ITEM-1", "issued" : { "date-parts" : [ [ "2004" ] ] }, "page" : "59-65", "title" : "Advanced method for the identification of patients with inherited hypercholesterolemia.", "type" : "article-journal", "volume" : "Feb;4(1)" }, "uris" : [ "http://www.mendeley.com/documents/?uuid=5c653115-228c-498f-941a-db048dd5fec9" ] } ], "mendeley" : { "formattedCitation" : "&lt;sup&gt;20&lt;/sup&gt;", "plainTextFormattedCitation" : "20", "previouslyFormattedCitation" : "&lt;sup&gt;20&lt;/sup&gt;" }, "properties" : { "noteIndex" : 0 }, "schema" : "https://github.com/citation-style-language/schema/raw/master/csl-citation.json" }</w:instrText>
      </w:r>
      <w:r w:rsidRPr="00491438">
        <w:fldChar w:fldCharType="separate"/>
      </w:r>
      <w:r w:rsidR="00C231C8" w:rsidRPr="00491438">
        <w:rPr>
          <w:noProof/>
          <w:vertAlign w:val="superscript"/>
        </w:rPr>
        <w:t>20</w:t>
      </w:r>
      <w:r w:rsidRPr="00491438">
        <w:fldChar w:fldCharType="end"/>
      </w:r>
      <w:r w:rsidRPr="00491438">
        <w:t>, suggested by the European Society of Cardiology and European Atherosclerosis Society for the management of dyslipidaemias</w:t>
      </w:r>
      <w:r w:rsidRPr="00491438">
        <w:fldChar w:fldCharType="begin" w:fldLock="1"/>
      </w:r>
      <w:r w:rsidR="00C231C8" w:rsidRPr="00491438">
        <w:instrText>ADDIN CSL_CITATION { "citationItems" : [ { "id" : "ITEM-1", "itemData" : { "DOI" : "10.1093/eurheartj/ehw272", "ISBN" : "1879-1484 (Electronic)\\r0021-9150 (Linking)", "ISSN" : "15229645", "PMID" : "21712404", "abstract" : "Cardiovascular disease (CVD) due to atherosclerosis of the arterial vessel wall and to thrombosis is the foremost cause of premature mortality and of disability-adjusted life years (DALYs) in Europe, and is also increasingly common in developing countries.1 In the European Union, the economic cost of CVD represents annually E192 billion1 in direct and indirect healthcare costs. The main clinical entities are coronary artery disease (CAD), ischaemic stroke, and peripheral arterial disease (PAD). The causes of these CVDs are multifactorial. Some of these factors relate to lifestyles, such as tobacco smoking, lack of physical activity, and dietary habits, and are thus modifiable. Other risk factors are also modifiable, such as elevated blood pressure, type 2 diabetes, and dyslipidaemias, or non-modifiable, such as age and male gender. These guidelines deal with the management of dyslipidaemias as an essential and integral part of CVD prevention. Prevention and treatment of dyslipidaemias should always be considered within the broader framework of CVD prevention, which is addressed in guidelines of the Joint European Societies\u2019 Task forces on CVD prevention in clinical practice.2 \u2013 5 The latest version of these guidelines was published in 20075; an update will become available in 2012. These Joint ESC/European Atherosclerosis Society (EAS) guidelines on the management of dyslipidaemias are complementary to the guidelines on CVD prevention in clinical practice and address not only physicians [e.g. general practitioners (GPs) and cardiologists] interested in CVD prevention, but also specialists from lipid clinics or metabolic units who are dealing with dyslipidaemias that are more difficult to classify and treat.", "author" : [ { "dropping-particle" : "", "family" : "Catapano", "given" : "Alberico L.", "non-dropping-particle" : "", "parse-names" : false, "suffix" : "" }, { "dropping-particle" : "", "family" : "Graham", "given" : "Ian", "non-dropping-particle" : "", "parse-names" : false, "suffix" : "" }, { "dropping-particle" : "", "family" : "Backer", "given" : "Guy", "non-dropping-particle" : "De", "parse-names" : false, "suffix" : "" }, { "dropping-particle" : "", "family" : "Wiklund", "given" : "Olov", "non-dropping-particle" : "", "parse-names" : false, "suffix" : "" }, { "dropping-particle" : "", "family" : "Chapman", "given" : "M. John", "non-dropping-particle" : "", "parse-names" : false, "suffix" : "" }, { "dropping-particle" : "", "family" : "Drexel", "given" : "Heinz", "non-dropping-particle" : "", "parse-names" : false, "suffix" : "" }, { "dropping-particle" : "", "family" : "Hoes", "given" : "Arno W.", "non-dropping-particle" : "", "parse-names" : false, "suffix" : "" }, { "dropping-particle" : "", "family" : "Jennings", "given" : "Catriona S.", "non-dropping-particle" : "", "parse-names" : false, "suffix" : "" }, { "dropping-particle" : "", "family" : "Landmesser", "given" : "Ulf", "non-dropping-particle" : "", "parse-names" : false, "suffix" : "" }, { "dropping-particle" : "", "family" : "Pedersen", "given" : "Terje R.", "non-dropping-particle" : "", "parse-names" : false, "suffix" : "" }, { "dropping-particle" : "", "family" : "Reiner", "given" : "Zeljko", "non-dropping-particle" : "", "parse-names" : false, "suffix" : "" }, { "dropping-particle" : "", "family" : "Riccardi", "given" : "Gabriele", "non-dropping-particle" : "", "parse-names" : false, "suffix" : "" }, { "dropping-particle" : "", "family" : "Taskinen", "given" : "Marja Riita", "non-dropping-particle" : "", "parse-names" : false, "suffix" : "" }, { "dropping-particle" : "", "family" : "Tokgozoglu", "given" : "Lale", "non-dropping-particle" : "", "parse-names" : false, "suffix" : "" }, { "dropping-particle" : "", "family" : "Verschuren", "given" : "W. M.Monique", "non-dropping-particle" : "", "parse-names" : false, "suffix" : "" }, { "dropping-particle" : "", "family" : "Vlachopoulos", "given" : "Charalambos", "non-dropping-particle" : "", "parse-names" : false, "suffix" : "" }, { "dropping-particle" : "", "family" : "Wood", "given" : "David A.", "non-dropping-particle" : "", "parse-names" : false, "suffix" : "" }, { "dropping-particle" : "", "family" : "Zamorano", "given" : "Jose Luis", "non-dropping-particle" : "", "parse-names" : false, "suffix" : "" }, { "dropping-particle" : "", "family" : "Badimon", "given" : "Lina", "non-dropping-particle" : "", "parse-names" : false, "suffix" : "" }, { "dropping-particle" : "", "family" : "Funck-Brentano", "given" : "Christian", "non-dropping-particle" : "", "parse-names" : false, "suffix" : "" }, { "dropping-particle" : "", "family" : "Agewall", "given" : "Stefan", "non-dropping-particle" : "", "parse-names" : false, "suffix" : "" }, { "dropping-particle" : "", "family" : "Bar\u00f3n-Esquivias", "given" : "Gonzalo", "non-dropping-particle" : "", "parse-names" : false, "suffix" : "" }, { "dropping-particle" : "", "family" : "Bor\u00e9n", "given" : "Jan", "non-dropping-particle" : "", "parse-names" : false, "suffix" : "" }, { "dropping-particle" : "", "family" : "Bruckert", "given" : "Eric", "non-dropping-particle" : "", "parse-names" : false, "suffix" : "" }, { "dropping-particle" : "", "family" : "Cordero", "given" : "Alberto", "non-dropping-particle" : "", "parse-names" : false, "suffix" : "" }, { "dropping-particle" : "", "family" : "Corsini", "given" : "Alberto", "non-dropping-particle" : "", "parse-names" : false, "suffix" : "" }, { "dropping-particle" : "", "family" : "Giannuzzi", "given" : "Pantaleo", "non-dropping-particle" : "", "parse-names" : false, "suffix" : "" }, { "dropping-particle" : "", "family" : "Gueyffier", "given" : "Francois", "non-dropping-particle" : "", "parse-names" : false, "suffix" : "" }, { "dropping-particle" : "", "family" : "Krsta\u010di\u0107", "given" : "Goran", "non-dropping-particle" : "", "parse-names" : false, "suffix" : "" }, { "dropping-particle" : "", "family" : "Lettino", "given" : "Maddalena", "non-dropping-particle" : "", "parse-names" : false, "suffix" : "" }, { "dropping-particle" : "", "family" : "Lionis", "given" : "Christos", "non-dropping-particle" : "", "parse-names" : false, "suffix" : "" }, { "dropping-particle" : "", "family" : "Lip", "given" : "Gregory Y.H.", "non-dropping-particle" : "", "parse-names" : false, "suffix" : "" }, { "dropping-particle" : "", "family" : "Marques-Vidal", "given" : "Pedro", "non-dropping-particle" : "", "parse-names" : false, "suffix" : "" }, { "dropping-particle" : "", "family" : "Milicic", "given" : "Davor", "non-dropping-particle" : "", "parse-names" : false, "suffix" : "" }, { "dropping-particle" : "", "family" : "Pedro-Botet", "given" : "Juan", "non-dropping-particle" : "", "parse-names" : false, "suffix" : "" }, { "dropping-particle" : "", "family" : "Piepoli", "given" : "Massimo F.", "non-dropping-particle" : "", "parse-names" : false, "suffix" : "" }, { "dropping-particle" : "", "family" : "Rigopoulos", "given" : "Angelos G.", "non-dropping-particle" : "", "parse-names" : false, "suffix" : "" }, { "dropping-particle" : "", "family" : "Ruschitzka", "given" : "Frank", "non-dropping-particle" : "", "parse-names" : false, "suffix" : "" }, { "dropping-particle" : "", "family" : "Tun\u00f3n", "given" : "Jose", "non-dropping-particle" : "", "parse-names" : false, "suffix" : "" }, { "dropping-particle" : "", "family" : "Eckardstein", "given" : "Arnold", "non-dropping-particle" : "Von", "parse-names" : false, "suffix" : "" }, { "dropping-particle" : "", "family" : "Vrablik", "given" : "Michal", "non-dropping-particle" : "", "parse-names" : false, "suffix" : "" }, { "dropping-particle" : "", "family" : "Weiss", "given" : "Thomas W.", "non-dropping-particle" : "", "parse-names" : false, "suffix" : "" }, { "dropping-particle" : "", "family" : "Williams", "given" : "Bryan", "non-dropping-particle" : "", "parse-names" : false, "suffix" : "" }, { "dropping-particle" : "", "family" : "Windecker", "given" : "Stephan", "non-dropping-particle" : "", "parse-names" : false, "suffix" : "" }, { "dropping-particle" : "", "family" : "Zimlichman", "given" : "Reuven", "non-dropping-particle" : "", "parse-names" : false, "suffix" : "" } ], "container-title" : "European Heart Journal", "id" : "ITEM-1", "issue" : "39", "issued" : { "date-parts" : [ [ "2016" ] ] }, "page" : "2999-3058l", "title" : "2016 ESC/EAS Guidelines for the Management of Dyslipidaemias", "type" : "article-journal", "volume" : "37" }, "uris" : [ "http://www.mendeley.com/documents/?uuid=d36a10f4-1269-43eb-90fc-30f8d8a61ec4" ] } ], "mendeley" : { "formattedCitation" : "&lt;sup&gt;21&lt;/sup&gt;", "plainTextFormattedCitation" : "21", "previouslyFormattedCitation" : "&lt;sup&gt;21&lt;/sup&gt;" }, "properties" : { "noteIndex" : 4 }, "schema" : "https://github.com/citation-style-language/schema/raw/master/csl-citation.json" }</w:instrText>
      </w:r>
      <w:r w:rsidRPr="00491438">
        <w:fldChar w:fldCharType="separate"/>
      </w:r>
      <w:r w:rsidR="00C231C8" w:rsidRPr="00491438">
        <w:rPr>
          <w:noProof/>
          <w:vertAlign w:val="superscript"/>
        </w:rPr>
        <w:t>21</w:t>
      </w:r>
      <w:r w:rsidRPr="00491438">
        <w:fldChar w:fldCharType="end"/>
      </w:r>
      <w:r w:rsidRPr="00491438">
        <w:t xml:space="preserve"> (</w:t>
      </w:r>
      <w:r w:rsidRPr="00491438">
        <w:rPr>
          <w:b/>
        </w:rPr>
        <w:t>Table S2</w:t>
      </w:r>
      <w:r w:rsidRPr="00491438">
        <w:t>). While the LDL-C values measured with the conventional method and VAP were highly correlated in overlapping individuals (r=0.91; n=986) (</w:t>
      </w:r>
      <w:r w:rsidRPr="00491438">
        <w:rPr>
          <w:b/>
        </w:rPr>
        <w:t>Figure S2</w:t>
      </w:r>
      <w:r w:rsidRPr="00491438">
        <w:t>), the latter marginally underestimated the LDL-C parameter. An association between these parameters was modelled using linear regression:</w:t>
      </w:r>
    </w:p>
    <w:p w:rsidR="00006BC8" w:rsidRPr="00491438" w:rsidRDefault="00006BC8" w:rsidP="00DC15B5">
      <w:pPr>
        <w:spacing w:line="480" w:lineRule="auto"/>
        <w:jc w:val="center"/>
      </w:pPr>
      <m:oMath>
        <m:r>
          <w:rPr>
            <w:rFonts w:ascii="Cambria Math" w:hAnsi="Cambria Math"/>
          </w:rPr>
          <m:t>Metabolit</m:t>
        </m:r>
        <m:sSub>
          <m:sSubPr>
            <m:ctrlPr>
              <w:rPr>
                <w:rFonts w:ascii="Cambria Math" w:hAnsi="Cambria Math"/>
                <w:i/>
              </w:rPr>
            </m:ctrlPr>
          </m:sSubPr>
          <m:e>
            <m:r>
              <w:rPr>
                <w:rFonts w:ascii="Cambria Math" w:hAnsi="Cambria Math"/>
              </w:rPr>
              <m:t>e</m:t>
            </m:r>
          </m:e>
          <m:sub>
            <m:r>
              <w:rPr>
                <w:rFonts w:ascii="Cambria Math" w:hAnsi="Cambria Math"/>
              </w:rPr>
              <m:t>C</m:t>
            </m:r>
          </m:sub>
        </m:sSub>
        <m:r>
          <w:rPr>
            <w:rFonts w:ascii="Cambria Math" w:hAnsi="Cambria Math"/>
          </w:rPr>
          <m:t>~μ+β*Metabolit</m:t>
        </m:r>
        <m:sSub>
          <m:sSubPr>
            <m:ctrlPr>
              <w:rPr>
                <w:rFonts w:ascii="Cambria Math" w:hAnsi="Cambria Math"/>
                <w:i/>
              </w:rPr>
            </m:ctrlPr>
          </m:sSubPr>
          <m:e>
            <m:r>
              <w:rPr>
                <w:rFonts w:ascii="Cambria Math" w:hAnsi="Cambria Math"/>
              </w:rPr>
              <m:t>e</m:t>
            </m:r>
          </m:e>
          <m:sub>
            <m:r>
              <w:rPr>
                <w:rFonts w:ascii="Cambria Math" w:hAnsi="Cambria Math"/>
              </w:rPr>
              <m:t>VAP</m:t>
            </m:r>
          </m:sub>
        </m:sSub>
        <m:r>
          <w:rPr>
            <w:rFonts w:ascii="Cambria Math" w:hAnsi="Cambria Math"/>
          </w:rPr>
          <m:t>+ε</m:t>
        </m:r>
      </m:oMath>
      <w:r w:rsidRPr="00491438">
        <w:t>,</w:t>
      </w:r>
    </w:p>
    <w:p w:rsidR="00006BC8" w:rsidRPr="00491438" w:rsidRDefault="00006BC8" w:rsidP="00006BC8">
      <w:pPr>
        <w:spacing w:line="480" w:lineRule="auto"/>
      </w:pPr>
      <w:r w:rsidRPr="00491438">
        <w:t xml:space="preserve">where </w:t>
      </w:r>
      <m:oMath>
        <m:r>
          <w:rPr>
            <w:rFonts w:ascii="Cambria Math" w:hAnsi="Cambria Math"/>
          </w:rPr>
          <m:t>Metabolit</m:t>
        </m:r>
        <m:sSub>
          <m:sSubPr>
            <m:ctrlPr>
              <w:rPr>
                <w:rFonts w:ascii="Cambria Math" w:hAnsi="Cambria Math"/>
                <w:i/>
              </w:rPr>
            </m:ctrlPr>
          </m:sSubPr>
          <m:e>
            <m:r>
              <w:rPr>
                <w:rFonts w:ascii="Cambria Math" w:hAnsi="Cambria Math"/>
              </w:rPr>
              <m:t>e</m:t>
            </m:r>
          </m:e>
          <m:sub>
            <m:r>
              <w:rPr>
                <w:rFonts w:ascii="Cambria Math" w:hAnsi="Cambria Math"/>
              </w:rPr>
              <m:t>C</m:t>
            </m:r>
          </m:sub>
        </m:sSub>
      </m:oMath>
      <w:r w:rsidRPr="00491438">
        <w:t xml:space="preserve"> is the LDL-C values measured with the conventional method and </w:t>
      </w:r>
      <m:oMath>
        <m:r>
          <w:rPr>
            <w:rFonts w:ascii="Cambria Math" w:hAnsi="Cambria Math"/>
          </w:rPr>
          <m:t>Metabolit</m:t>
        </m:r>
        <m:sSub>
          <m:sSubPr>
            <m:ctrlPr>
              <w:rPr>
                <w:rFonts w:ascii="Cambria Math" w:hAnsi="Cambria Math"/>
                <w:i/>
              </w:rPr>
            </m:ctrlPr>
          </m:sSubPr>
          <m:e>
            <m:r>
              <w:rPr>
                <w:rFonts w:ascii="Cambria Math" w:hAnsi="Cambria Math"/>
              </w:rPr>
              <m:t>e</m:t>
            </m:r>
          </m:e>
          <m:sub>
            <m:r>
              <w:rPr>
                <w:rFonts w:ascii="Cambria Math" w:hAnsi="Cambria Math"/>
              </w:rPr>
              <m:t>VAP</m:t>
            </m:r>
          </m:sub>
        </m:sSub>
      </m:oMath>
      <w:r w:rsidRPr="00491438">
        <w:t xml:space="preserve"> is the LDL-C values measured with </w:t>
      </w:r>
      <w:proofErr w:type="gramStart"/>
      <w:r w:rsidRPr="00491438">
        <w:t>VAP.</w:t>
      </w:r>
      <w:proofErr w:type="gramEnd"/>
      <w:r w:rsidRPr="00491438">
        <w:t xml:space="preserve"> </w:t>
      </w:r>
    </w:p>
    <w:p w:rsidR="00006BC8" w:rsidRPr="00491438" w:rsidRDefault="00006BC8" w:rsidP="00006BC8">
      <w:pPr>
        <w:spacing w:line="480" w:lineRule="auto"/>
      </w:pPr>
      <w:r w:rsidRPr="00491438">
        <w:tab/>
        <w:t xml:space="preserve">The 4 mmol/L threshold established for the conventionally measured LDL-C value was scaled using the </w:t>
      </w:r>
      <w:proofErr w:type="gramStart"/>
      <w:r w:rsidRPr="00491438">
        <w:t>regression based</w:t>
      </w:r>
      <w:proofErr w:type="gramEnd"/>
      <w:r w:rsidRPr="00491438">
        <w:t xml:space="preserve"> coefficient to estimate the corresponding VAP-measured LDL-C value with </w:t>
      </w:r>
      <m:oMath>
        <m:acc>
          <m:accPr>
            <m:ctrlPr>
              <w:rPr>
                <w:rFonts w:ascii="Cambria Math" w:hAnsi="Cambria Math"/>
                <w:i/>
              </w:rPr>
            </m:ctrlPr>
          </m:accPr>
          <m:e>
            <m:r>
              <w:rPr>
                <w:rFonts w:ascii="Cambria Math" w:hAnsi="Cambria Math"/>
              </w:rPr>
              <m:t>β</m:t>
            </m:r>
          </m:e>
        </m:acc>
      </m:oMath>
      <w:r w:rsidRPr="00491438">
        <w:t xml:space="preserve"> = 0.98 and </w:t>
      </w:r>
      <m:oMath>
        <m:acc>
          <m:accPr>
            <m:ctrlPr>
              <w:rPr>
                <w:rFonts w:ascii="Cambria Math" w:hAnsi="Cambria Math"/>
                <w:i/>
              </w:rPr>
            </m:ctrlPr>
          </m:accPr>
          <m:e>
            <m:r>
              <w:rPr>
                <w:rFonts w:ascii="Cambria Math" w:hAnsi="Cambria Math"/>
              </w:rPr>
              <m:t>μ</m:t>
            </m:r>
          </m:e>
        </m:acc>
      </m:oMath>
      <w:r w:rsidRPr="00491438">
        <w:t xml:space="preserve"> = 0.54. A conversion factor of 38.67 was used to convert the LDL-C mmol/L value to mg/dl. The corresponding VAP threshold was set at 136 mg/dl. In case LDL-C values were available from both platforms, the conventionally measured value was used. The effect of statin treatment in individuals, who had self-reported use at baseline or at appointment lipid measurement, was taken into account by dividing LDL-C value by 0.7, as implemented previously</w:t>
      </w:r>
      <w:r w:rsidRPr="00491438">
        <w:fldChar w:fldCharType="begin" w:fldLock="1"/>
      </w:r>
      <w:r w:rsidR="00C231C8" w:rsidRPr="00491438">
        <w:instrText>ADDIN CSL_CITATION { "citationItems" : [ { "id" : "ITEM-1", "itemData" : { "DOI" : "10.1016/j.ajhg.2014.01.009", "ISBN" : "1537-6605 (Electronic)\\r0002-9297 (Linking)", "ISSN" : "00029297", "PMID" : "24507774", "abstract" : "Low-frequency coding DNA sequence variants in the proprotein convertase subtilisin/kexin type 9 gene (PCSK9) lower plasma low-density lipoprotein cholesterol (LDL-C), protect against risk of coronary heart disease (CHD), and have prompted the development of a new class of therapeutics. It is uncertain whether the PCSK9 example represents a paradigm or an isolated exception. We used the \"Exome Array\" to genotype &gt;200,000 low-frequency and rare coding sequence variants across the genome in 56,538 individuals (42,208 European ancestry [EA] and 14,330 African ancestry [AA]) and tested these variants for association with LDL-C, high-density lipoprotein cholesterol (HDL-C), and triglycerides. Although we did not identify new genes associated with LDL-C, we did identify four low-frequency (frequencies between 0.1% and 2%) variants (ANGPTL8 rs145464906 [c.361C&gt;T; p.Gln121-], PAFAH1B2 rs186808413 [c.482C&gt;T; p.Ser161Leu], COL18A1 rs114139997 [c.331G&gt;A; p.Gly111Arg], and PCSK7 rs142953140 [c.1511G&gt;A; p.Arg504His]) with large effects on HDL-C and/or triglycerides. None of these four variants was associated with risk for CHD, suggesting that examples of low-frequency coding variants with robust effects on both lipids and CHD will be limited. \u00a9 2014 The American Society of Human Genetics.", "author" : [ { "dropping-particle" : "", "family" : "Peloso", "given" : "Gina M.", "non-dropping-particle" : "", "parse-names" : false, "suffix" : "" }, { "dropping-particle" : "", "family" : "Auer", "given" : "Paul L.", "non-dropping-particle" : "", "parse-names" : false, "suffix" : "" }, { "dropping-particle" : "", "family" : "Bis", "given" : "Joshua C.", "non-dropping-particle" : "", "parse-names" : false, "suffix" : "" }, { "dropping-particle" : "", "family" : "Voorman", "given" : "Arend", "non-dropping-particle" : "", "parse-names" : false, "suffix" : "" }, { "dropping-particle" : "", "family" : "Morrison", "given" : "Alanna C.", "non-dropping-particle" : "", "parse-names" : false, "suffix" : "" }, { "dropping-particle" : "", "family" : "Stitziel", "given" : "Nathan O.", "non-dropping-particle" : "", "parse-names" : false, "suffix" : "" }, { "dropping-particle" : "", "family" : "Brody", "given" : "Jennifer A.", "non-dropping-particle" : "", "parse-names" : false, "suffix" : "" }, { "dropping-particle" : "", "family" : "Khetarpal", "given" : "Sumeet A.", "non-dropping-particle" : "", "parse-names" : false, "suffix" : "" }, { "dropping-particle" : "", "family" : "Crosby", "given" : "Jacy R.", "non-dropping-particle" : "", "parse-names" : false, "suffix" : "" }, { "dropping-particle" : "", "family" : "Fornage", "given" : "Myriam", "non-dropping-particle" : "", "parse-names" : false, "suffix" : "" }, { "dropping-particle" : "", "family" : "Isaacs", "given" : "Aaron", "non-dropping-particle" : "", "parse-names" : false, "suffix" : "" }, { "dropping-particle" : "", "family" : "Jakobsdottir", "given" : "Johanna", "non-dropping-particle" : "", "parse-names" : false, "suffix" : "" }, { "dropping-particle" : "", "family" : "Feitosa", "given" : "Mary F.", "non-dropping-particle" : "", "parse-names" : false, "suffix" : "" }, { "dropping-particle" : "", "family" : "Davies", "given" : "Gail", "non-dropping-particle" : "", "parse-names" : false, "suffix" : "" }, { "dropping-particle" : "", "family" : "Huffman", "given" : "Jennifer E.", "non-dropping-particle" : "", "parse-names" : false, "suffix" : "" }, { "dropping-particle" : "", "family" : "Manichaikul", "given" : "Ani", "non-dropping-particle" : "", "parse-names" : false, "suffix" : "" }, { "dropping-particle" : "", "family" : "Davis", "given" : "Brian", "non-dropping-particle" : "", "parse-names" : false, "suffix" : "" }, { "dropping-particle" : "", "family" : "Lohman", "given" : "Kurt", "non-dropping-particle" : "", "parse-names" : false, "suffix" : "" }, { "dropping-particle" : "", "family" : "Joon", "given" : "Aron Y.", "non-dropping-particle" : "", "parse-names" : false, "suffix" : "" }, { "dropping-particle" : "V.", "family" : "Smith", "given" : "Albert", "non-dropping-particle" : "", "parse-names" : false, "suffix" : "" }, { "dropping-particle" : "", "family" : "Grove", "given" : "Megan L.", "non-dropping-particle" : "", "parse-names" : false, "suffix" : "" }, { "dropping-particle" : "", "family" : "Zanoni", "given" : "Paolo", "non-dropping-particle" : "", "parse-names" : false, "suffix" : "" }, { "dropping-particle" : "", "family" : "Redon", "given" : "Valeska", "non-dropping-particle" : "", "parse-names" : false, "suffix" : "" }, { "dropping-particle" : "", "family" : "Demissie", "given" : "Serkalem", "non-dropping-particle" : "", "parse-names" : false, "suffix" : "" }, { "dropping-particle" : "", "family" : "Lawson", "given" : "Kim", "non-dropping-particle" : "", "parse-names" : false, "suffix" : "" }, { "dropping-particle" : "", "family" : "Peters", "given" : "Ulrike", "non-dropping-particle" : "", "parse-names" : false, "suffix" : "" }, { "dropping-particle" : "", "family" : "Carlson", "given" : "Christopher", "non-dropping-particle" : "", "parse-names" : false, "suffix" : "" }, { "dropping-particle" : "", "family" : "Jackson", "given" : "Rebecca D.", "non-dropping-particle" : "", "parse-names" : false, "suffix" : "" }, { "dropping-particle" : "", "family" : "Ryckman", "given" : "Kelli K.", "non-dropping-particle" : "", "parse-names" : false, "suffix" : "" }, { "dropping-particle" : "", "family" : "MacKey", "given" : "Rachel H.", "non-dropping-particle" : "", "parse-names" : false, "suffix" : "" }, { "dropping-particle" : "", "family" : "Robinson", "given" : "Jennifer G.", "non-dropping-particle" : "", "parse-names" : false, "suffix" : "" }, { "dropping-particle" : "", "family" : "Siscovick", "given" : "David S.", "non-dropping-particle" : "", "parse-names" : false, "suffix" : "" }, { "dropping-particle" : "", "family" : "Schreiner", "given" : "Pamela J.", "non-dropping-particle" : "", "parse-names" : false, "suffix" : "" }, { "dropping-particle" : "", "family" : "Mychaleckyj", "given" : "Josyf C.", "non-dropping-particle" : "", "parse-names" : false, "suffix" : "" }, { "dropping-particle" : "", "family" : "Pankow", "given" : "James S.", "non-dropping-particle" : "", "parse-names" : false, "suffix" : "" }, { "dropping-particle" : "", "family" : "Hofman", "given" : "Albert", "non-dropping-particle" : "", "parse-names" : false, "suffix" : "" }, { "dropping-particle" : "", "family" : "Uitterlinden", "given" : "Andre G.", "non-dropping-particle" : "", "parse-names" : false, "suffix" : "" }, { "dropping-particle" : "", "family" : "Harris", "given" : "Tamara B.", "non-dropping-particle" : "", "parse-names" : false, "suffix" : "" }, { "dropping-particle" : "", "family" : "Taylor", "given" : "Kent D.", "non-dropping-particle" : "", "parse-names" : false, "suffix" : "" }, { "dropping-particle" : "", "family" : "Stafford", "given" : "Jeanette M.", "non-dropping-particle" : "", "parse-names" : false, "suffix" : "" }, { "dropping-particle" : "", "family" : "Reynolds", "given" : "Lindsay M.", "non-dropping-particle" : "", "parse-names" : false, "suffix" : "" }, { "dropping-particle" : "", "family" : "Marioni", "given" : "Riccardo E.", "non-dropping-particle" : "", "parse-names" : false, "suffix" : "" }, { "dropping-particle" : "", "family" : "Dehghan", "given" : "Abbas", "non-dropping-particle" : "", "parse-names" : false, "suffix" : "" }, { "dropping-particle" : "", "family" : "Franco", "given" : "Oscar H.", "non-dropping-particle" : "", "parse-names" : false, "suffix" : "" }, { "dropping-particle" : "", "family" : "Patel", "given" : "Aniruddh P.", "non-dropping-particle" : "", "parse-names" : false, "suffix" : "" }, { "dropping-particle" : "", "family" : "Lu", "given" : "Yingchang", "non-dropping-particle" : "", "parse-names" : false, "suffix" : "" }, { "dropping-particle" : "", "family" : "Hindy", "given" : "George", "non-dropping-particle" : "", "parse-names" : false, "suffix" : "" }, { "dropping-particle" : "", "family" : "Gottesman", "given" : "Omri", "non-dropping-particle" : "", "parse-names" : false, "suffix" : "" }, { "dropping-particle" : "", "family" : "Bottinger", "given" : "Erwin P.", "non-dropping-particle" : "", "parse-names" : false, "suffix" : "" }, { "dropping-particle" : "", "family" : "Melander", "given" : "Olle", "non-dropping-particle" : "", "parse-names" : false, "suffix" : "" }, { "dropping-particle" : "", "family" : "Orho-Melander", "given" : "Marju", "non-dropping-particle" : "", "parse-names" : false, "suffix" : "" }, { "dropping-particle" : "", "family" : "Loos", "given" : "Ruth J.F.", "non-dropping-particle" : "", "parse-names" : false, "suffix" : "" }, { "dropping-particle" : "", "family" : "Duga", "given" : "Stefano", "non-dropping-particle" : "", "parse-names" : false, "suffix" : "" }, { "dropping-particle" : "", "family" : "Merlini", "given" : "Piera Angelica", "non-dropping-particle" : "", "parse-names" : false, "suffix" : "" }, { "dropping-particle" : "", "family" : "Farrall", "given" : "Martin", "non-dropping-particle" : "", "parse-names" : false, "suffix" : "" }, { "dropping-particle" : "", "family" : "Goel", "given" : "Anuj", "non-dropping-particle" : "", "parse-names" : false, "suffix" : "" }, { "dropping-particle" : "", "family" : "Asselta", "given" : "Rosanna", "non-dropping-particle" : "", "parse-names" : false, "suffix" : "" }, { "dropping-particle" : "", "family" : "Girelli", "given" : "Domenico", "non-dropping-particle" : "", "parse-names" : false, "suffix" : "" }, { "dropping-particle" : "", "family" : "Martinelli", "given" : "Nicola", "non-dropping-particle" : "", "parse-names" : false, "suffix" : "" }, { "dropping-particle" : "", "family" : "Shah", "given" : "Svati H.", "non-dropping-particle" : "", "parse-names" : false, "suffix" : "" }, { "dropping-particle" : "", "family" : "Kraus", "given" : "William E.", "non-dropping-particle" : "", "parse-names" : false, "suffix" : "" }, { "dropping-particle" : "", "family" : "Li", "given" : "Mingyao", "non-dropping-particle" : "", "parse-names" : false, "suffix" : "" }, { "dropping-particle" : "", "family" : "Rader", "given" : "Daniel J.", "non-dropping-particle" : "", "parse-names" : false, "suffix" : "" }, { "dropping-particle" : "", "family" : "Reilly", "given" : "Muredach P.", "non-dropping-particle" : "", "parse-names" : false, "suffix" : "" }, { "dropping-particle" : "", "family" : "McPherson", "given" : "Ruth", "non-dropping-particle" : "", "parse-names" : false, "suffix" : "" }, { "dropping-particle" : "", "family" : "Watkins", "given" : "Hugh", "non-dropping-particle" : "", "parse-names" : false, "suffix" : "" }, { "dropping-particle" : "", "family" : "Ardissino", "given" : "Diego", "non-dropping-particle" : "", "parse-names" : false, "suffix" : "" }, { "dropping-particle" : "", "family" : "Zhang", "given" : "Qunyuan", "non-dropping-particle" : "", "parse-names" : false, "suffix" : "" }, { "dropping-particle" : "", "family" : "Wang", "given" : "Judy", "non-dropping-particle" : "", "parse-names" : false, "suffix" : "" }, { "dropping-particle" : "", "family" : "Tsai", "given" : "Michael Y.", "non-dropping-particle" : "", "parse-names" : false, "suffix" : "" }, { "dropping-particle" : "", "family" : "Taylor", "given" : "Herman A.", "non-dropping-particle" : "", "parse-names" : false, "suffix" : "" }, { "dropping-particle" : "", "family" : "Correa", "given" : "Adolfo", "non-dropping-particle" : "", "parse-names" : false, "suffix" : "" }, { "dropping-particle" : "", "family" : "Griswold", "given" : "Michael E.", "non-dropping-particle" : "", "parse-names" : false, "suffix" : "" }, { "dropping-particle" : "", "family" : "Lange", "given" : "Leslie A.", "non-dropping-particle" : "", "parse-names" : false, "suffix" : "" }, { "dropping-particle" : "", "family" : "Starr", "given" : "John M.", "non-dropping-particle" : "", "parse-names" : false, "suffix" : "" }, { "dropping-particle" : "", "family" : "Rudan", "given" : "Igor", "non-dropping-particle" : "", "parse-names" : false, "suffix" : "" }, { "dropping-particle" : "", "family" : "Eiriksdottir", "given" : "Gudny", "non-dropping-particle" : "", "parse-names" : false, "suffix" : "" }, { "dropping-particle" : "", "family" : "Launer", "given" : "Lenore J.", "non-dropping-particle" : "", "parse-names" : false, "suffix" : "" }, { "dropping-particle" : "", "family" : "Ordovas", "given" : "Jose M.", "non-dropping-particle" : "", "parse-names" : false, "suffix" : "" }, { "dropping-particle" : "", "family" : "Levy", "given" : "Daniel", "non-dropping-particle" : "", "parse-names" : false, "suffix" : "" }, { "dropping-particle" : "", "family" : "Chen", "given" : "Y. D.Ida", "non-dropping-particle" : "", "parse-names" : false, "suffix" : "" }, { "dropping-particle" : "", "family" : "Reiner", "given" : "Alexander P.", "non-dropping-particle" : "", "parse-names" : false, "suffix" : "" }, { "dropping-particle" : "", "family" : "Hayward", "given" : "Caroline", "non-dropping-particle" : "", "parse-names" : false, "suffix" : "" }, { "dropping-particle" : "", "family" : "Polasek", "given" : "Ozren", "non-dropping-particle" : "", "parse-names" : false, "suffix" : "" }, { "dropping-particle" : "", "family" : "Deary", "given" : "Ian J.", "non-dropping-particle" : "", "parse-names" : false, "suffix" : "" }, { "dropping-particle" : "", "family" : "Borecki", "given" : "Ingrid B.", "non-dropping-particle" : "", "parse-names" : false, "suffix" : "" }, { "dropping-particle" : "", "family" : "Liu", "given" : "Yongmei", "non-dropping-particle" : "", "parse-names" : false, "suffix" : "" }, { "dropping-particle" : "", "family" : "Gudnason", "given" : "Vilmundur", "non-dropping-particle" : "", "parse-names" : false, "suffix" : "" }, { "dropping-particle" : "", "family" : "Wilson", "given" : "James G.", "non-dropping-particle" : "", "parse-names" : false, "suffix" : "" }, { "dropping-particle" : "", "family" : "Duijn", "given" : "Cornelia M.", "non-dropping-particle" : "Van", "parse-names" : false, "suffix" : "" }, { "dropping-particle" : "", "family" : "Kooperberg", "given" : "Charles", "non-dropping-particle" : "", "parse-names" : false, "suffix" : "" }, { "dropping-particle" : "", "family" : "Rich", "given" : "Stephen S.", "non-dropping-particle" : "", "parse-names" : false, "suffix" : "" }, { "dropping-particle" : "", "family" : "Psaty", "given" : "Bruce M.", "non-dropping-particle" : "", "parse-names" : false, "suffix" : "" }, { "dropping-particle" : "", "family" : "Rotter", "given" : "Jerome I.", "non-dropping-particle" : "", "parse-names" : false, "suffix" : "" }, { "dropping-particle" : "", "family" : "O'Donnell", "given" : "Christopher J.", "non-dropping-particle" : "", "parse-names" : false, "suffix" : "" }, { "dropping-particle" : "", "family" : "Rice", "given" : "Kenneth", "non-dropping-particle" : "", "parse-names" : false, "suffix" : "" }, { "dropping-particle" : "", "family" : "Boerwinkle", "given" : "Eric", "non-dropping-particle" : "", "parse-names" : false, "suffix" : "" }, { "dropping-particle" : "", "family" : "Kathiresan", "given" : "Sekar", "non-dropping-particle" : "", "parse-names" : false, "suffix" : "" }, { "dropping-particle" : "", "family" : "Cupples", "given" : "L. Adrienne", "non-dropping-particle" : "", "parse-names" : false, "suffix" : "" } ], "container-title" : "American Journal of Human Genetics", "id" : "ITEM-1", "issue" : "2", "issued" : { "date-parts" : [ [ "2014" ] ] }, "page" : "223-232", "publisher" : "The American Society of Human Genetics", "title" : "Association of low-frequency and rare coding-sequence variants with blood lipids and coronary heart disease in 56,000 whites and blacks", "type" : "article-journal", "volume" : "94" }, "uris" : [ "http://www.mendeley.com/documents/?uuid=f3f7a174-3550-4ae0-a043-0a65efe7cf6e" ] } ], "mendeley" : { "formattedCitation" : "&lt;sup&gt;22&lt;/sup&gt;", "plainTextFormattedCitation" : "22", "previouslyFormattedCitation" : "&lt;sup&gt;22&lt;/sup&gt;" }, "properties" : { "noteIndex" : 0 }, "schema" : "https://github.com/citation-style-language/schema/raw/master/csl-citation.json" }</w:instrText>
      </w:r>
      <w:r w:rsidRPr="00491438">
        <w:fldChar w:fldCharType="separate"/>
      </w:r>
      <w:r w:rsidR="00C231C8" w:rsidRPr="00491438">
        <w:rPr>
          <w:noProof/>
          <w:vertAlign w:val="superscript"/>
        </w:rPr>
        <w:t>22</w:t>
      </w:r>
      <w:r w:rsidRPr="00491438">
        <w:fldChar w:fldCharType="end"/>
      </w:r>
      <w:r w:rsidRPr="00491438">
        <w:t xml:space="preserve"> (termed "statin-adjusted"). The LDL-C level in four individuals carrying </w:t>
      </w:r>
      <w:r w:rsidRPr="00491438">
        <w:rPr>
          <w:i/>
        </w:rPr>
        <w:t>APOB</w:t>
      </w:r>
      <w:r w:rsidRPr="00491438">
        <w:t xml:space="preserve"> variant </w:t>
      </w:r>
      <w:proofErr w:type="gramStart"/>
      <w:r w:rsidRPr="00491438">
        <w:t>p.Arg</w:t>
      </w:r>
      <w:proofErr w:type="gramEnd"/>
      <w:r w:rsidRPr="00491438">
        <w:t xml:space="preserve">3527Gln or </w:t>
      </w:r>
      <w:r w:rsidRPr="00491438">
        <w:rPr>
          <w:i/>
        </w:rPr>
        <w:t>LDLR</w:t>
      </w:r>
      <w:r w:rsidRPr="00491438">
        <w:t xml:space="preserve"> variant p.Arg115Cys, p.His250Arg or p.Gly396Ala did not exceed the determined LDL-C threshold. However, the former two have previously been associated with FH</w:t>
      </w:r>
      <w:r w:rsidRPr="00491438">
        <w:fldChar w:fldCharType="begin" w:fldLock="1"/>
      </w:r>
      <w:r w:rsidR="00C231C8" w:rsidRPr="00491438">
        <w:instrText>ADDIN CSL_CITATION { "citationItems" : [ { "id" : "ITEM-1", "itemData" : { "DOI" : "10.1002/humu.20256", "ISBN" : "1098-1004 (Electronic)\\r1059-7794 (Linking)", "ISSN" : "10597794", "PMID" : "16250003", "abstract" : "Autosomal-dominant hypercholesterolemia (ADH) has been identified as a major risk factor for coronary vascular disease (CVD) and is associated with mutations in the low-density lipoprotein receptor (LDLR) and the apolipoprotein B (APOB) gene. Since 1991 DNA samples from clinically diagnosed ADH patients have been routinely analyzed for the presence of LDLR and APOB gene mutations. As of 2001, 1,641 index patients (164 index patients per year) had been identified, while from 2001 onward a more sensitive, high-throughput system was used, resulting in the identification of 1,177 new index patients (average=294 index patients per year). Of these 1,177 index cases, 131 different causative genetic variants in the LDLR gene and six different causative mutations in the APOB gene were new for the Dutch population. Of these 131 mutations, 83 LDLR and four APOB gene mutations had not been reported before. The inclusion of all 2,818 index cases into the national screening program for familial hypercholesterolemia (FH) resulted in the identification of 7,079 relatives who carried a mutation that causes ADH. Screening of the LDLR and APOB genes in clinically diagnosed FH patients resulted in approximately 77% of the patients being identified as carriers of a causative mutation. The population of patients with ADH was divided into three genetically distinct groups: carriers of an LDLR mutation (FH), carriers of an APOB mutation (FDB), and non-LDLR/non-APOB patients (FH3). No differences were found with regard to untreated cholesterol levels, response to therapy, and onset of CVD. However, all groups were at an increased risk for CVD. Therefore, to ultimately identify all individuals with ADH, the identification of new genes and mutations in the genes that cause ADH is of crucial importance for the ongoing national program to identify patients with ADH by genetic cascade screening.", "author" : [ { "dropping-particle" : "", "family" : "Fouchier", "given" : "Sigrid W.", "non-dropping-particle" : "", "parse-names" : false, "suffix" : "" }, { "dropping-particle" : "", "family" : "Kastelein", "given" : "John J.P.", "non-dropping-particle" : "", "parse-names" : false, "suffix" : "" }, { "dropping-particle" : "", "family" : "Defesche", "given" : "Joep C.", "non-dropping-particle" : "", "parse-names" : false, "suffix" : "" } ], "container-title" : "Human Mutation", "id" : "ITEM-1", "issue" : "6", "issued" : { "date-parts" : [ [ "2005" ] ] }, "page" : "550-556", "title" : "Update of the molecular basis of familial hypercholesterolemia in The Netherlands", "type" : "article-journal", "volume" : "26" }, "uris" : [ "http://www.mendeley.com/documents/?uuid=9e4ff8b9-1878-44a0-b583-5253da20fb8d" ] } ], "mendeley" : { "formattedCitation" : "&lt;sup&gt;23&lt;/sup&gt;", "plainTextFormattedCitation" : "23", "previouslyFormattedCitation" : "&lt;sup&gt;23&lt;/sup&gt;" }, "properties" : { "noteIndex" : 32 }, "schema" : "https://github.com/citation-style-language/schema/raw/master/csl-citation.json" }</w:instrText>
      </w:r>
      <w:r w:rsidRPr="00491438">
        <w:fldChar w:fldCharType="separate"/>
      </w:r>
      <w:r w:rsidR="00C231C8" w:rsidRPr="00491438">
        <w:rPr>
          <w:noProof/>
          <w:vertAlign w:val="superscript"/>
        </w:rPr>
        <w:t>23</w:t>
      </w:r>
      <w:r w:rsidRPr="00491438">
        <w:fldChar w:fldCharType="end"/>
      </w:r>
      <w:r w:rsidRPr="00491438">
        <w:t xml:space="preserve"> and are reported in NCBI-ClinVar</w:t>
      </w:r>
      <w:r w:rsidRPr="00491438">
        <w:fldChar w:fldCharType="begin" w:fldLock="1"/>
      </w:r>
      <w:r w:rsidR="00C231C8" w:rsidRPr="00491438">
        <w:instrText>ADDIN CSL_CITATION { "citationItems" : [ { "id" : "ITEM-1", "itemData" : { "DOI" : "10.1093/nar/gkt1113", "ISSN" : "0305-1048", "abstract" : "ClinVar (http://www.ncbi.nlm.nih.gov/clinvar/) provides a freely available archive of reports of relationships among medically important variants and phenotypes. ClinVar accessions submissions reporting human variation, interpretations of the relationship of that variation to human health and the evidence supporting each interpretation. The database is tightly coupled with dbSNP and dbVar, which maintain information about the location of variation on human assemblies. ClinVar is also based on the phenotypic descriptions maintained in MedGen (http://www.ncbi.nlm.nih.gov/medgen). Each ClinVar record represents the submitter, the variation and the phenotype, i.e. the unit that is assigned an accession of the format SCV000000000.0. The submitter can update the submission at any time, in which case a new version is assigned. To facilitate evaluation of the medical importance of each variant, ClinVar aggregates submissions with the same variation/phenotype combination, adds value from other NCBI databases, assigns a distinct accession of the format RCV000000000.0 and reports if there are conflicting clinical interpretations. Data in ClinVar are available in multiple formats, including html, download as XML, VCF or tab-delimited subsets. Data from ClinVar are provided as annotation tracks on genomic RefSeqs and are used in tools such as Variation Reporter (http://www.ncbi.nlm.nih.gov/variation/tools/reporter), which reports what is known about variation based on user-supplied locations. ", "author" : [ { "dropping-particle" : "", "family" : "Landrum", "given" : "Melissa J", "non-dropping-particle" : "", "parse-names" : false, "suffix" : "" }, { "dropping-particle" : "", "family" : "Lee", "given" : "Jennifer M", "non-dropping-particle" : "", "parse-names" : false, "suffix" : "" }, { "dropping-particle" : "", "family" : "Riley", "given" : "George R", "non-dropping-particle" : "", "parse-names" : false, "suffix" : "" }, { "dropping-particle" : "", "family" : "Jang", "given" : "Wonhee", "non-dropping-particle" : "", "parse-names" : false, "suffix" : "" }, { "dropping-particle" : "", "family" : "Rubinstein", "given" : "Wendy S", "non-dropping-particle" : "", "parse-names" : false, "suffix" : "" }, { "dropping-particle" : "", "family" : "Church", "given" : "Deanna M", "non-dropping-particle" : "", "parse-names" : false, "suffix" : "" }, { "dropping-particle" : "", "family" : "Maglott", "given" : "Donna R", "non-dropping-particle" : "", "parse-names" : false, "suffix" : "" } ], "container-title" : "Nucleic Acids Research", "id" : "ITEM-1", "issue" : "Database issue", "issued" : { "date-parts" : [ [ "2014", "1", "1" ] ] }, "page" : "D980-D985", "publisher" : "Oxford University Press", "title" : "ClinVar: public archive of relationships among sequence variation and human phenotype", "type" : "article-journal", "volume" : "42" }, "uris" : [ "http://www.mendeley.com/documents/?uuid=ed982342-76b3-48cc-9485-47903a7a002e" ] } ], "mendeley" : { "formattedCitation" : "&lt;sup&gt;18&lt;/sup&gt;", "plainTextFormattedCitation" : "18", "previouslyFormattedCitation" : "&lt;sup&gt;18&lt;/sup&gt;" }, "properties" : { "noteIndex" : 6 }, "schema" : "https://github.com/citation-style-language/schema/raw/master/csl-citation.json" }</w:instrText>
      </w:r>
      <w:r w:rsidRPr="00491438">
        <w:fldChar w:fldCharType="separate"/>
      </w:r>
      <w:r w:rsidR="00C231C8" w:rsidRPr="00491438">
        <w:rPr>
          <w:noProof/>
          <w:vertAlign w:val="superscript"/>
        </w:rPr>
        <w:t>18</w:t>
      </w:r>
      <w:r w:rsidRPr="00491438">
        <w:fldChar w:fldCharType="end"/>
      </w:r>
      <w:r w:rsidRPr="00491438">
        <w:t xml:space="preserve">. The pathogenicity estimations based on </w:t>
      </w:r>
      <w:r w:rsidRPr="00491438">
        <w:rPr>
          <w:i/>
        </w:rPr>
        <w:t>in silico</w:t>
      </w:r>
      <w:r w:rsidRPr="00491438">
        <w:t xml:space="preserve"> prediction algorithms of the latter two novel variants hinted at possible linkage with the disease and merited, therefore, further investigation (</w:t>
      </w:r>
      <w:r w:rsidRPr="00491438">
        <w:rPr>
          <w:b/>
        </w:rPr>
        <w:t>Table S3, Table S4</w:t>
      </w:r>
      <w:r w:rsidRPr="00491438">
        <w:t>).</w:t>
      </w:r>
    </w:p>
    <w:p w:rsidR="00006BC8" w:rsidRPr="00491438" w:rsidRDefault="00006BC8" w:rsidP="00006BC8">
      <w:pPr>
        <w:spacing w:line="480" w:lineRule="auto"/>
        <w:rPr>
          <w:b/>
        </w:rPr>
      </w:pPr>
      <w:r w:rsidRPr="00491438">
        <w:rPr>
          <w:b/>
        </w:rPr>
        <w:lastRenderedPageBreak/>
        <w:t xml:space="preserve">Phenotype-based inquiry of FH cases at EGCUT </w:t>
      </w:r>
    </w:p>
    <w:p w:rsidR="00006BC8" w:rsidRPr="00491438" w:rsidRDefault="00006BC8" w:rsidP="00006BC8">
      <w:pPr>
        <w:spacing w:line="480" w:lineRule="auto"/>
      </w:pPr>
      <w:r w:rsidRPr="00491438">
        <w:tab/>
        <w:t>To ascertain whether any individuals had a record of clinically diagnosed FH at EGCUT, an additional search was conducted based on the phenotype data available within the biobank, collected at recruitment of the participants and linked EHRs, including national EHRs, hospitals’ electronic records and national health insurance fund database. No specific diagnosis code to differentiate FH from other forms of hypercholesterolemia existed in the International Classification of Diseases, Tenth Revision (ICD-10) prior to October 2016</w:t>
      </w:r>
      <w:r w:rsidRPr="00491438">
        <w:rPr>
          <w:vertAlign w:val="superscript"/>
        </w:rPr>
        <w:t>58</w:t>
      </w:r>
      <w:r w:rsidRPr="00491438">
        <w:t xml:space="preserve">. To delineate potential FH cases, hospital records and lipid measurements available at the Estonian Biobank were examined for the following: 1) a record of E78 with the term „familial hypercholesterolemia” documented in hospital clinical notes, and 2) LDL-C level of ≥4.0 mmol/L in conventional clinical, scaled VAP or scaled NMR measurements, statin-adjusted if on treatment. The regression-based coefficients to scale the NMR-based parameter were </w:t>
      </w:r>
      <m:oMath>
        <m:acc>
          <m:accPr>
            <m:ctrlPr>
              <w:rPr>
                <w:rFonts w:ascii="Cambria Math" w:hAnsi="Cambria Math"/>
                <w:i/>
              </w:rPr>
            </m:ctrlPr>
          </m:accPr>
          <m:e>
            <m:r>
              <w:rPr>
                <w:rFonts w:ascii="Cambria Math" w:hAnsi="Cambria Math"/>
              </w:rPr>
              <m:t>β</m:t>
            </m:r>
          </m:e>
        </m:acc>
      </m:oMath>
      <w:r w:rsidRPr="00491438">
        <w:t xml:space="preserve"> = 1.57 and </w:t>
      </w:r>
      <m:oMath>
        <m:acc>
          <m:accPr>
            <m:ctrlPr>
              <w:rPr>
                <w:rFonts w:ascii="Cambria Math" w:hAnsi="Cambria Math"/>
                <w:i/>
              </w:rPr>
            </m:ctrlPr>
          </m:accPr>
          <m:e>
            <m:r>
              <w:rPr>
                <w:rFonts w:ascii="Cambria Math" w:hAnsi="Cambria Math"/>
              </w:rPr>
              <m:t>μ</m:t>
            </m:r>
          </m:e>
        </m:acc>
      </m:oMath>
      <w:r w:rsidRPr="00491438">
        <w:t xml:space="preserve"> = 0.46. Eight individuals, who did not have WGS/WES data available, met these criteria and were subjected to WES at EGCUT. The variant calling and quality control followed the same pipeline as described under WGS and WES sequencing and variant calling. Three out of eight carried FH-associated variants: two an </w:t>
      </w:r>
      <w:r w:rsidRPr="00491438">
        <w:rPr>
          <w:i/>
        </w:rPr>
        <w:t>LDLR</w:t>
      </w:r>
      <w:r w:rsidRPr="00491438">
        <w:t xml:space="preserve"> variant </w:t>
      </w:r>
      <w:proofErr w:type="gramStart"/>
      <w:r w:rsidRPr="00491438">
        <w:t>p.Cys</w:t>
      </w:r>
      <w:proofErr w:type="gramEnd"/>
      <w:r w:rsidRPr="00491438">
        <w:t xml:space="preserve">329Tyr and one an </w:t>
      </w:r>
      <w:r w:rsidRPr="00491438">
        <w:rPr>
          <w:i/>
        </w:rPr>
        <w:t>APOB</w:t>
      </w:r>
      <w:r w:rsidRPr="00491438">
        <w:t xml:space="preserve"> variant p.Arg3527Gln.</w:t>
      </w:r>
    </w:p>
    <w:p w:rsidR="00006BC8" w:rsidRPr="00491438" w:rsidRDefault="00006BC8" w:rsidP="00006BC8">
      <w:pPr>
        <w:spacing w:line="480" w:lineRule="auto"/>
      </w:pPr>
    </w:p>
    <w:p w:rsidR="00006BC8" w:rsidRPr="00491438" w:rsidRDefault="00006BC8" w:rsidP="00006BC8">
      <w:pPr>
        <w:spacing w:line="480" w:lineRule="auto"/>
        <w:rPr>
          <w:b/>
        </w:rPr>
      </w:pPr>
      <w:r w:rsidRPr="00491438">
        <w:rPr>
          <w:b/>
        </w:rPr>
        <w:t>Management of probands</w:t>
      </w:r>
    </w:p>
    <w:p w:rsidR="00006BC8" w:rsidRPr="00491438" w:rsidRDefault="00006BC8" w:rsidP="00006BC8">
      <w:pPr>
        <w:spacing w:line="480" w:lineRule="auto"/>
      </w:pPr>
      <w:r w:rsidRPr="00491438">
        <w:tab/>
        <w:t>Carriers of the FH-associated variants (probands) were contacted via regular mail</w:t>
      </w:r>
      <w:r w:rsidR="00DB18A6" w:rsidRPr="00491438">
        <w:t xml:space="preserve"> </w:t>
      </w:r>
      <w:r w:rsidRPr="00491438">
        <w:t>and upon positive response scheduled for an initial appointment with a clinical genetics specialist (clinical geneticist and/or genetic counsellor) and clinical cardiologist at a cardiology clinic either at Tartu University Hospital or North Estonia Medical Centre (</w:t>
      </w:r>
      <w:r w:rsidRPr="00491438">
        <w:rPr>
          <w:b/>
        </w:rPr>
        <w:t>Figure S1</w:t>
      </w:r>
      <w:r w:rsidRPr="00491438">
        <w:t xml:space="preserve">). </w:t>
      </w:r>
      <w:r w:rsidR="00DB18A6" w:rsidRPr="00491438">
        <w:rPr>
          <w:color w:val="000000" w:themeColor="text1"/>
        </w:rPr>
        <w:t xml:space="preserve">Contact information was retrieved from the Estonian Population Registry that </w:t>
      </w:r>
      <w:r w:rsidR="00DB18A6" w:rsidRPr="00491438">
        <w:rPr>
          <w:color w:val="000000" w:themeColor="text1"/>
          <w:shd w:val="clear" w:color="auto" w:fill="FFFFFF"/>
        </w:rPr>
        <w:t>is periodically linked with the Estonian Biobank data.</w:t>
      </w:r>
      <w:r w:rsidR="00DB18A6" w:rsidRPr="00491438">
        <w:rPr>
          <w:color w:val="538135" w:themeColor="accent6" w:themeShade="BF"/>
          <w:shd w:val="clear" w:color="auto" w:fill="FFFFFF"/>
        </w:rPr>
        <w:t xml:space="preserve"> </w:t>
      </w:r>
      <w:r w:rsidRPr="00491438">
        <w:t xml:space="preserve">Pre-appointment reports were formed based on phenotypic </w:t>
      </w:r>
      <w:r w:rsidRPr="00491438">
        <w:lastRenderedPageBreak/>
        <w:t>information retrieved from baseline data of the biobank collected at recruitment as well as from EHR for clinicians. The average time gap between recruitment to EGCUT and the initial appointment was 8.2 years.</w:t>
      </w:r>
    </w:p>
    <w:p w:rsidR="00006BC8" w:rsidRPr="00491438" w:rsidRDefault="00006BC8" w:rsidP="00006BC8">
      <w:pPr>
        <w:spacing w:line="480" w:lineRule="auto"/>
      </w:pPr>
      <w:r w:rsidRPr="00491438">
        <w:tab/>
        <w:t>At the initial appointment, probands were given the details of the project and signed an informed consent form. Subsequently, the family history of the participant of up to three generations (including the relative’s gender, age and main health issues and, in case of deceased individuals, the age and cause of death) was specified. Additionally, the medical history of the participant, regarding their health-related complaints, chronic and previous diseases, medications and lifestyle habits were collected. Prior statin prescriptions and duration of continuous use were asked in person, and prior prescriptions were additionally specified in the prescription database in EHR to ascertain adherence to statin treatment. Statin intensities were defined according to the 2013 American College of Cardiology/American Heart Association (ACC/AHA) Guideline on the Treatment of Blood Cholesterol to Reduce Atherosclerotic Cardiovascular Risk in Adults</w:t>
      </w:r>
      <w:r w:rsidRPr="00491438">
        <w:fldChar w:fldCharType="begin" w:fldLock="1"/>
      </w:r>
      <w:r w:rsidR="00C231C8" w:rsidRPr="00491438">
        <w:instrText>ADDIN CSL_CITATION { "citationItems" : [ { "id" : "ITEM-1", "itemData" : { "abstract" : "Background\u2014 Coronary artery calcium (CAC) has been demonstrated to be associated with the risk of coronary heart disease. The Multi-Ethnic Study of Atherosclerosis (MESA) provides a unique opportunity to examine the distribution of CAC on the basis of age, gender, and race/ethnicity in a cohort free of clinical cardiovascular disease and treated diabetes. Methods and Results\u2014 MESA is a prospective cohort study designed to investigate subclinical cardiovascular disease in a multiethnic cohort free of clinical cardiovascular disease. The percentiles of the CAC distribution were estimated with nonparametric techniques. Treated diabetics were excluded from analysis. There were 6110 included in the analysis, with 53% female and an average age of 62 years. Men had greater calcium levels than women, and calcium amount and prevalence were steadily higher with increasing age. There were significant differences in calcium by race, and these associations differed across age and gender. For women, whites had the highest percentiles and Hispanics generally had the lowest; in the oldest age group, however, Chinese women had the lowest values. Overall, Chinese and black women were intermediate, with their order dependent on age. For men, whites consistently had the highest percentiles, and Hispanics had the second highest. Blacks were lowest at the younger ages, and Chinese were lowest at the older ages. At the MESA public website (http://www.mesa-nhlbi.org), an interactive form allows one to enter an age, gender, race/ethnicity, and CAC score to obtain a corresponding estimated percentile. Conclusions\u2014 The information provided here can be used to examine whether a patient has a high CAC score relative to others with the same age, gender, and race/ethnicity who do not have clinical cardiovascular disease or treated diabetes. Received August 3, 2005; revision received October 12, 2005; accepted October 31, 2005.", "author" : [ { "dropping-particle" : "", "family" : "McClelland", "given" : "Robyn L", "non-dropping-particle" : "", "parse-names" : false, "suffix" : "" }, { "dropping-particle" : "", "family" : "Chung", "given" : "Hyoju", "non-dropping-particle" : "", "parse-names" : false, "suffix" : "" }, { "dropping-particle" : "", "family" : "Detrano", "given" : "Robert", "non-dropping-particle" : "", "parse-names" : false, "suffix" : "" }, { "dropping-particle" : "", "family" : "Post", "given" : "Wendy", "non-dropping-particle" : "", "parse-names" : false, "suffix" : "" }, { "dropping-particle" : "", "family" : "Kronmal", "given" : "Richard A", "non-dropping-particle" : "", "parse-names" : false, "suffix" : "" } ], "container-title" : "Circulation", "id" : "ITEM-1", "issue" : "1", "issued" : { "date-parts" : [ [ "2006", "1", "3" ] ] }, "page" : "30 LP  - 37", "title" : "Distribution of Coronary Artery Calcium by Race, Gender, and Age", "type" : "article-journal", "volume" : "113" }, "uris" : [ "http://www.mendeley.com/documents/?uuid=9b933d2b-d3e8-49e7-859f-005d85947767" ] } ], "mendeley" : { "formattedCitation" : "&lt;sup&gt;24&lt;/sup&gt;", "plainTextFormattedCitation" : "24", "previouslyFormattedCitation" : "&lt;sup&gt;24&lt;/sup&gt;" }, "properties" : { "noteIndex" : 29 }, "schema" : "https://github.com/citation-style-language/schema/raw/master/csl-citation.json" }</w:instrText>
      </w:r>
      <w:r w:rsidRPr="00491438">
        <w:fldChar w:fldCharType="separate"/>
      </w:r>
      <w:r w:rsidR="00C231C8" w:rsidRPr="00491438">
        <w:rPr>
          <w:noProof/>
          <w:vertAlign w:val="superscript"/>
        </w:rPr>
        <w:t>24</w:t>
      </w:r>
      <w:r w:rsidRPr="00491438">
        <w:fldChar w:fldCharType="end"/>
      </w:r>
      <w:r w:rsidRPr="00491438">
        <w:t xml:space="preserve">. A standard clinical examination including ascertainment of features specific to FH (general status, state of the skin and visible mucosae, presence of </w:t>
      </w:r>
      <w:proofErr w:type="spellStart"/>
      <w:r w:rsidRPr="00491438">
        <w:t>oedema</w:t>
      </w:r>
      <w:proofErr w:type="spellEnd"/>
      <w:r w:rsidRPr="00491438">
        <w:t xml:space="preserve">, tendon xanthomata, </w:t>
      </w:r>
      <w:proofErr w:type="spellStart"/>
      <w:r w:rsidRPr="00491438">
        <w:t>xanthelasmae</w:t>
      </w:r>
      <w:proofErr w:type="spellEnd"/>
      <w:r w:rsidRPr="00491438">
        <w:t xml:space="preserve"> and </w:t>
      </w:r>
      <w:r w:rsidRPr="00491438">
        <w:rPr>
          <w:i/>
        </w:rPr>
        <w:t xml:space="preserve">arcus </w:t>
      </w:r>
      <w:proofErr w:type="spellStart"/>
      <w:r w:rsidRPr="00491438">
        <w:rPr>
          <w:i/>
        </w:rPr>
        <w:t>corneae</w:t>
      </w:r>
      <w:proofErr w:type="spellEnd"/>
      <w:r w:rsidRPr="00491438">
        <w:t>, auscultatory findings, heart rate, measurement of height, weight, waist and hip circumference, electrocardiogram and arterial blood pressure) followed. Finally, 50 ml of fasting blood from a peripheral vein was drawn for biochemical measurements and for a DNA-based confirmation of the genetic finding. The unused DNA and plasma were stored at the biobank.</w:t>
      </w:r>
    </w:p>
    <w:p w:rsidR="00006BC8" w:rsidRPr="00491438" w:rsidRDefault="00006BC8" w:rsidP="00006BC8">
      <w:pPr>
        <w:spacing w:line="480" w:lineRule="auto"/>
      </w:pPr>
      <w:r w:rsidRPr="00491438">
        <w:tab/>
        <w:t>Likelihood of FH was calculated using the "FH score", based on the guidelines in the Consensus Statement of the European Society</w:t>
      </w:r>
      <w:r w:rsidRPr="00491438">
        <w:fldChar w:fldCharType="begin" w:fldLock="1"/>
      </w:r>
      <w:r w:rsidR="00C231C8" w:rsidRPr="00491438">
        <w:instrText>ADDIN CSL_CITATION { "citationItems" : [ { "id" : "ITEM-1", "itemData" : { "DOI" : "10.1093/eurheartj/ehw272", "ISBN" : "1879-1484 (Electronic)\\r0021-9150 (Linking)", "ISSN" : "15229645", "PMID" : "21712404", "abstract" : "Cardiovascular disease (CVD) due to atherosclerosis of the arterial vessel wall and to thrombosis is the foremost cause of premature mortality and of disability-adjusted life years (DALYs) in Europe, and is also increasingly common in developing countries.1 In the European Union, the economic cost of CVD represents annually E192 billion1 in direct and indirect healthcare costs. The main clinical entities are coronary artery disease (CAD), ischaemic stroke, and peripheral arterial disease (PAD). The causes of these CVDs are multifactorial. Some of these factors relate to lifestyles, such as tobacco smoking, lack of physical activity, and dietary habits, and are thus modifiable. Other risk factors are also modifiable, such as elevated blood pressure, type 2 diabetes, and dyslipidaemias, or non-modifiable, such as age and male gender. These guidelines deal with the management of dyslipidaemias as an essential and integral part of CVD prevention. Prevention and treatment of dyslipidaemias should always be considered within the broader framework of CVD prevention, which is addressed in guidelines of the Joint European Societies\u2019 Task forces on CVD prevention in clinical practice.2 \u2013 5 The latest version of these guidelines was published in 20075; an update will become available in 2012. These Joint ESC/European Atherosclerosis Society (EAS) guidelines on the management of dyslipidaemias are complementary to the guidelines on CVD prevention in clinical practice and address not only physicians [e.g. general practitioners (GPs) and cardiologists] interested in CVD prevention, but also specialists from lipid clinics or metabolic units who are dealing with dyslipidaemias that are more difficult to classify and treat.", "author" : [ { "dropping-particle" : "", "family" : "Catapano", "given" : "Alberico L.", "non-dropping-particle" : "", "parse-names" : false, "suffix" : "" }, { "dropping-particle" : "", "family" : "Graham", "given" : "Ian", "non-dropping-particle" : "", "parse-names" : false, "suffix" : "" }, { "dropping-particle" : "", "family" : "Backer", "given" : "Guy", "non-dropping-particle" : "De", "parse-names" : false, "suffix" : "" }, { "dropping-particle" : "", "family" : "Wiklund", "given" : "Olov", "non-dropping-particle" : "", "parse-names" : false, "suffix" : "" }, { "dropping-particle" : "", "family" : "Chapman", "given" : "M. John", "non-dropping-particle" : "", "parse-names" : false, "suffix" : "" }, { "dropping-particle" : "", "family" : "Drexel", "given" : "Heinz", "non-dropping-particle" : "", "parse-names" : false, "suffix" : "" }, { "dropping-particle" : "", "family" : "Hoes", "given" : "Arno W.", "non-dropping-particle" : "", "parse-names" : false, "suffix" : "" }, { "dropping-particle" : "", "family" : "Jennings", "given" : "Catriona S.", "non-dropping-particle" : "", "parse-names" : false, "suffix" : "" }, { "dropping-particle" : "", "family" : "Landmesser", "given" : "Ulf", "non-dropping-particle" : "", "parse-names" : false, "suffix" : "" }, { "dropping-particle" : "", "family" : "Pedersen", "given" : "Terje R.", "non-dropping-particle" : "", "parse-names" : false, "suffix" : "" }, { "dropping-particle" : "", "family" : "Reiner", "given" : "Zeljko", "non-dropping-particle" : "", "parse-names" : false, "suffix" : "" }, { "dropping-particle" : "", "family" : "Riccardi", "given" : "Gabriele", "non-dropping-particle" : "", "parse-names" : false, "suffix" : "" }, { "dropping-particle" : "", "family" : "Taskinen", "given" : "Marja Riita", "non-dropping-particle" : "", "parse-names" : false, "suffix" : "" }, { "dropping-particle" : "", "family" : "Tokgozoglu", "given" : "Lale", "non-dropping-particle" : "", "parse-names" : false, "suffix" : "" }, { "dropping-particle" : "", "family" : "Verschuren", "given" : "W. M.Monique", "non-dropping-particle" : "", "parse-names" : false, "suffix" : "" }, { "dropping-particle" : "", "family" : "Vlachopoulos", "given" : "Charalambos", "non-dropping-particle" : "", "parse-names" : false, "suffix" : "" }, { "dropping-particle" : "", "family" : "Wood", "given" : "David A.", "non-dropping-particle" : "", "parse-names" : false, "suffix" : "" }, { "dropping-particle" : "", "family" : "Zamorano", "given" : "Jose Luis", "non-dropping-particle" : "", "parse-names" : false, "suffix" : "" }, { "dropping-particle" : "", "family" : "Badimon", "given" : "Lina", "non-dropping-particle" : "", "parse-names" : false, "suffix" : "" }, { "dropping-particle" : "", "family" : "Funck-Brentano", "given" : "Christian", "non-dropping-particle" : "", "parse-names" : false, "suffix" : "" }, { "dropping-particle" : "", "family" : "Agewall", "given" : "Stefan", "non-dropping-particle" : "", "parse-names" : false, "suffix" : "" }, { "dropping-particle" : "", "family" : "Bar\u00f3n-Esquivias", "given" : "Gonzalo", "non-dropping-particle" : "", "parse-names" : false, "suffix" : "" }, { "dropping-particle" : "", "family" : "Bor\u00e9n", "given" : "Jan", "non-dropping-particle" : "", "parse-names" : false, "suffix" : "" }, { "dropping-particle" : "", "family" : "Bruckert", "given" : "Eric", "non-dropping-particle" : "", "parse-names" : false, "suffix" : "" }, { "dropping-particle" : "", "family" : "Cordero", "given" : "Alberto", "non-dropping-particle" : "", "parse-names" : false, "suffix" : "" }, { "dropping-particle" : "", "family" : "Corsini", "given" : "Alberto", "non-dropping-particle" : "", "parse-names" : false, "suffix" : "" }, { "dropping-particle" : "", "family" : "Giannuzzi", "given" : "Pantaleo", "non-dropping-particle" : "", "parse-names" : false, "suffix" : "" }, { "dropping-particle" : "", "family" : "Gueyffier", "given" : "Francois", "non-dropping-particle" : "", "parse-names" : false, "suffix" : "" }, { "dropping-particle" : "", "family" : "Krsta\u010di\u0107", "given" : "Goran", "non-dropping-particle" : "", "parse-names" : false, "suffix" : "" }, { "dropping-particle" : "", "family" : "Lettino", "given" : "Maddalena", "non-dropping-particle" : "", "parse-names" : false, "suffix" : "" }, { "dropping-particle" : "", "family" : "Lionis", "given" : "Christos", "non-dropping-particle" : "", "parse-names" : false, "suffix" : "" }, { "dropping-particle" : "", "family" : "Lip", "given" : "Gregory Y.H.", "non-dropping-particle" : "", "parse-names" : false, "suffix" : "" }, { "dropping-particle" : "", "family" : "Marques-Vidal", "given" : "Pedro", "non-dropping-particle" : "", "parse-names" : false, "suffix" : "" }, { "dropping-particle" : "", "family" : "Milicic", "given" : "Davor", "non-dropping-particle" : "", "parse-names" : false, "suffix" : "" }, { "dropping-particle" : "", "family" : "Pedro-Botet", "given" : "Juan", "non-dropping-particle" : "", "parse-names" : false, "suffix" : "" }, { "dropping-particle" : "", "family" : "Piepoli", "given" : "Massimo F.", "non-dropping-particle" : "", "parse-names" : false, "suffix" : "" }, { "dropping-particle" : "", "family" : "Rigopoulos", "given" : "Angelos G.", "non-dropping-particle" : "", "parse-names" : false, "suffix" : "" }, { "dropping-particle" : "", "family" : "Ruschitzka", "given" : "Frank", "non-dropping-particle" : "", "parse-names" : false, "suffix" : "" }, { "dropping-particle" : "", "family" : "Tun\u00f3n", "given" : "Jose", "non-dropping-particle" : "", "parse-names" : false, "suffix" : "" }, { "dropping-particle" : "", "family" : "Eckardstein", "given" : "Arnold", "non-dropping-particle" : "Von", "parse-names" : false, "suffix" : "" }, { "dropping-particle" : "", "family" : "Vrablik", "given" : "Michal", "non-dropping-particle" : "", "parse-names" : false, "suffix" : "" }, { "dropping-particle" : "", "family" : "Weiss", "given" : "Thomas W.", "non-dropping-particle" : "", "parse-names" : false, "suffix" : "" }, { "dropping-particle" : "", "family" : "Williams", "given" : "Bryan", "non-dropping-particle" : "", "parse-names" : false, "suffix" : "" }, { "dropping-particle" : "", "family" : "Windecker", "given" : "Stephan", "non-dropping-particle" : "", "parse-names" : false, "suffix" : "" }, { "dropping-particle" : "", "family" : "Zimlichman", "given" : "Reuven", "non-dropping-particle" : "", "parse-names" : false, "suffix" : "" } ], "container-title" : "European Heart Journal", "id" : "ITEM-1", "issue" : "39", "issued" : { "date-parts" : [ [ "2016" ] ] }, "page" : "2999-3058l", "title" : "2016 ESC/EAS Guidelines for the Management of Dyslipidaemias", "type" : "article-journal", "volume" : "37" }, "uris" : [ "http://www.mendeley.com/documents/?uuid=d36a10f4-1269-43eb-90fc-30f8d8a61ec4" ] } ], "mendeley" : { "formattedCitation" : "&lt;sup&gt;21&lt;/sup&gt;", "plainTextFormattedCitation" : "21", "previouslyFormattedCitation" : "&lt;sup&gt;21&lt;/sup&gt;" }, "properties" : { "noteIndex" : 6 }, "schema" : "https://github.com/citation-style-language/schema/raw/master/csl-citation.json" }</w:instrText>
      </w:r>
      <w:r w:rsidRPr="00491438">
        <w:fldChar w:fldCharType="separate"/>
      </w:r>
      <w:r w:rsidR="00C231C8" w:rsidRPr="00491438">
        <w:rPr>
          <w:noProof/>
          <w:vertAlign w:val="superscript"/>
        </w:rPr>
        <w:t>21</w:t>
      </w:r>
      <w:r w:rsidRPr="00491438">
        <w:fldChar w:fldCharType="end"/>
      </w:r>
      <w:r w:rsidRPr="00491438">
        <w:t xml:space="preserve"> according to the Dutch Lipid Clinic Network</w:t>
      </w:r>
      <w:r w:rsidRPr="00491438">
        <w:fldChar w:fldCharType="begin" w:fldLock="1"/>
      </w:r>
      <w:r w:rsidR="00C231C8" w:rsidRPr="00491438">
        <w:instrText>ADDIN CSL_CITATION { "citationItems" : [ { "id" : "ITEM-1", "itemData" : { "author" : [ { "dropping-particle" : "", "family" : "Defesche JC1, Lansberg PJ, Umans-Eckenhausen MA", "given" : "Kastelein JJ.", "non-dropping-particle" : "", "parse-names" : false, "suffix" : "" } ], "container-title" : "Semin Vasc Med.", "id" : "ITEM-1", "issued" : { "date-parts" : [ [ "2004" ] ] }, "page" : "59-65", "title" : "Advanced method for the identification of patients with inherited hypercholesterolemia.", "type" : "article-journal", "volume" : "Feb;4(1)" }, "uris" : [ "http://www.mendeley.com/documents/?uuid=5c653115-228c-498f-941a-db048dd5fec9" ] } ], "mendeley" : { "formattedCitation" : "&lt;sup&gt;20&lt;/sup&gt;", "plainTextFormattedCitation" : "20", "previouslyFormattedCitation" : "&lt;sup&gt;20&lt;/sup&gt;" }, "properties" : { "noteIndex" : 0 }, "schema" : "https://github.com/citation-style-language/schema/raw/master/csl-citation.json" }</w:instrText>
      </w:r>
      <w:r w:rsidRPr="00491438">
        <w:fldChar w:fldCharType="separate"/>
      </w:r>
      <w:r w:rsidR="00C231C8" w:rsidRPr="00491438">
        <w:rPr>
          <w:noProof/>
          <w:vertAlign w:val="superscript"/>
        </w:rPr>
        <w:t>20</w:t>
      </w:r>
      <w:r w:rsidRPr="00491438">
        <w:fldChar w:fldCharType="end"/>
      </w:r>
      <w:r w:rsidRPr="00491438">
        <w:t xml:space="preserve"> criteria. The score determines the likelihood of an FH diagnosis as unlikely (&lt;3 points), possible (3-5), probable (6-8) or definite (&gt;8) based on the individual’s cardiovascular disease (CVD) history, LDL-C level (statin-adjusted, if needed) at the initial </w:t>
      </w:r>
      <w:r w:rsidRPr="00491438">
        <w:lastRenderedPageBreak/>
        <w:t xml:space="preserve">appointment, physical symptoms (tendinous xanthoma, </w:t>
      </w:r>
      <w:r w:rsidRPr="00491438">
        <w:rPr>
          <w:i/>
        </w:rPr>
        <w:t xml:space="preserve">arcus </w:t>
      </w:r>
      <w:proofErr w:type="spellStart"/>
      <w:r w:rsidRPr="00491438">
        <w:rPr>
          <w:i/>
        </w:rPr>
        <w:t>corneae</w:t>
      </w:r>
      <w:proofErr w:type="spellEnd"/>
      <w:r w:rsidRPr="00491438">
        <w:t>), family history of premature CVD in first degree relatives and presence of an FH-associated variant. The latter was considered in the score only if listed as pathogenic or likely pathogenic in NCBI-</w:t>
      </w:r>
      <w:proofErr w:type="spellStart"/>
      <w:r w:rsidRPr="00491438">
        <w:t>ClinVar</w:t>
      </w:r>
      <w:proofErr w:type="spellEnd"/>
      <w:r w:rsidRPr="00491438">
        <w:t xml:space="preserve"> (</w:t>
      </w:r>
      <w:r w:rsidRPr="00491438">
        <w:rPr>
          <w:b/>
        </w:rPr>
        <w:t>Table S2</w:t>
      </w:r>
      <w:r w:rsidRPr="00491438">
        <w:t xml:space="preserve">). </w:t>
      </w:r>
    </w:p>
    <w:p w:rsidR="00006BC8" w:rsidRPr="00491438" w:rsidRDefault="00006BC8" w:rsidP="00006BC8">
      <w:pPr>
        <w:spacing w:line="480" w:lineRule="auto"/>
        <w:rPr>
          <w:color w:val="000000" w:themeColor="text1"/>
        </w:rPr>
      </w:pPr>
      <w:r w:rsidRPr="00491438">
        <w:tab/>
        <w:t xml:space="preserve">After the feedback, carriers with sub-clinical or clinical ASCVD were kept under further cardiovascular surveillance, and cases without disease manifestation were advised to monitor the lipid levels at their general practitioner's office. All </w:t>
      </w:r>
      <w:r w:rsidR="001A147A" w:rsidRPr="00491438">
        <w:t>probands</w:t>
      </w:r>
      <w:r w:rsidRPr="00491438">
        <w:t xml:space="preserve"> were given recommendations for treatment and lifestyle modifications and referred to other specialists, if applicable. </w:t>
      </w:r>
      <w:r w:rsidR="00CF621E" w:rsidRPr="00491438">
        <w:rPr>
          <w:color w:val="000000" w:themeColor="text1"/>
        </w:rPr>
        <w:t xml:space="preserve">Next, </w:t>
      </w:r>
      <w:r w:rsidR="00CF621E" w:rsidRPr="00491438">
        <w:rPr>
          <w:color w:val="000000" w:themeColor="text1"/>
          <w:shd w:val="clear" w:color="auto" w:fill="FFFFFF"/>
          <w:lang w:val="en-GB"/>
        </w:rPr>
        <w:t xml:space="preserve">the strategy of the screening for the condition, the essence of genetic testing, and privacy, confidentiality and implications of the results to the individual and his/her first- and second-degree relatives were explained. </w:t>
      </w:r>
      <w:r w:rsidR="00CF621E" w:rsidRPr="00491438">
        <w:rPr>
          <w:color w:val="000000" w:themeColor="text1"/>
          <w:lang w:val="en-GB"/>
        </w:rPr>
        <w:t xml:space="preserve">All probands were advised in person by the medical genetics specialist to inform family members of the medical management and implications of the study. They were provided with an information sheet </w:t>
      </w:r>
      <w:r w:rsidR="009249B7" w:rsidRPr="00491438">
        <w:rPr>
          <w:color w:val="000000" w:themeColor="text1"/>
          <w:lang w:val="en-GB"/>
        </w:rPr>
        <w:t xml:space="preserve">of the study </w:t>
      </w:r>
      <w:r w:rsidR="00CF621E" w:rsidRPr="00491438">
        <w:rPr>
          <w:color w:val="000000" w:themeColor="text1"/>
          <w:lang w:val="en-GB"/>
        </w:rPr>
        <w:t xml:space="preserve">and </w:t>
      </w:r>
      <w:r w:rsidR="009249B7" w:rsidRPr="00491438">
        <w:rPr>
          <w:color w:val="000000" w:themeColor="text1"/>
          <w:lang w:val="en-GB"/>
        </w:rPr>
        <w:t xml:space="preserve">biobank's </w:t>
      </w:r>
      <w:r w:rsidR="00CF621E" w:rsidRPr="00491438">
        <w:rPr>
          <w:color w:val="000000" w:themeColor="text1"/>
          <w:lang w:val="en-GB"/>
        </w:rPr>
        <w:t>contact information in written form for engagement of relatives to educate and encourage participation in cascade screening.</w:t>
      </w:r>
    </w:p>
    <w:p w:rsidR="00006BC8" w:rsidRPr="00491438" w:rsidRDefault="00006BC8" w:rsidP="00006BC8">
      <w:pPr>
        <w:spacing w:line="480" w:lineRule="auto"/>
      </w:pPr>
      <w:r w:rsidRPr="00491438">
        <w:tab/>
        <w:t>Relatives reported not to be residing in Estonia, or not able or willing to participate were excluded from further management (referred to as modified cascade). Thus, the number of expected cascades was adjusted during the project based on additional information received on relatives, relatedness between families of probands (adjusting for overlapping cascades), and results of genetic analyses of 1</w:t>
      </w:r>
      <w:r w:rsidRPr="00491438">
        <w:rPr>
          <w:vertAlign w:val="superscript"/>
        </w:rPr>
        <w:t>st</w:t>
      </w:r>
      <w:r w:rsidRPr="00491438">
        <w:t xml:space="preserve"> degree relatives for exclusion of non-carriers among 2</w:t>
      </w:r>
      <w:r w:rsidRPr="00491438">
        <w:rPr>
          <w:vertAlign w:val="superscript"/>
        </w:rPr>
        <w:t>nd</w:t>
      </w:r>
      <w:r w:rsidRPr="00491438">
        <w:t xml:space="preserve"> degree relatives. (</w:t>
      </w:r>
      <w:r w:rsidRPr="00491438">
        <w:rPr>
          <w:b/>
        </w:rPr>
        <w:t>Table S5</w:t>
      </w:r>
      <w:r w:rsidRPr="00491438">
        <w:t>).</w:t>
      </w:r>
    </w:p>
    <w:p w:rsidR="00ED4133" w:rsidRPr="00491438" w:rsidRDefault="00ED4133" w:rsidP="00006BC8">
      <w:pPr>
        <w:spacing w:line="480" w:lineRule="auto"/>
      </w:pPr>
    </w:p>
    <w:p w:rsidR="00006BC8" w:rsidRPr="00491438" w:rsidRDefault="00006BC8" w:rsidP="00006BC8">
      <w:pPr>
        <w:spacing w:line="480" w:lineRule="auto"/>
        <w:rPr>
          <w:b/>
        </w:rPr>
      </w:pPr>
      <w:r w:rsidRPr="00491438">
        <w:rPr>
          <w:b/>
        </w:rPr>
        <w:t>Management of cascade screening</w:t>
      </w:r>
    </w:p>
    <w:p w:rsidR="00006BC8" w:rsidRPr="00491438" w:rsidRDefault="00006BC8" w:rsidP="00006BC8">
      <w:pPr>
        <w:spacing w:line="480" w:lineRule="auto"/>
      </w:pPr>
      <w:r w:rsidRPr="00491438">
        <w:tab/>
        <w:t>The investigation of the 1</w:t>
      </w:r>
      <w:r w:rsidRPr="00491438">
        <w:rPr>
          <w:vertAlign w:val="superscript"/>
        </w:rPr>
        <w:t>st</w:t>
      </w:r>
      <w:r w:rsidRPr="00491438">
        <w:t xml:space="preserve"> and 2</w:t>
      </w:r>
      <w:r w:rsidRPr="00491438">
        <w:rPr>
          <w:vertAlign w:val="superscript"/>
        </w:rPr>
        <w:t>nd</w:t>
      </w:r>
      <w:r w:rsidRPr="00491438">
        <w:t xml:space="preserve"> degree relatives invited to participate in cascade screening followed the same approach as for the probands. </w:t>
      </w:r>
      <w:r w:rsidR="000F1CE8" w:rsidRPr="00491438">
        <w:rPr>
          <w:color w:val="000000" w:themeColor="text1"/>
          <w:lang w:val="en-GB"/>
        </w:rPr>
        <w:t xml:space="preserve">In case of low response rate </w:t>
      </w:r>
      <w:r w:rsidR="000F1CE8" w:rsidRPr="00491438">
        <w:rPr>
          <w:color w:val="000000" w:themeColor="text1"/>
          <w:lang w:val="en-GB"/>
        </w:rPr>
        <w:lastRenderedPageBreak/>
        <w:t xml:space="preserve">within a family, the proband was called once by phone and specified the </w:t>
      </w:r>
      <w:r w:rsidR="009249B7" w:rsidRPr="00491438">
        <w:rPr>
          <w:color w:val="000000" w:themeColor="text1"/>
          <w:lang w:val="en-GB"/>
        </w:rPr>
        <w:t>aim</w:t>
      </w:r>
      <w:r w:rsidR="000F1CE8" w:rsidRPr="00491438">
        <w:rPr>
          <w:color w:val="000000" w:themeColor="text1"/>
          <w:lang w:val="en-GB"/>
        </w:rPr>
        <w:t xml:space="preserve"> of cascade screening and the implications of participation.</w:t>
      </w:r>
      <w:r w:rsidR="001A147A" w:rsidRPr="00491438">
        <w:rPr>
          <w:color w:val="000000" w:themeColor="text1"/>
          <w:lang w:val="en-GB"/>
        </w:rPr>
        <w:t xml:space="preserve"> </w:t>
      </w:r>
      <w:r w:rsidRPr="00491438">
        <w:t>Only those individuals, who carried the variants identified in the family and without prevalent ASCVD, were subjected to instrumental investigations. All relatives were offered feedback on the specified genetic and clinical information and received recommendations for further clinical management at the feedback appointment, if needed (</w:t>
      </w:r>
      <w:r w:rsidRPr="00491438">
        <w:rPr>
          <w:b/>
        </w:rPr>
        <w:t>Figure S1</w:t>
      </w:r>
      <w:r w:rsidRPr="00491438">
        <w:t>).</w:t>
      </w:r>
    </w:p>
    <w:p w:rsidR="00006BC8" w:rsidRPr="00491438" w:rsidRDefault="00006BC8" w:rsidP="00006BC8">
      <w:pPr>
        <w:spacing w:line="480" w:lineRule="auto"/>
      </w:pPr>
      <w:bookmarkStart w:id="1" w:name="_GoBack"/>
      <w:bookmarkEnd w:id="1"/>
    </w:p>
    <w:p w:rsidR="00006BC8" w:rsidRPr="00491438" w:rsidRDefault="00006BC8" w:rsidP="00006BC8">
      <w:pPr>
        <w:spacing w:line="480" w:lineRule="auto"/>
      </w:pPr>
      <w:r w:rsidRPr="00491438">
        <w:t>REFERENCES</w:t>
      </w:r>
    </w:p>
    <w:p w:rsidR="00C231C8" w:rsidRPr="00491438" w:rsidRDefault="00006BC8" w:rsidP="00C231C8">
      <w:pPr>
        <w:widowControl w:val="0"/>
        <w:autoSpaceDE w:val="0"/>
        <w:autoSpaceDN w:val="0"/>
        <w:adjustRightInd w:val="0"/>
        <w:spacing w:line="480" w:lineRule="auto"/>
        <w:ind w:left="640" w:hanging="640"/>
        <w:rPr>
          <w:noProof/>
        </w:rPr>
      </w:pPr>
      <w:r w:rsidRPr="00491438">
        <w:fldChar w:fldCharType="begin" w:fldLock="1"/>
      </w:r>
      <w:r w:rsidRPr="00491438">
        <w:instrText xml:space="preserve">ADDIN Mendeley Bibliography CSL_BIBLIOGRAPHY </w:instrText>
      </w:r>
      <w:r w:rsidRPr="00491438">
        <w:fldChar w:fldCharType="separate"/>
      </w:r>
      <w:r w:rsidR="00C231C8" w:rsidRPr="00491438">
        <w:rPr>
          <w:noProof/>
        </w:rPr>
        <w:t xml:space="preserve">1. </w:t>
      </w:r>
      <w:r w:rsidR="00C231C8" w:rsidRPr="00491438">
        <w:rPr>
          <w:noProof/>
        </w:rPr>
        <w:tab/>
        <w:t xml:space="preserve">Li H, Durbin R. Fast and accurate short read alignment with Burrows-Wheeler transform. </w:t>
      </w:r>
      <w:r w:rsidR="00C231C8" w:rsidRPr="00491438">
        <w:rPr>
          <w:i/>
          <w:iCs/>
          <w:noProof/>
        </w:rPr>
        <w:t>Bioinformatics</w:t>
      </w:r>
      <w:r w:rsidR="00C231C8" w:rsidRPr="00491438">
        <w:rPr>
          <w:noProof/>
        </w:rPr>
        <w:t xml:space="preserve"> 2009;</w:t>
      </w:r>
      <w:r w:rsidR="00C231C8" w:rsidRPr="00491438">
        <w:rPr>
          <w:b/>
          <w:bCs/>
          <w:noProof/>
        </w:rPr>
        <w:t>25</w:t>
      </w:r>
      <w:r w:rsidR="00C231C8" w:rsidRPr="00491438">
        <w:rPr>
          <w:noProof/>
        </w:rPr>
        <w:t xml:space="preserve">:1754–1760. </w:t>
      </w:r>
    </w:p>
    <w:p w:rsidR="00C231C8" w:rsidRPr="00491438" w:rsidRDefault="00C231C8" w:rsidP="00C231C8">
      <w:pPr>
        <w:widowControl w:val="0"/>
        <w:autoSpaceDE w:val="0"/>
        <w:autoSpaceDN w:val="0"/>
        <w:adjustRightInd w:val="0"/>
        <w:spacing w:line="480" w:lineRule="auto"/>
        <w:ind w:left="640" w:hanging="640"/>
        <w:rPr>
          <w:noProof/>
        </w:rPr>
      </w:pPr>
      <w:r w:rsidRPr="00491438">
        <w:rPr>
          <w:noProof/>
        </w:rPr>
        <w:t xml:space="preserve">2. </w:t>
      </w:r>
      <w:r w:rsidRPr="00491438">
        <w:rPr>
          <w:noProof/>
        </w:rPr>
        <w:tab/>
        <w:t>Picard. http://broadinstitute.github.io/picard/</w:t>
      </w:r>
    </w:p>
    <w:p w:rsidR="00C231C8" w:rsidRPr="00491438" w:rsidRDefault="00C231C8" w:rsidP="00C231C8">
      <w:pPr>
        <w:widowControl w:val="0"/>
        <w:autoSpaceDE w:val="0"/>
        <w:autoSpaceDN w:val="0"/>
        <w:adjustRightInd w:val="0"/>
        <w:spacing w:line="480" w:lineRule="auto"/>
        <w:ind w:left="640" w:hanging="640"/>
        <w:rPr>
          <w:noProof/>
        </w:rPr>
      </w:pPr>
      <w:r w:rsidRPr="00491438">
        <w:rPr>
          <w:noProof/>
        </w:rPr>
        <w:t xml:space="preserve">3. </w:t>
      </w:r>
      <w:r w:rsidRPr="00491438">
        <w:rPr>
          <w:noProof/>
        </w:rPr>
        <w:tab/>
      </w:r>
      <w:r w:rsidR="001B5FCE" w:rsidRPr="00491438">
        <w:rPr>
          <w:noProof/>
        </w:rPr>
        <w:t xml:space="preserve">Auwera GA Van Der, Carneiro MO, Hartl C, et al. From FastQ data to high confidence varant calls: the Genonme Analysis Toolkit best practices pipeline. </w:t>
      </w:r>
      <w:r w:rsidR="001B5FCE" w:rsidRPr="00491438">
        <w:rPr>
          <w:i/>
          <w:noProof/>
        </w:rPr>
        <w:t>Curr Protoc Bioinforma</w:t>
      </w:r>
      <w:r w:rsidR="001B5FCE" w:rsidRPr="00491438">
        <w:rPr>
          <w:noProof/>
        </w:rPr>
        <w:t xml:space="preserve"> 2013:</w:t>
      </w:r>
      <w:r w:rsidR="001B5FCE" w:rsidRPr="00491438">
        <w:rPr>
          <w:b/>
          <w:noProof/>
        </w:rPr>
        <w:t>43</w:t>
      </w:r>
      <w:r w:rsidR="001B5FCE" w:rsidRPr="00491438">
        <w:rPr>
          <w:noProof/>
        </w:rPr>
        <w:t xml:space="preserve">:11. </w:t>
      </w:r>
      <w:r w:rsidRPr="00491438">
        <w:rPr>
          <w:noProof/>
        </w:rPr>
        <w:t xml:space="preserve"> </w:t>
      </w:r>
    </w:p>
    <w:p w:rsidR="00C231C8" w:rsidRPr="00491438" w:rsidRDefault="00C231C8" w:rsidP="00C231C8">
      <w:pPr>
        <w:widowControl w:val="0"/>
        <w:autoSpaceDE w:val="0"/>
        <w:autoSpaceDN w:val="0"/>
        <w:adjustRightInd w:val="0"/>
        <w:spacing w:line="480" w:lineRule="auto"/>
        <w:ind w:left="640" w:hanging="640"/>
        <w:rPr>
          <w:noProof/>
        </w:rPr>
      </w:pPr>
      <w:r w:rsidRPr="00491438">
        <w:rPr>
          <w:noProof/>
        </w:rPr>
        <w:t xml:space="preserve">4. </w:t>
      </w:r>
      <w:r w:rsidRPr="00491438">
        <w:rPr>
          <w:noProof/>
        </w:rPr>
        <w:tab/>
        <w:t xml:space="preserve">McKenna A, Hanna M, Banks E, </w:t>
      </w:r>
      <w:r w:rsidR="001B5FCE" w:rsidRPr="00491438">
        <w:rPr>
          <w:noProof/>
        </w:rPr>
        <w:t>et al</w:t>
      </w:r>
      <w:r w:rsidRPr="00491438">
        <w:rPr>
          <w:noProof/>
        </w:rPr>
        <w:t xml:space="preserve">. The Genome Analysis Toolkit: A MapReduce framework for analyzing next-generation DNA sequencing data. </w:t>
      </w:r>
      <w:r w:rsidRPr="00491438">
        <w:rPr>
          <w:i/>
          <w:iCs/>
          <w:noProof/>
        </w:rPr>
        <w:t>Genome Res</w:t>
      </w:r>
      <w:r w:rsidRPr="00491438">
        <w:rPr>
          <w:noProof/>
        </w:rPr>
        <w:t xml:space="preserve"> 2010;</w:t>
      </w:r>
      <w:r w:rsidRPr="00491438">
        <w:rPr>
          <w:b/>
          <w:bCs/>
          <w:noProof/>
        </w:rPr>
        <w:t>20</w:t>
      </w:r>
      <w:r w:rsidRPr="00491438">
        <w:rPr>
          <w:noProof/>
        </w:rPr>
        <w:t xml:space="preserve">:1297–1303. </w:t>
      </w:r>
    </w:p>
    <w:p w:rsidR="00C231C8" w:rsidRPr="00491438" w:rsidRDefault="00C231C8" w:rsidP="00C231C8">
      <w:pPr>
        <w:widowControl w:val="0"/>
        <w:autoSpaceDE w:val="0"/>
        <w:autoSpaceDN w:val="0"/>
        <w:adjustRightInd w:val="0"/>
        <w:spacing w:line="480" w:lineRule="auto"/>
        <w:ind w:left="640" w:hanging="640"/>
        <w:rPr>
          <w:noProof/>
        </w:rPr>
      </w:pPr>
      <w:r w:rsidRPr="00491438">
        <w:rPr>
          <w:noProof/>
        </w:rPr>
        <w:t xml:space="preserve">5. </w:t>
      </w:r>
      <w:r w:rsidRPr="00491438">
        <w:rPr>
          <w:noProof/>
        </w:rPr>
        <w:tab/>
        <w:t xml:space="preserve">Li H, Wren J. Toward better understanding of artifacts in variant calling from high-coverage samples. </w:t>
      </w:r>
      <w:r w:rsidRPr="00491438">
        <w:rPr>
          <w:i/>
          <w:iCs/>
          <w:noProof/>
        </w:rPr>
        <w:t>Bioinformatics</w:t>
      </w:r>
      <w:r w:rsidRPr="00491438">
        <w:rPr>
          <w:noProof/>
        </w:rPr>
        <w:t xml:space="preserve"> 2014;</w:t>
      </w:r>
      <w:r w:rsidRPr="00491438">
        <w:rPr>
          <w:b/>
          <w:bCs/>
          <w:noProof/>
        </w:rPr>
        <w:t>30</w:t>
      </w:r>
      <w:r w:rsidRPr="00491438">
        <w:rPr>
          <w:noProof/>
        </w:rPr>
        <w:t xml:space="preserve">:2843–2851. </w:t>
      </w:r>
    </w:p>
    <w:p w:rsidR="00C231C8" w:rsidRPr="00491438" w:rsidRDefault="00C231C8" w:rsidP="00C231C8">
      <w:pPr>
        <w:widowControl w:val="0"/>
        <w:autoSpaceDE w:val="0"/>
        <w:autoSpaceDN w:val="0"/>
        <w:adjustRightInd w:val="0"/>
        <w:spacing w:line="480" w:lineRule="auto"/>
        <w:ind w:left="640" w:hanging="640"/>
        <w:rPr>
          <w:noProof/>
        </w:rPr>
      </w:pPr>
      <w:r w:rsidRPr="00491438">
        <w:rPr>
          <w:noProof/>
        </w:rPr>
        <w:t xml:space="preserve">6. </w:t>
      </w:r>
      <w:r w:rsidRPr="00491438">
        <w:rPr>
          <w:noProof/>
        </w:rPr>
        <w:tab/>
        <w:t xml:space="preserve">McLaren W, Gil L, Hunt SE, </w:t>
      </w:r>
      <w:r w:rsidR="001B5FCE" w:rsidRPr="00491438">
        <w:rPr>
          <w:noProof/>
        </w:rPr>
        <w:t>et al</w:t>
      </w:r>
      <w:r w:rsidRPr="00491438">
        <w:rPr>
          <w:noProof/>
        </w:rPr>
        <w:t xml:space="preserve">. The Ensembl Variant Effect Predictor. </w:t>
      </w:r>
      <w:r w:rsidRPr="00491438">
        <w:rPr>
          <w:i/>
          <w:iCs/>
          <w:noProof/>
        </w:rPr>
        <w:t>Genome Biol</w:t>
      </w:r>
      <w:r w:rsidRPr="00491438">
        <w:rPr>
          <w:noProof/>
        </w:rPr>
        <w:t xml:space="preserve"> </w:t>
      </w:r>
      <w:r w:rsidR="001B5FCE" w:rsidRPr="00491438">
        <w:rPr>
          <w:noProof/>
        </w:rPr>
        <w:t>Genome Biology</w:t>
      </w:r>
      <w:r w:rsidRPr="00491438">
        <w:rPr>
          <w:noProof/>
        </w:rPr>
        <w:t xml:space="preserve"> 2016;</w:t>
      </w:r>
      <w:r w:rsidRPr="00491438">
        <w:rPr>
          <w:b/>
          <w:bCs/>
          <w:noProof/>
        </w:rPr>
        <w:t>17</w:t>
      </w:r>
      <w:r w:rsidRPr="00491438">
        <w:rPr>
          <w:noProof/>
        </w:rPr>
        <w:t xml:space="preserve">:122. </w:t>
      </w:r>
    </w:p>
    <w:p w:rsidR="00C231C8" w:rsidRPr="00491438" w:rsidRDefault="00C231C8" w:rsidP="00C231C8">
      <w:pPr>
        <w:widowControl w:val="0"/>
        <w:autoSpaceDE w:val="0"/>
        <w:autoSpaceDN w:val="0"/>
        <w:adjustRightInd w:val="0"/>
        <w:spacing w:line="480" w:lineRule="auto"/>
        <w:ind w:left="640" w:hanging="640"/>
        <w:rPr>
          <w:noProof/>
        </w:rPr>
      </w:pPr>
      <w:r w:rsidRPr="00491438">
        <w:rPr>
          <w:noProof/>
        </w:rPr>
        <w:t xml:space="preserve">7. </w:t>
      </w:r>
      <w:r w:rsidRPr="00491438">
        <w:rPr>
          <w:noProof/>
        </w:rPr>
        <w:tab/>
        <w:t xml:space="preserve">Yang H, Wang K. Genomic variant annotation and prioritization with ANNOVAR and wANNOVAR. </w:t>
      </w:r>
      <w:r w:rsidRPr="00491438">
        <w:rPr>
          <w:i/>
          <w:iCs/>
          <w:noProof/>
        </w:rPr>
        <w:t>Nat Protoc</w:t>
      </w:r>
      <w:r w:rsidRPr="00491438">
        <w:rPr>
          <w:noProof/>
        </w:rPr>
        <w:t xml:space="preserve"> </w:t>
      </w:r>
      <w:r w:rsidR="001B5FCE" w:rsidRPr="00491438">
        <w:rPr>
          <w:noProof/>
        </w:rPr>
        <w:t>2</w:t>
      </w:r>
      <w:r w:rsidRPr="00491438">
        <w:rPr>
          <w:noProof/>
        </w:rPr>
        <w:t>015;</w:t>
      </w:r>
      <w:r w:rsidRPr="00491438">
        <w:rPr>
          <w:b/>
          <w:bCs/>
          <w:noProof/>
        </w:rPr>
        <w:t>10</w:t>
      </w:r>
      <w:r w:rsidRPr="00491438">
        <w:rPr>
          <w:noProof/>
        </w:rPr>
        <w:t xml:space="preserve">:1556–1566. </w:t>
      </w:r>
    </w:p>
    <w:p w:rsidR="00C231C8" w:rsidRPr="00491438" w:rsidRDefault="00C231C8" w:rsidP="00C231C8">
      <w:pPr>
        <w:widowControl w:val="0"/>
        <w:autoSpaceDE w:val="0"/>
        <w:autoSpaceDN w:val="0"/>
        <w:adjustRightInd w:val="0"/>
        <w:spacing w:line="480" w:lineRule="auto"/>
        <w:ind w:left="640" w:hanging="640"/>
        <w:rPr>
          <w:noProof/>
        </w:rPr>
      </w:pPr>
      <w:r w:rsidRPr="00491438">
        <w:rPr>
          <w:noProof/>
        </w:rPr>
        <w:t xml:space="preserve">8. </w:t>
      </w:r>
      <w:r w:rsidRPr="00491438">
        <w:rPr>
          <w:noProof/>
        </w:rPr>
        <w:tab/>
        <w:t xml:space="preserve">Borén J, Lee I, Zhu W, Arnold K, Taylor S, Innerarity TL. Identification of the low density lipoprotein receptor-binding site in apolipoprotein B100 and the modulation of </w:t>
      </w:r>
      <w:r w:rsidRPr="00491438">
        <w:rPr>
          <w:noProof/>
        </w:rPr>
        <w:lastRenderedPageBreak/>
        <w:t xml:space="preserve">its binding activity by the carboxyl terminus in familial defective Apo-B100. </w:t>
      </w:r>
      <w:r w:rsidRPr="00491438">
        <w:rPr>
          <w:i/>
          <w:iCs/>
          <w:noProof/>
        </w:rPr>
        <w:t>J Clin Invest</w:t>
      </w:r>
      <w:r w:rsidRPr="00491438">
        <w:rPr>
          <w:noProof/>
        </w:rPr>
        <w:t xml:space="preserve"> 1998;</w:t>
      </w:r>
      <w:r w:rsidRPr="00491438">
        <w:rPr>
          <w:b/>
          <w:bCs/>
          <w:noProof/>
        </w:rPr>
        <w:t>101</w:t>
      </w:r>
      <w:r w:rsidRPr="00491438">
        <w:rPr>
          <w:noProof/>
        </w:rPr>
        <w:t xml:space="preserve">:1084–1093. </w:t>
      </w:r>
    </w:p>
    <w:p w:rsidR="00C231C8" w:rsidRPr="00491438" w:rsidRDefault="00C231C8" w:rsidP="00C231C8">
      <w:pPr>
        <w:widowControl w:val="0"/>
        <w:autoSpaceDE w:val="0"/>
        <w:autoSpaceDN w:val="0"/>
        <w:adjustRightInd w:val="0"/>
        <w:spacing w:line="480" w:lineRule="auto"/>
        <w:ind w:left="640" w:hanging="640"/>
        <w:rPr>
          <w:noProof/>
        </w:rPr>
      </w:pPr>
      <w:r w:rsidRPr="00491438">
        <w:rPr>
          <w:noProof/>
        </w:rPr>
        <w:t xml:space="preserve">9. </w:t>
      </w:r>
      <w:r w:rsidRPr="00491438">
        <w:rPr>
          <w:noProof/>
        </w:rPr>
        <w:tab/>
        <w:t xml:space="preserve">Ng PC, Henikoff S. SIFT: predicting amino acid changes that affect protein function. </w:t>
      </w:r>
      <w:r w:rsidRPr="00491438">
        <w:rPr>
          <w:i/>
          <w:iCs/>
          <w:noProof/>
        </w:rPr>
        <w:t>Nucleic Acids Res</w:t>
      </w:r>
      <w:r w:rsidR="001B5FCE" w:rsidRPr="00491438">
        <w:rPr>
          <w:noProof/>
        </w:rPr>
        <w:t xml:space="preserve"> Oxford </w:t>
      </w:r>
      <w:r w:rsidRPr="00491438">
        <w:rPr>
          <w:noProof/>
        </w:rPr>
        <w:t>2003;</w:t>
      </w:r>
      <w:r w:rsidRPr="00491438">
        <w:rPr>
          <w:b/>
          <w:bCs/>
          <w:noProof/>
        </w:rPr>
        <w:t>31</w:t>
      </w:r>
      <w:r w:rsidRPr="00491438">
        <w:rPr>
          <w:noProof/>
        </w:rPr>
        <w:t xml:space="preserve">:3812–3814. </w:t>
      </w:r>
    </w:p>
    <w:p w:rsidR="00C231C8" w:rsidRPr="00491438" w:rsidRDefault="00C231C8" w:rsidP="00C231C8">
      <w:pPr>
        <w:widowControl w:val="0"/>
        <w:autoSpaceDE w:val="0"/>
        <w:autoSpaceDN w:val="0"/>
        <w:adjustRightInd w:val="0"/>
        <w:spacing w:line="480" w:lineRule="auto"/>
        <w:ind w:left="640" w:hanging="640"/>
        <w:rPr>
          <w:noProof/>
        </w:rPr>
      </w:pPr>
      <w:r w:rsidRPr="00491438">
        <w:rPr>
          <w:noProof/>
        </w:rPr>
        <w:t xml:space="preserve">10. </w:t>
      </w:r>
      <w:r w:rsidRPr="00491438">
        <w:rPr>
          <w:noProof/>
        </w:rPr>
        <w:tab/>
        <w:t xml:space="preserve">Adzhubei IA, Schmidt S, Peshkin L, </w:t>
      </w:r>
      <w:r w:rsidR="001B5FCE" w:rsidRPr="00491438">
        <w:rPr>
          <w:noProof/>
        </w:rPr>
        <w:t>et al</w:t>
      </w:r>
      <w:r w:rsidRPr="00491438">
        <w:rPr>
          <w:noProof/>
        </w:rPr>
        <w:t xml:space="preserve">. A method and server for predicting damaging missense mutations. </w:t>
      </w:r>
      <w:r w:rsidRPr="00491438">
        <w:rPr>
          <w:i/>
          <w:iCs/>
          <w:noProof/>
        </w:rPr>
        <w:t>Nat Methods</w:t>
      </w:r>
      <w:r w:rsidRPr="00491438">
        <w:rPr>
          <w:noProof/>
        </w:rPr>
        <w:t xml:space="preserve"> 2010;</w:t>
      </w:r>
      <w:r w:rsidRPr="00491438">
        <w:rPr>
          <w:b/>
          <w:bCs/>
          <w:noProof/>
        </w:rPr>
        <w:t>7</w:t>
      </w:r>
      <w:r w:rsidRPr="00491438">
        <w:rPr>
          <w:noProof/>
        </w:rPr>
        <w:t xml:space="preserve">:248–249. </w:t>
      </w:r>
    </w:p>
    <w:p w:rsidR="00C231C8" w:rsidRPr="00491438" w:rsidRDefault="00C231C8" w:rsidP="00C231C8">
      <w:pPr>
        <w:widowControl w:val="0"/>
        <w:autoSpaceDE w:val="0"/>
        <w:autoSpaceDN w:val="0"/>
        <w:adjustRightInd w:val="0"/>
        <w:spacing w:line="480" w:lineRule="auto"/>
        <w:ind w:left="640" w:hanging="640"/>
        <w:rPr>
          <w:noProof/>
        </w:rPr>
      </w:pPr>
      <w:r w:rsidRPr="00491438">
        <w:rPr>
          <w:noProof/>
        </w:rPr>
        <w:t xml:space="preserve">11. </w:t>
      </w:r>
      <w:r w:rsidRPr="00491438">
        <w:rPr>
          <w:noProof/>
        </w:rPr>
        <w:tab/>
      </w:r>
      <w:r w:rsidR="001B5FCE" w:rsidRPr="00491438">
        <w:rPr>
          <w:noProof/>
        </w:rPr>
        <w:t xml:space="preserve">Lopes MC, Joyce C, Ritchie GRS, John SL. Europe PMC Funders Group Europe PMC Funders Author Manuscripts A Combined Functional Annotation Score for Non-Synonymous Variants. </w:t>
      </w:r>
      <w:r w:rsidR="001B5FCE" w:rsidRPr="00491438">
        <w:rPr>
          <w:i/>
          <w:noProof/>
        </w:rPr>
        <w:t xml:space="preserve">Hum Hered </w:t>
      </w:r>
      <w:r w:rsidR="001B5FCE" w:rsidRPr="00491438">
        <w:rPr>
          <w:noProof/>
        </w:rPr>
        <w:t>2012;</w:t>
      </w:r>
      <w:r w:rsidR="001B5FCE" w:rsidRPr="00491438">
        <w:rPr>
          <w:b/>
          <w:bCs/>
          <w:noProof/>
        </w:rPr>
        <w:t>73</w:t>
      </w:r>
      <w:r w:rsidR="001B5FCE" w:rsidRPr="00491438">
        <w:rPr>
          <w:noProof/>
        </w:rPr>
        <w:t>:47-51</w:t>
      </w:r>
      <w:r w:rsidRPr="00491438">
        <w:rPr>
          <w:noProof/>
        </w:rPr>
        <w:t xml:space="preserve">. </w:t>
      </w:r>
    </w:p>
    <w:p w:rsidR="00C231C8" w:rsidRPr="00491438" w:rsidRDefault="00C231C8" w:rsidP="00C231C8">
      <w:pPr>
        <w:widowControl w:val="0"/>
        <w:autoSpaceDE w:val="0"/>
        <w:autoSpaceDN w:val="0"/>
        <w:adjustRightInd w:val="0"/>
        <w:spacing w:line="480" w:lineRule="auto"/>
        <w:ind w:left="640" w:hanging="640"/>
        <w:rPr>
          <w:noProof/>
        </w:rPr>
      </w:pPr>
      <w:r w:rsidRPr="00491438">
        <w:rPr>
          <w:noProof/>
        </w:rPr>
        <w:t xml:space="preserve">12. </w:t>
      </w:r>
      <w:r w:rsidRPr="00491438">
        <w:rPr>
          <w:noProof/>
        </w:rPr>
        <w:tab/>
        <w:t xml:space="preserve">Kircher M, Witten DM, Jain P, O’Roak BJ, Cooper GM, Shendure J. A general framework for estimating the relative pathogenicity of human genetic variants. </w:t>
      </w:r>
      <w:r w:rsidRPr="00491438">
        <w:rPr>
          <w:i/>
          <w:iCs/>
          <w:noProof/>
        </w:rPr>
        <w:t>Nat Genet</w:t>
      </w:r>
      <w:r w:rsidRPr="00491438">
        <w:rPr>
          <w:noProof/>
        </w:rPr>
        <w:t xml:space="preserve"> 2014;</w:t>
      </w:r>
      <w:r w:rsidRPr="00491438">
        <w:rPr>
          <w:b/>
          <w:bCs/>
          <w:noProof/>
        </w:rPr>
        <w:t>46</w:t>
      </w:r>
      <w:r w:rsidRPr="00491438">
        <w:rPr>
          <w:noProof/>
        </w:rPr>
        <w:t xml:space="preserve">:310–315. </w:t>
      </w:r>
    </w:p>
    <w:p w:rsidR="00C231C8" w:rsidRPr="00491438" w:rsidRDefault="00C231C8" w:rsidP="00C231C8">
      <w:pPr>
        <w:widowControl w:val="0"/>
        <w:autoSpaceDE w:val="0"/>
        <w:autoSpaceDN w:val="0"/>
        <w:adjustRightInd w:val="0"/>
        <w:spacing w:line="480" w:lineRule="auto"/>
        <w:ind w:left="640" w:hanging="640"/>
        <w:rPr>
          <w:noProof/>
        </w:rPr>
      </w:pPr>
      <w:r w:rsidRPr="00491438">
        <w:rPr>
          <w:noProof/>
        </w:rPr>
        <w:t xml:space="preserve">13. </w:t>
      </w:r>
      <w:r w:rsidRPr="00491438">
        <w:rPr>
          <w:noProof/>
        </w:rPr>
        <w:tab/>
        <w:t xml:space="preserve">Cooper GM, Stone EA, Asimenos G, Green ED, Batzoglou S, Sidow A. Distribution and intensity of constraint in mammalian genomic sequence. </w:t>
      </w:r>
      <w:r w:rsidRPr="00491438">
        <w:rPr>
          <w:i/>
          <w:iCs/>
          <w:noProof/>
        </w:rPr>
        <w:t>Genome Res</w:t>
      </w:r>
      <w:r w:rsidRPr="00491438">
        <w:rPr>
          <w:noProof/>
        </w:rPr>
        <w:t xml:space="preserve"> 2005;</w:t>
      </w:r>
      <w:r w:rsidRPr="00491438">
        <w:rPr>
          <w:b/>
          <w:bCs/>
          <w:noProof/>
        </w:rPr>
        <w:t>15</w:t>
      </w:r>
      <w:r w:rsidRPr="00491438">
        <w:rPr>
          <w:noProof/>
        </w:rPr>
        <w:t xml:space="preserve">:901–913. </w:t>
      </w:r>
    </w:p>
    <w:p w:rsidR="00C231C8" w:rsidRPr="00491438" w:rsidRDefault="00C231C8" w:rsidP="00C231C8">
      <w:pPr>
        <w:widowControl w:val="0"/>
        <w:autoSpaceDE w:val="0"/>
        <w:autoSpaceDN w:val="0"/>
        <w:adjustRightInd w:val="0"/>
        <w:spacing w:line="480" w:lineRule="auto"/>
        <w:ind w:left="640" w:hanging="640"/>
        <w:rPr>
          <w:noProof/>
        </w:rPr>
      </w:pPr>
      <w:r w:rsidRPr="00491438">
        <w:rPr>
          <w:noProof/>
        </w:rPr>
        <w:t xml:space="preserve">14. </w:t>
      </w:r>
      <w:r w:rsidRPr="00491438">
        <w:rPr>
          <w:noProof/>
        </w:rPr>
        <w:tab/>
        <w:t xml:space="preserve">Schwarz JM, Cooper DN, Schuelke M, Seelow D. MutationTaster2: mutation prediction for the deep-sequencing age. </w:t>
      </w:r>
      <w:r w:rsidRPr="00491438">
        <w:rPr>
          <w:i/>
          <w:iCs/>
          <w:noProof/>
        </w:rPr>
        <w:t>Nat Methods</w:t>
      </w:r>
      <w:r w:rsidRPr="00491438">
        <w:rPr>
          <w:noProof/>
        </w:rPr>
        <w:t xml:space="preserve"> 2014;</w:t>
      </w:r>
      <w:r w:rsidRPr="00491438">
        <w:rPr>
          <w:b/>
          <w:bCs/>
          <w:noProof/>
        </w:rPr>
        <w:t>11</w:t>
      </w:r>
      <w:r w:rsidRPr="00491438">
        <w:rPr>
          <w:noProof/>
        </w:rPr>
        <w:t xml:space="preserve">:361–362. </w:t>
      </w:r>
    </w:p>
    <w:p w:rsidR="00C231C8" w:rsidRPr="00491438" w:rsidRDefault="00C231C8" w:rsidP="00C231C8">
      <w:pPr>
        <w:widowControl w:val="0"/>
        <w:autoSpaceDE w:val="0"/>
        <w:autoSpaceDN w:val="0"/>
        <w:adjustRightInd w:val="0"/>
        <w:spacing w:line="480" w:lineRule="auto"/>
        <w:ind w:left="640" w:hanging="640"/>
        <w:rPr>
          <w:noProof/>
        </w:rPr>
      </w:pPr>
      <w:r w:rsidRPr="00491438">
        <w:rPr>
          <w:noProof/>
        </w:rPr>
        <w:t xml:space="preserve">15. </w:t>
      </w:r>
      <w:r w:rsidRPr="00491438">
        <w:rPr>
          <w:noProof/>
        </w:rPr>
        <w:tab/>
      </w:r>
      <w:r w:rsidR="001B5FCE" w:rsidRPr="00491438">
        <w:rPr>
          <w:noProof/>
        </w:rPr>
        <w:t xml:space="preserve">Lek M, Karczewski KJ, Minikel E V, et al. Analysis of protein-coding genetic variation in 60,706 humans. </w:t>
      </w:r>
      <w:r w:rsidR="001B5FCE" w:rsidRPr="00491438">
        <w:rPr>
          <w:i/>
          <w:iCs/>
          <w:noProof/>
        </w:rPr>
        <w:t>Nature</w:t>
      </w:r>
      <w:r w:rsidR="001B5FCE" w:rsidRPr="00491438">
        <w:rPr>
          <w:noProof/>
        </w:rPr>
        <w:t xml:space="preserve"> 2016;</w:t>
      </w:r>
      <w:r w:rsidR="001B5FCE" w:rsidRPr="00491438">
        <w:rPr>
          <w:b/>
          <w:bCs/>
          <w:noProof/>
        </w:rPr>
        <w:t>536</w:t>
      </w:r>
      <w:r w:rsidR="001B5FCE" w:rsidRPr="00491438">
        <w:rPr>
          <w:noProof/>
        </w:rPr>
        <w:t>:285–91.</w:t>
      </w:r>
      <w:r w:rsidRPr="00491438">
        <w:rPr>
          <w:noProof/>
        </w:rPr>
        <w:t xml:space="preserve"> </w:t>
      </w:r>
    </w:p>
    <w:p w:rsidR="00C231C8" w:rsidRPr="00491438" w:rsidRDefault="00C231C8" w:rsidP="00C231C8">
      <w:pPr>
        <w:widowControl w:val="0"/>
        <w:autoSpaceDE w:val="0"/>
        <w:autoSpaceDN w:val="0"/>
        <w:adjustRightInd w:val="0"/>
        <w:spacing w:line="480" w:lineRule="auto"/>
        <w:ind w:left="640" w:hanging="640"/>
        <w:rPr>
          <w:noProof/>
        </w:rPr>
      </w:pPr>
      <w:r w:rsidRPr="00491438">
        <w:rPr>
          <w:noProof/>
        </w:rPr>
        <w:t xml:space="preserve">16. </w:t>
      </w:r>
      <w:r w:rsidRPr="00491438">
        <w:rPr>
          <w:noProof/>
        </w:rPr>
        <w:tab/>
        <w:t>Sequencing Initiative Suomi project (SISu), Institute for Molecular Medicine Finland (FIMM), University of Helsinki, Finland. url: http://sisuproject.fi (1 January 2018)</w:t>
      </w:r>
    </w:p>
    <w:p w:rsidR="00C231C8" w:rsidRPr="00491438" w:rsidRDefault="00C231C8" w:rsidP="00C231C8">
      <w:pPr>
        <w:widowControl w:val="0"/>
        <w:autoSpaceDE w:val="0"/>
        <w:autoSpaceDN w:val="0"/>
        <w:adjustRightInd w:val="0"/>
        <w:spacing w:line="480" w:lineRule="auto"/>
        <w:ind w:left="640" w:hanging="640"/>
        <w:rPr>
          <w:noProof/>
        </w:rPr>
      </w:pPr>
      <w:r w:rsidRPr="00491438">
        <w:rPr>
          <w:noProof/>
        </w:rPr>
        <w:t xml:space="preserve">17. </w:t>
      </w:r>
      <w:r w:rsidRPr="00491438">
        <w:rPr>
          <w:noProof/>
        </w:rPr>
        <w:tab/>
        <w:t xml:space="preserve">Leigh S, Futema M, Whittall R, </w:t>
      </w:r>
      <w:r w:rsidR="001B5FCE" w:rsidRPr="00491438">
        <w:rPr>
          <w:noProof/>
        </w:rPr>
        <w:t>et al</w:t>
      </w:r>
      <w:r w:rsidRPr="00491438">
        <w:rPr>
          <w:noProof/>
        </w:rPr>
        <w:t xml:space="preserve">. The UCL low-density lipoprotein receptor gene variant database: pathogenicity update. </w:t>
      </w:r>
      <w:r w:rsidRPr="00491438">
        <w:rPr>
          <w:i/>
          <w:iCs/>
          <w:noProof/>
        </w:rPr>
        <w:t>J Med Genet</w:t>
      </w:r>
      <w:r w:rsidRPr="00491438">
        <w:rPr>
          <w:noProof/>
        </w:rPr>
        <w:t xml:space="preserve"> 2017;</w:t>
      </w:r>
      <w:r w:rsidRPr="00491438">
        <w:rPr>
          <w:b/>
          <w:bCs/>
          <w:noProof/>
        </w:rPr>
        <w:t>54</w:t>
      </w:r>
      <w:r w:rsidRPr="00491438">
        <w:rPr>
          <w:noProof/>
        </w:rPr>
        <w:t xml:space="preserve">:217 LP-223. </w:t>
      </w:r>
    </w:p>
    <w:p w:rsidR="00C231C8" w:rsidRPr="00491438" w:rsidRDefault="00C231C8" w:rsidP="00C231C8">
      <w:pPr>
        <w:widowControl w:val="0"/>
        <w:autoSpaceDE w:val="0"/>
        <w:autoSpaceDN w:val="0"/>
        <w:adjustRightInd w:val="0"/>
        <w:spacing w:line="480" w:lineRule="auto"/>
        <w:ind w:left="640" w:hanging="640"/>
        <w:rPr>
          <w:noProof/>
        </w:rPr>
      </w:pPr>
      <w:r w:rsidRPr="00491438">
        <w:rPr>
          <w:noProof/>
        </w:rPr>
        <w:t xml:space="preserve">18. </w:t>
      </w:r>
      <w:r w:rsidRPr="00491438">
        <w:rPr>
          <w:noProof/>
        </w:rPr>
        <w:tab/>
        <w:t xml:space="preserve">Landrum MJ, Lee JM, Riley GR, Jang W, Rubinstein WS, Church DM, Maglott DR. ClinVar: public archive of relationships among sequence variation and human </w:t>
      </w:r>
      <w:r w:rsidRPr="00491438">
        <w:rPr>
          <w:noProof/>
        </w:rPr>
        <w:lastRenderedPageBreak/>
        <w:t xml:space="preserve">phenotype. </w:t>
      </w:r>
      <w:r w:rsidRPr="00491438">
        <w:rPr>
          <w:i/>
          <w:iCs/>
          <w:noProof/>
        </w:rPr>
        <w:t>Nucleic Acids Res</w:t>
      </w:r>
      <w:r w:rsidRPr="00491438">
        <w:rPr>
          <w:noProof/>
        </w:rPr>
        <w:t xml:space="preserve"> 2014;</w:t>
      </w:r>
      <w:r w:rsidRPr="00491438">
        <w:rPr>
          <w:b/>
          <w:bCs/>
          <w:noProof/>
        </w:rPr>
        <w:t>42</w:t>
      </w:r>
      <w:r w:rsidRPr="00491438">
        <w:rPr>
          <w:noProof/>
        </w:rPr>
        <w:t xml:space="preserve">:D980–D985. </w:t>
      </w:r>
    </w:p>
    <w:p w:rsidR="00C231C8" w:rsidRPr="00491438" w:rsidRDefault="00C231C8" w:rsidP="00C231C8">
      <w:pPr>
        <w:widowControl w:val="0"/>
        <w:autoSpaceDE w:val="0"/>
        <w:autoSpaceDN w:val="0"/>
        <w:adjustRightInd w:val="0"/>
        <w:spacing w:line="480" w:lineRule="auto"/>
        <w:ind w:left="640" w:hanging="640"/>
        <w:rPr>
          <w:noProof/>
        </w:rPr>
      </w:pPr>
      <w:r w:rsidRPr="00491438">
        <w:rPr>
          <w:noProof/>
        </w:rPr>
        <w:t xml:space="preserve">19. </w:t>
      </w:r>
      <w:r w:rsidRPr="00491438">
        <w:rPr>
          <w:noProof/>
        </w:rPr>
        <w:tab/>
      </w:r>
      <w:r w:rsidR="00474D3B" w:rsidRPr="00491438">
        <w:rPr>
          <w:noProof/>
        </w:rPr>
        <w:t xml:space="preserve">Stenson PD, Ball E V, Mort M, et al. Human Gene Mutation Database (HGMD): 2003 Update. </w:t>
      </w:r>
      <w:r w:rsidR="00474D3B" w:rsidRPr="00491438">
        <w:rPr>
          <w:i/>
          <w:iCs/>
          <w:noProof/>
        </w:rPr>
        <w:t>Hum Mutat</w:t>
      </w:r>
      <w:r w:rsidR="00474D3B" w:rsidRPr="00491438">
        <w:rPr>
          <w:noProof/>
        </w:rPr>
        <w:t xml:space="preserve"> 2003;</w:t>
      </w:r>
      <w:r w:rsidR="00474D3B" w:rsidRPr="00491438">
        <w:rPr>
          <w:b/>
          <w:bCs/>
          <w:noProof/>
        </w:rPr>
        <w:t>21</w:t>
      </w:r>
      <w:r w:rsidR="00474D3B" w:rsidRPr="00491438">
        <w:rPr>
          <w:noProof/>
        </w:rPr>
        <w:t xml:space="preserve">:577–581. </w:t>
      </w:r>
      <w:r w:rsidRPr="00491438">
        <w:rPr>
          <w:noProof/>
        </w:rPr>
        <w:t xml:space="preserve"> </w:t>
      </w:r>
    </w:p>
    <w:p w:rsidR="00C231C8" w:rsidRPr="00491438" w:rsidRDefault="00474D3B" w:rsidP="00C231C8">
      <w:pPr>
        <w:widowControl w:val="0"/>
        <w:autoSpaceDE w:val="0"/>
        <w:autoSpaceDN w:val="0"/>
        <w:adjustRightInd w:val="0"/>
        <w:spacing w:line="480" w:lineRule="auto"/>
        <w:ind w:left="640" w:hanging="640"/>
        <w:rPr>
          <w:noProof/>
        </w:rPr>
      </w:pPr>
      <w:r w:rsidRPr="00491438">
        <w:rPr>
          <w:noProof/>
        </w:rPr>
        <w:t xml:space="preserve">20. </w:t>
      </w:r>
      <w:r w:rsidRPr="00491438">
        <w:rPr>
          <w:noProof/>
        </w:rPr>
        <w:tab/>
        <w:t>Defesche JC</w:t>
      </w:r>
      <w:r w:rsidR="00C231C8" w:rsidRPr="00491438">
        <w:rPr>
          <w:noProof/>
        </w:rPr>
        <w:t xml:space="preserve">, Lansberg PJ, Umans-Eckenhausen MA KJ. Advanced method for the identification of patients with inherited hypercholesterolemia. </w:t>
      </w:r>
      <w:r w:rsidR="00C231C8" w:rsidRPr="00491438">
        <w:rPr>
          <w:i/>
          <w:iCs/>
          <w:noProof/>
        </w:rPr>
        <w:t>Semin Vasc Med</w:t>
      </w:r>
      <w:r w:rsidR="00C231C8" w:rsidRPr="00491438">
        <w:rPr>
          <w:noProof/>
        </w:rPr>
        <w:t xml:space="preserve"> 2004;</w:t>
      </w:r>
      <w:r w:rsidRPr="00491438">
        <w:rPr>
          <w:b/>
          <w:bCs/>
          <w:noProof/>
        </w:rPr>
        <w:t>4</w:t>
      </w:r>
      <w:r w:rsidR="00C231C8" w:rsidRPr="00491438">
        <w:rPr>
          <w:noProof/>
        </w:rPr>
        <w:t xml:space="preserve">:59–65. </w:t>
      </w:r>
    </w:p>
    <w:p w:rsidR="00C231C8" w:rsidRPr="00491438" w:rsidRDefault="00C231C8" w:rsidP="00C231C8">
      <w:pPr>
        <w:widowControl w:val="0"/>
        <w:autoSpaceDE w:val="0"/>
        <w:autoSpaceDN w:val="0"/>
        <w:adjustRightInd w:val="0"/>
        <w:spacing w:line="480" w:lineRule="auto"/>
        <w:ind w:left="640" w:hanging="640"/>
        <w:rPr>
          <w:noProof/>
        </w:rPr>
      </w:pPr>
      <w:r w:rsidRPr="00491438">
        <w:rPr>
          <w:noProof/>
        </w:rPr>
        <w:t xml:space="preserve">21. </w:t>
      </w:r>
      <w:r w:rsidRPr="00491438">
        <w:rPr>
          <w:noProof/>
        </w:rPr>
        <w:tab/>
        <w:t xml:space="preserve">Catapano AL, Graham I, Backer G De, et al. 2016 ESC/EAS Guidelines for the Management of Dyslipidaemias. </w:t>
      </w:r>
      <w:r w:rsidRPr="00491438">
        <w:rPr>
          <w:i/>
          <w:iCs/>
          <w:noProof/>
        </w:rPr>
        <w:t>Eur Heart J</w:t>
      </w:r>
      <w:r w:rsidRPr="00491438">
        <w:rPr>
          <w:noProof/>
        </w:rPr>
        <w:t xml:space="preserve"> 2016;</w:t>
      </w:r>
      <w:r w:rsidRPr="00491438">
        <w:rPr>
          <w:b/>
          <w:bCs/>
          <w:noProof/>
        </w:rPr>
        <w:t>37</w:t>
      </w:r>
      <w:r w:rsidRPr="00491438">
        <w:rPr>
          <w:noProof/>
        </w:rPr>
        <w:t xml:space="preserve">:2999–3058l. </w:t>
      </w:r>
    </w:p>
    <w:p w:rsidR="00C231C8" w:rsidRPr="00491438" w:rsidRDefault="00C231C8" w:rsidP="00C231C8">
      <w:pPr>
        <w:widowControl w:val="0"/>
        <w:autoSpaceDE w:val="0"/>
        <w:autoSpaceDN w:val="0"/>
        <w:adjustRightInd w:val="0"/>
        <w:spacing w:line="480" w:lineRule="auto"/>
        <w:ind w:left="640" w:hanging="640"/>
        <w:rPr>
          <w:noProof/>
        </w:rPr>
      </w:pPr>
      <w:r w:rsidRPr="00491438">
        <w:rPr>
          <w:noProof/>
        </w:rPr>
        <w:t xml:space="preserve">22. </w:t>
      </w:r>
      <w:r w:rsidRPr="00491438">
        <w:rPr>
          <w:noProof/>
        </w:rPr>
        <w:tab/>
        <w:t xml:space="preserve">Peloso GM, Auer PL, Bis JC, et al. Association of low-frequency and rare coding-sequence variants with blood lipids and coronary heart disease in 56,000 whites and blacks. </w:t>
      </w:r>
      <w:r w:rsidRPr="00491438">
        <w:rPr>
          <w:i/>
          <w:iCs/>
          <w:noProof/>
        </w:rPr>
        <w:t>Am J Hum Genet</w:t>
      </w:r>
      <w:r w:rsidRPr="00491438">
        <w:rPr>
          <w:noProof/>
        </w:rPr>
        <w:t xml:space="preserve"> 2014;</w:t>
      </w:r>
      <w:r w:rsidRPr="00491438">
        <w:rPr>
          <w:b/>
          <w:bCs/>
          <w:noProof/>
        </w:rPr>
        <w:t>94</w:t>
      </w:r>
      <w:r w:rsidRPr="00491438">
        <w:rPr>
          <w:noProof/>
        </w:rPr>
        <w:t xml:space="preserve">:223–232. </w:t>
      </w:r>
    </w:p>
    <w:p w:rsidR="00C231C8" w:rsidRPr="00491438" w:rsidRDefault="00C231C8" w:rsidP="00C231C8">
      <w:pPr>
        <w:widowControl w:val="0"/>
        <w:autoSpaceDE w:val="0"/>
        <w:autoSpaceDN w:val="0"/>
        <w:adjustRightInd w:val="0"/>
        <w:spacing w:line="480" w:lineRule="auto"/>
        <w:ind w:left="640" w:hanging="640"/>
        <w:rPr>
          <w:noProof/>
        </w:rPr>
      </w:pPr>
      <w:r w:rsidRPr="00491438">
        <w:rPr>
          <w:noProof/>
        </w:rPr>
        <w:t xml:space="preserve">23. </w:t>
      </w:r>
      <w:r w:rsidRPr="00491438">
        <w:rPr>
          <w:noProof/>
        </w:rPr>
        <w:tab/>
        <w:t xml:space="preserve">Fouchier SW, Kastelein JJP, Defesche JC. Update of the molecular basis of familial hypercholesterolemia in The Netherlands. </w:t>
      </w:r>
      <w:r w:rsidRPr="00491438">
        <w:rPr>
          <w:i/>
          <w:iCs/>
          <w:noProof/>
        </w:rPr>
        <w:t>Hum Mutat</w:t>
      </w:r>
      <w:r w:rsidRPr="00491438">
        <w:rPr>
          <w:noProof/>
        </w:rPr>
        <w:t xml:space="preserve"> 2005;</w:t>
      </w:r>
      <w:r w:rsidRPr="00491438">
        <w:rPr>
          <w:b/>
          <w:bCs/>
          <w:noProof/>
        </w:rPr>
        <w:t>26</w:t>
      </w:r>
      <w:r w:rsidRPr="00491438">
        <w:rPr>
          <w:noProof/>
        </w:rPr>
        <w:t xml:space="preserve">:550–556. </w:t>
      </w:r>
    </w:p>
    <w:p w:rsidR="00C231C8" w:rsidRPr="00491438" w:rsidRDefault="00C231C8" w:rsidP="00C231C8">
      <w:pPr>
        <w:widowControl w:val="0"/>
        <w:autoSpaceDE w:val="0"/>
        <w:autoSpaceDN w:val="0"/>
        <w:adjustRightInd w:val="0"/>
        <w:spacing w:line="480" w:lineRule="auto"/>
        <w:ind w:left="640" w:hanging="640"/>
        <w:rPr>
          <w:noProof/>
        </w:rPr>
      </w:pPr>
      <w:r w:rsidRPr="00491438">
        <w:rPr>
          <w:noProof/>
        </w:rPr>
        <w:t xml:space="preserve">24. </w:t>
      </w:r>
      <w:r w:rsidRPr="00491438">
        <w:rPr>
          <w:noProof/>
        </w:rPr>
        <w:tab/>
        <w:t xml:space="preserve">McClelland RL, Chung H, Detrano R, Post W, Kronmal RA. Distribution of Coronary Artery Calcium by Race, Gender, and Age. </w:t>
      </w:r>
      <w:r w:rsidRPr="00491438">
        <w:rPr>
          <w:i/>
          <w:iCs/>
          <w:noProof/>
        </w:rPr>
        <w:t>Circulation</w:t>
      </w:r>
      <w:r w:rsidRPr="00491438">
        <w:rPr>
          <w:noProof/>
        </w:rPr>
        <w:t xml:space="preserve"> 2006;</w:t>
      </w:r>
      <w:r w:rsidRPr="00491438">
        <w:rPr>
          <w:b/>
          <w:bCs/>
          <w:noProof/>
        </w:rPr>
        <w:t>113</w:t>
      </w:r>
      <w:r w:rsidRPr="00491438">
        <w:rPr>
          <w:noProof/>
        </w:rPr>
        <w:t xml:space="preserve">:30 LP-37. </w:t>
      </w:r>
    </w:p>
    <w:p w:rsidR="00CB5F6E" w:rsidRDefault="00006BC8" w:rsidP="00C231C8">
      <w:pPr>
        <w:widowControl w:val="0"/>
        <w:autoSpaceDE w:val="0"/>
        <w:autoSpaceDN w:val="0"/>
        <w:adjustRightInd w:val="0"/>
        <w:spacing w:line="480" w:lineRule="auto"/>
        <w:ind w:left="640" w:hanging="640"/>
      </w:pPr>
      <w:r w:rsidRPr="00491438">
        <w:fldChar w:fldCharType="end"/>
      </w:r>
    </w:p>
    <w:sectPr w:rsidR="00CB5F6E" w:rsidSect="00F5249F">
      <w:footerReference w:type="even" r:id="rId7"/>
      <w:footerReference w:type="default" r:id="rId8"/>
      <w:pgSz w:w="11900" w:h="16840"/>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B9471D" w:rsidRDefault="00B9471D" w:rsidP="0084224A">
      <w:r>
        <w:separator/>
      </w:r>
    </w:p>
  </w:endnote>
  <w:endnote w:type="continuationSeparator" w:id="0">
    <w:p w:rsidR="00B9471D" w:rsidRDefault="00B9471D" w:rsidP="0084224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AEF" w:usb1="C0007841" w:usb2="00000009" w:usb3="00000000" w:csb0="000001FF" w:csb1="00000000"/>
  </w:font>
  <w:font w:name="Cambria Math">
    <w:panose1 w:val="02040503050406030204"/>
    <w:charset w:val="00"/>
    <w:family w:val="roman"/>
    <w:pitch w:val="variable"/>
    <w:sig w:usb0="E00002FF" w:usb1="420024FF" w:usb2="00000000"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Style w:val="PageNumber"/>
      </w:rPr>
      <w:id w:val="-320888667"/>
      <w:docPartObj>
        <w:docPartGallery w:val="Page Numbers (Bottom of Page)"/>
        <w:docPartUnique/>
      </w:docPartObj>
    </w:sdtPr>
    <w:sdtEndPr>
      <w:rPr>
        <w:rStyle w:val="PageNumber"/>
      </w:rPr>
    </w:sdtEndPr>
    <w:sdtContent>
      <w:p w:rsidR="0084224A" w:rsidRDefault="0084224A" w:rsidP="00B66527">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rsidR="0084224A" w:rsidRDefault="0084224A" w:rsidP="0084224A">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Style w:val="PageNumber"/>
      </w:rPr>
      <w:id w:val="1229196838"/>
      <w:docPartObj>
        <w:docPartGallery w:val="Page Numbers (Bottom of Page)"/>
        <w:docPartUnique/>
      </w:docPartObj>
    </w:sdtPr>
    <w:sdtEndPr>
      <w:rPr>
        <w:rStyle w:val="PageNumber"/>
      </w:rPr>
    </w:sdtEndPr>
    <w:sdtContent>
      <w:p w:rsidR="0084224A" w:rsidRDefault="0084224A" w:rsidP="00B66527">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sdtContent>
  </w:sdt>
  <w:p w:rsidR="0084224A" w:rsidRDefault="0084224A" w:rsidP="0084224A">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B9471D" w:rsidRDefault="00B9471D" w:rsidP="0084224A">
      <w:r>
        <w:separator/>
      </w:r>
    </w:p>
  </w:footnote>
  <w:footnote w:type="continuationSeparator" w:id="0">
    <w:p w:rsidR="00B9471D" w:rsidRDefault="00B9471D" w:rsidP="0084224A">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36"/>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06BC8"/>
    <w:rsid w:val="00006BC8"/>
    <w:rsid w:val="00041796"/>
    <w:rsid w:val="000F1CE8"/>
    <w:rsid w:val="001A147A"/>
    <w:rsid w:val="001B5FCE"/>
    <w:rsid w:val="0024077A"/>
    <w:rsid w:val="00474D3B"/>
    <w:rsid w:val="00491438"/>
    <w:rsid w:val="004E3E57"/>
    <w:rsid w:val="005C270B"/>
    <w:rsid w:val="006F00BE"/>
    <w:rsid w:val="00700705"/>
    <w:rsid w:val="0084224A"/>
    <w:rsid w:val="009249B7"/>
    <w:rsid w:val="00972A50"/>
    <w:rsid w:val="00A95700"/>
    <w:rsid w:val="00B66527"/>
    <w:rsid w:val="00B9471D"/>
    <w:rsid w:val="00BE0964"/>
    <w:rsid w:val="00C231C8"/>
    <w:rsid w:val="00CB5F6E"/>
    <w:rsid w:val="00CF621E"/>
    <w:rsid w:val="00DB18A6"/>
    <w:rsid w:val="00DC15B5"/>
    <w:rsid w:val="00ED4133"/>
    <w:rsid w:val="00F5249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88CEF02"/>
  <w15:chartTrackingRefBased/>
  <w15:docId w15:val="{D18B6AD9-158D-E441-B187-74B3E7533C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rsid w:val="00006BC8"/>
    <w:rPr>
      <w:rFonts w:ascii="Times New Roman" w:eastAsia="Times New Roman" w:hAnsi="Times New Roman" w:cs="Times New Roman"/>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unhideWhenUsed/>
    <w:rsid w:val="0084224A"/>
    <w:pPr>
      <w:tabs>
        <w:tab w:val="center" w:pos="4680"/>
        <w:tab w:val="right" w:pos="9360"/>
      </w:tabs>
    </w:pPr>
  </w:style>
  <w:style w:type="character" w:customStyle="1" w:styleId="FooterChar">
    <w:name w:val="Footer Char"/>
    <w:basedOn w:val="DefaultParagraphFont"/>
    <w:link w:val="Footer"/>
    <w:uiPriority w:val="99"/>
    <w:rsid w:val="0084224A"/>
    <w:rPr>
      <w:rFonts w:ascii="Times New Roman" w:eastAsia="Times New Roman" w:hAnsi="Times New Roman" w:cs="Times New Roman"/>
      <w:lang w:val="en-US"/>
    </w:rPr>
  </w:style>
  <w:style w:type="character" w:styleId="PageNumber">
    <w:name w:val="page number"/>
    <w:basedOn w:val="DefaultParagraphFont"/>
    <w:uiPriority w:val="99"/>
    <w:semiHidden/>
    <w:unhideWhenUsed/>
    <w:rsid w:val="0084224A"/>
  </w:style>
  <w:style w:type="character" w:styleId="CommentReference">
    <w:name w:val="annotation reference"/>
    <w:basedOn w:val="DefaultParagraphFont"/>
    <w:uiPriority w:val="99"/>
    <w:semiHidden/>
    <w:unhideWhenUsed/>
    <w:rsid w:val="001A147A"/>
    <w:rPr>
      <w:sz w:val="16"/>
      <w:szCs w:val="16"/>
    </w:rPr>
  </w:style>
  <w:style w:type="paragraph" w:styleId="CommentText">
    <w:name w:val="annotation text"/>
    <w:basedOn w:val="Normal"/>
    <w:link w:val="CommentTextChar"/>
    <w:uiPriority w:val="99"/>
    <w:unhideWhenUsed/>
    <w:rsid w:val="001A147A"/>
    <w:rPr>
      <w:rFonts w:eastAsiaTheme="minorHAnsi" w:cstheme="minorBidi"/>
      <w:sz w:val="20"/>
      <w:szCs w:val="20"/>
      <w:lang w:val="en-GB"/>
    </w:rPr>
  </w:style>
  <w:style w:type="character" w:customStyle="1" w:styleId="CommentTextChar">
    <w:name w:val="Comment Text Char"/>
    <w:basedOn w:val="DefaultParagraphFont"/>
    <w:link w:val="CommentText"/>
    <w:uiPriority w:val="99"/>
    <w:rsid w:val="001A147A"/>
    <w:rPr>
      <w:rFonts w:ascii="Times New Roman" w:hAnsi="Times New Roman"/>
      <w:sz w:val="20"/>
      <w:szCs w:val="20"/>
    </w:rPr>
  </w:style>
  <w:style w:type="paragraph" w:styleId="BalloonText">
    <w:name w:val="Balloon Text"/>
    <w:basedOn w:val="Normal"/>
    <w:link w:val="BalloonTextChar"/>
    <w:uiPriority w:val="99"/>
    <w:semiHidden/>
    <w:unhideWhenUsed/>
    <w:rsid w:val="001A147A"/>
    <w:rPr>
      <w:sz w:val="18"/>
      <w:szCs w:val="18"/>
    </w:rPr>
  </w:style>
  <w:style w:type="character" w:customStyle="1" w:styleId="BalloonTextChar">
    <w:name w:val="Balloon Text Char"/>
    <w:basedOn w:val="DefaultParagraphFont"/>
    <w:link w:val="BalloonText"/>
    <w:uiPriority w:val="99"/>
    <w:semiHidden/>
    <w:rsid w:val="001A147A"/>
    <w:rPr>
      <w:rFonts w:ascii="Times New Roman" w:eastAsia="Times New Roman" w:hAnsi="Times New Roman" w:cs="Times New Roman"/>
      <w:sz w:val="18"/>
      <w:szCs w:val="18"/>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GostTitle.XSL" StyleName="GOST - Title Sort" Version="2003"/>
</file>

<file path=customXml/itemProps1.xml><?xml version="1.0" encoding="utf-8"?>
<ds:datastoreItem xmlns:ds="http://schemas.openxmlformats.org/officeDocument/2006/customXml" ds:itemID="{CE91D89E-62AA-EE47-A36B-E6CF5C27A7E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17</TotalTime>
  <Pages>9</Pages>
  <Words>18982</Words>
  <Characters>108201</Characters>
  <Application>Microsoft Office Word</Application>
  <DocSecurity>0</DocSecurity>
  <Lines>901</Lines>
  <Paragraphs>253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126930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Maris</dc:creator>
  <cp:keywords/>
  <dc:description/>
  <cp:lastModifiedBy>Maris</cp:lastModifiedBy>
  <cp:revision>6</cp:revision>
  <dcterms:created xsi:type="dcterms:W3CDTF">2018-06-19T09:01:00Z</dcterms:created>
  <dcterms:modified xsi:type="dcterms:W3CDTF">2018-08-20T18:48:00Z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http://www.zotero.org/styles/apa</vt:lpwstr>
  </property>
  <property fmtid="{D5CDD505-2E9C-101B-9397-08002B2CF9AE}" pid="3" name="Mendeley Recent Style Name 0_1">
    <vt:lpwstr>American Psychological Association 6th edition</vt:lpwstr>
  </property>
  <property fmtid="{D5CDD505-2E9C-101B-9397-08002B2CF9AE}" pid="4" name="Mendeley Recent Style Id 1_1">
    <vt:lpwstr>http://www.zotero.org/styles/american-sociological-association</vt:lpwstr>
  </property>
  <property fmtid="{D5CDD505-2E9C-101B-9397-08002B2CF9AE}" pid="5" name="Mendeley Recent Style Name 1_1">
    <vt:lpwstr>American Sociological Association</vt:lpwstr>
  </property>
  <property fmtid="{D5CDD505-2E9C-101B-9397-08002B2CF9AE}" pid="6" name="Mendeley Recent Style Id 2_1">
    <vt:lpwstr>http://www.zotero.org/styles/chicago-author-date</vt:lpwstr>
  </property>
  <property fmtid="{D5CDD505-2E9C-101B-9397-08002B2CF9AE}" pid="7" name="Mendeley Recent Style Name 2_1">
    <vt:lpwstr>Chicago Manual of Style 16th edition (author-date)</vt:lpwstr>
  </property>
  <property fmtid="{D5CDD505-2E9C-101B-9397-08002B2CF9AE}" pid="8" name="Mendeley Recent Style Id 3_1">
    <vt:lpwstr>http://www.zotero.org/styles/harvard-cite-them-right</vt:lpwstr>
  </property>
  <property fmtid="{D5CDD505-2E9C-101B-9397-08002B2CF9AE}" pid="9" name="Mendeley Recent Style Name 3_1">
    <vt:lpwstr>Cite Them Right 10th edition - Harvard</vt:lpwstr>
  </property>
  <property fmtid="{D5CDD505-2E9C-101B-9397-08002B2CF9AE}" pid="10" name="Mendeley Recent Style Id 4_1">
    <vt:lpwstr>http://www.zotero.org/styles/european-heart-journal</vt:lpwstr>
  </property>
  <property fmtid="{D5CDD505-2E9C-101B-9397-08002B2CF9AE}" pid="11" name="Mendeley Recent Style Name 4_1">
    <vt:lpwstr>European Heart Journal</vt:lpwstr>
  </property>
  <property fmtid="{D5CDD505-2E9C-101B-9397-08002B2CF9AE}" pid="12" name="Mendeley Recent Style Id 5_1">
    <vt:lpwstr>http://www.zotero.org/styles/harvard1</vt:lpwstr>
  </property>
  <property fmtid="{D5CDD505-2E9C-101B-9397-08002B2CF9AE}" pid="13" name="Mendeley Recent Style Name 5_1">
    <vt:lpwstr>Harvard reference format 1 (deprecated)</vt:lpwstr>
  </property>
  <property fmtid="{D5CDD505-2E9C-101B-9397-08002B2CF9AE}" pid="14" name="Mendeley Recent Style Id 6_1">
    <vt:lpwstr>http://www.zotero.org/styles/ieee</vt:lpwstr>
  </property>
  <property fmtid="{D5CDD505-2E9C-101B-9397-08002B2CF9AE}" pid="15" name="Mendeley Recent Style Name 6_1">
    <vt:lpwstr>IEEE</vt:lpwstr>
  </property>
  <property fmtid="{D5CDD505-2E9C-101B-9397-08002B2CF9AE}" pid="16" name="Mendeley Recent Style Id 7_1">
    <vt:lpwstr>http://www.zotero.org/styles/modern-humanities-research-association</vt:lpwstr>
  </property>
  <property fmtid="{D5CDD505-2E9C-101B-9397-08002B2CF9AE}" pid="17" name="Mendeley Recent Style Name 7_1">
    <vt:lpwstr>Modern Humanities Research Association 3rd edition (note with bibliography)</vt:lpwstr>
  </property>
  <property fmtid="{D5CDD505-2E9C-101B-9397-08002B2CF9AE}" pid="18" name="Mendeley Recent Style Id 8_1">
    <vt:lpwstr>http://www.zotero.org/styles/modern-language-association</vt:lpwstr>
  </property>
  <property fmtid="{D5CDD505-2E9C-101B-9397-08002B2CF9AE}" pid="19" name="Mendeley Recent Style Name 8_1">
    <vt:lpwstr>Modern Language Association 8th edition</vt:lpwstr>
  </property>
  <property fmtid="{D5CDD505-2E9C-101B-9397-08002B2CF9AE}" pid="20" name="Mendeley Recent Style Id 9_1">
    <vt:lpwstr>http://www.zotero.org/styles/nature</vt:lpwstr>
  </property>
  <property fmtid="{D5CDD505-2E9C-101B-9397-08002B2CF9AE}" pid="21" name="Mendeley Recent Style Name 9_1">
    <vt:lpwstr>Nature</vt:lpwstr>
  </property>
  <property fmtid="{D5CDD505-2E9C-101B-9397-08002B2CF9AE}" pid="22" name="Mendeley Document_1">
    <vt:lpwstr>True</vt:lpwstr>
  </property>
  <property fmtid="{D5CDD505-2E9C-101B-9397-08002B2CF9AE}" pid="23" name="Mendeley Unique User Id_1">
    <vt:lpwstr>ffccd0c8-3ba3-31dd-b818-1d31dabb4f26</vt:lpwstr>
  </property>
  <property fmtid="{D5CDD505-2E9C-101B-9397-08002B2CF9AE}" pid="24" name="Mendeley Citation Style_1">
    <vt:lpwstr>http://www.zotero.org/styles/european-heart-journal</vt:lpwstr>
  </property>
</Properties>
</file>