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6D56E" w14:textId="247F4B43" w:rsidR="00BE6B37" w:rsidRPr="00AD60B4" w:rsidRDefault="00BE6B37" w:rsidP="008C0E3F">
      <w:pPr>
        <w:pStyle w:val="Heading1"/>
      </w:pPr>
      <w:bookmarkStart w:id="0" w:name="_Toc401413019"/>
      <w:bookmarkStart w:id="1" w:name="_GoBack"/>
      <w:bookmarkEnd w:id="1"/>
      <w:r w:rsidRPr="008C0E3F">
        <w:t xml:space="preserve"> </w:t>
      </w:r>
      <w:bookmarkStart w:id="2" w:name="_Hlk16708459"/>
      <w:bookmarkEnd w:id="0"/>
      <w:r w:rsidR="0088246F" w:rsidRPr="00AD60B4">
        <w:t xml:space="preserve">Supplement- Laboratory Screening and Diagnosis of Open Neural Tube Defects, 2019; </w:t>
      </w:r>
      <w:bookmarkEnd w:id="2"/>
      <w:r w:rsidR="0088246F" w:rsidRPr="00AD60B4">
        <w:t xml:space="preserve">Diagnostic Interpretation of Amniotic Fluid AFP and Acetylcholinesterase Results </w:t>
      </w:r>
    </w:p>
    <w:p w14:paraId="3CC6AE42" w14:textId="537D0079" w:rsidR="00BE6B37" w:rsidRPr="0063247D" w:rsidRDefault="00CA029B" w:rsidP="00BE6B37">
      <w:pPr>
        <w:pStyle w:val="Heading2"/>
        <w:spacing w:line="480" w:lineRule="auto"/>
      </w:pPr>
      <w:bookmarkStart w:id="3" w:name="_Toc401413020"/>
      <w:r>
        <w:t>S.1.</w:t>
      </w:r>
      <w:r w:rsidR="00BE6B37" w:rsidRPr="0063247D">
        <w:t xml:space="preserve"> Patient and provider information</w:t>
      </w:r>
      <w:bookmarkEnd w:id="3"/>
    </w:p>
    <w:p w14:paraId="2D17F6E4" w14:textId="6B89450F"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bCs/>
          <w:sz w:val="24"/>
          <w:szCs w:val="24"/>
        </w:rPr>
        <w:t xml:space="preserve">Patient </w:t>
      </w:r>
      <w:r w:rsidR="007A5AA8">
        <w:rPr>
          <w:rFonts w:ascii="Arial" w:eastAsia="Times New Roman" w:hAnsi="Arial" w:cs="Arial"/>
          <w:bCs/>
          <w:sz w:val="24"/>
          <w:szCs w:val="24"/>
        </w:rPr>
        <w:t>i</w:t>
      </w:r>
      <w:r w:rsidRPr="00205CC3">
        <w:rPr>
          <w:rFonts w:ascii="Arial" w:eastAsia="Times New Roman" w:hAnsi="Arial" w:cs="Arial"/>
          <w:bCs/>
          <w:sz w:val="24"/>
          <w:szCs w:val="24"/>
        </w:rPr>
        <w:t>nformation</w:t>
      </w:r>
      <w:r>
        <w:rPr>
          <w:rFonts w:ascii="Arial" w:eastAsia="Times New Roman" w:hAnsi="Arial" w:cs="Arial"/>
          <w:bCs/>
          <w:sz w:val="24"/>
          <w:szCs w:val="24"/>
        </w:rPr>
        <w:t xml:space="preserve"> </w:t>
      </w:r>
      <w:r w:rsidRPr="00205CC3">
        <w:rPr>
          <w:rFonts w:ascii="Arial" w:eastAsia="Times New Roman" w:hAnsi="Arial" w:cs="Arial"/>
          <w:sz w:val="24"/>
          <w:szCs w:val="24"/>
        </w:rPr>
        <w:t>concerning prenatal diagnostic testing is commonly provided as part of counseling prior to amniocentesis.</w:t>
      </w:r>
      <w:r>
        <w:rPr>
          <w:rFonts w:ascii="Arial" w:eastAsia="Times New Roman" w:hAnsi="Arial" w:cs="Arial"/>
          <w:sz w:val="24"/>
          <w:szCs w:val="24"/>
        </w:rPr>
        <w:t xml:space="preserve"> </w:t>
      </w:r>
      <w:r w:rsidRPr="00205CC3">
        <w:rPr>
          <w:rFonts w:ascii="Arial" w:eastAsia="Times New Roman" w:hAnsi="Arial" w:cs="Arial"/>
          <w:sz w:val="24"/>
          <w:szCs w:val="24"/>
        </w:rPr>
        <w:t>Many prenatal diagnostic centers and professional organizations (</w:t>
      </w:r>
      <w:r w:rsidRPr="00205CC3">
        <w:rPr>
          <w:rFonts w:ascii="Arial" w:eastAsia="Times New Roman" w:hAnsi="Arial" w:cs="Arial"/>
          <w:i/>
          <w:sz w:val="24"/>
          <w:szCs w:val="24"/>
        </w:rPr>
        <w:t>e.g.,</w:t>
      </w:r>
      <w:r w:rsidRPr="00205CC3">
        <w:rPr>
          <w:rFonts w:ascii="Arial" w:eastAsia="Times New Roman" w:hAnsi="Arial" w:cs="Arial"/>
          <w:sz w:val="24"/>
          <w:szCs w:val="24"/>
        </w:rPr>
        <w:t xml:space="preserve"> ACOG, NSGC) have produced and, in some cases, formally evaluated educational materials on amniocentesis and follow-up of positive screening test results that are in effective formats, at appropriate reading levels, and available in multiple languages.</w:t>
      </w:r>
      <w:r>
        <w:rPr>
          <w:rFonts w:ascii="Arial" w:eastAsia="Times New Roman" w:hAnsi="Arial" w:cs="Arial"/>
          <w:sz w:val="24"/>
          <w:szCs w:val="24"/>
        </w:rPr>
        <w:t xml:space="preserve"> </w:t>
      </w:r>
      <w:r w:rsidRPr="00205CC3">
        <w:rPr>
          <w:rFonts w:ascii="Arial" w:eastAsia="Times New Roman" w:hAnsi="Arial" w:cs="Arial"/>
          <w:sz w:val="24"/>
          <w:szCs w:val="24"/>
        </w:rPr>
        <w:t>Laboratories should supply informational materials for health care providers that include the following:</w:t>
      </w:r>
    </w:p>
    <w:p w14:paraId="0B67454C" w14:textId="77777777" w:rsidR="00BE6B37" w:rsidRPr="00205CC3" w:rsidRDefault="00BE6B37" w:rsidP="00BE6B37">
      <w:pPr>
        <w:numPr>
          <w:ilvl w:val="0"/>
          <w:numId w:val="1"/>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Detailed information about how samples should be collected, packaged and transported to the laboratory</w:t>
      </w:r>
      <w:r>
        <w:rPr>
          <w:rFonts w:ascii="Arial" w:eastAsia="Times New Roman" w:hAnsi="Arial" w:cs="Arial"/>
          <w:sz w:val="24"/>
          <w:szCs w:val="24"/>
        </w:rPr>
        <w:t>;</w:t>
      </w:r>
    </w:p>
    <w:p w14:paraId="13DA3E7E" w14:textId="77777777" w:rsidR="00BE6B37" w:rsidRPr="00205CC3" w:rsidRDefault="00BE6B37" w:rsidP="00BE6B37">
      <w:pPr>
        <w:numPr>
          <w:ilvl w:val="0"/>
          <w:numId w:val="1"/>
        </w:numPr>
        <w:tabs>
          <w:tab w:val="left" w:pos="1857"/>
        </w:tabs>
        <w:spacing w:after="0" w:line="480" w:lineRule="auto"/>
        <w:contextualSpacing/>
        <w:rPr>
          <w:rFonts w:ascii="Arial" w:eastAsia="Times New Roman" w:hAnsi="Arial" w:cs="Arial"/>
          <w:sz w:val="24"/>
          <w:szCs w:val="24"/>
        </w:rPr>
      </w:pPr>
      <w:r>
        <w:rPr>
          <w:rFonts w:ascii="Arial" w:eastAsia="Times New Roman" w:hAnsi="Arial" w:cs="Arial"/>
          <w:sz w:val="24"/>
          <w:szCs w:val="24"/>
        </w:rPr>
        <w:t>Ex</w:t>
      </w:r>
      <w:r w:rsidRPr="00205CC3">
        <w:rPr>
          <w:rFonts w:ascii="Arial" w:eastAsia="Times New Roman" w:hAnsi="Arial" w:cs="Arial"/>
          <w:sz w:val="24"/>
          <w:szCs w:val="24"/>
        </w:rPr>
        <w:t xml:space="preserve">amples of </w:t>
      </w:r>
      <w:r>
        <w:rPr>
          <w:rFonts w:ascii="Arial" w:eastAsia="Times New Roman" w:hAnsi="Arial" w:cs="Arial"/>
          <w:sz w:val="24"/>
          <w:szCs w:val="24"/>
        </w:rPr>
        <w:t xml:space="preserve">completed </w:t>
      </w:r>
      <w:r w:rsidRPr="00205CC3">
        <w:rPr>
          <w:rFonts w:ascii="Arial" w:eastAsia="Times New Roman" w:hAnsi="Arial" w:cs="Arial"/>
          <w:sz w:val="24"/>
          <w:szCs w:val="24"/>
        </w:rPr>
        <w:t>test requisitions</w:t>
      </w:r>
      <w:r>
        <w:rPr>
          <w:rFonts w:ascii="Arial" w:eastAsia="Times New Roman" w:hAnsi="Arial" w:cs="Arial"/>
          <w:sz w:val="24"/>
          <w:szCs w:val="24"/>
        </w:rPr>
        <w:t>;</w:t>
      </w:r>
      <w:r w:rsidRPr="00205CC3">
        <w:rPr>
          <w:rFonts w:ascii="Arial" w:eastAsia="Times New Roman" w:hAnsi="Arial" w:cs="Arial"/>
          <w:sz w:val="24"/>
          <w:szCs w:val="24"/>
        </w:rPr>
        <w:t xml:space="preserve"> </w:t>
      </w:r>
    </w:p>
    <w:p w14:paraId="369C1EFF" w14:textId="77777777" w:rsidR="00BE6B37" w:rsidRPr="00205CC3" w:rsidRDefault="00BE6B37" w:rsidP="00BE6B37">
      <w:pPr>
        <w:numPr>
          <w:ilvl w:val="0"/>
          <w:numId w:val="1"/>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General information on testing, such as when reflex acetylcholinesterase (AChE) will be needed, turn-around times, and when results will be returned</w:t>
      </w:r>
      <w:r>
        <w:rPr>
          <w:rFonts w:ascii="Arial" w:eastAsia="Times New Roman" w:hAnsi="Arial" w:cs="Arial"/>
          <w:sz w:val="24"/>
          <w:szCs w:val="24"/>
        </w:rPr>
        <w:t>;</w:t>
      </w:r>
    </w:p>
    <w:p w14:paraId="1E5DF175" w14:textId="77777777" w:rsidR="00BE6B37" w:rsidRPr="00205CC3" w:rsidRDefault="00BE6B37" w:rsidP="00BE6B37">
      <w:pPr>
        <w:numPr>
          <w:ilvl w:val="0"/>
          <w:numId w:val="1"/>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 xml:space="preserve">Information about reporting formats and expectations for amniotic fluid </w:t>
      </w:r>
      <w:r>
        <w:rPr>
          <w:rFonts w:ascii="Arial" w:eastAsia="Times New Roman" w:hAnsi="Arial" w:cs="Arial"/>
          <w:sz w:val="24"/>
          <w:szCs w:val="24"/>
        </w:rPr>
        <w:t>alpha fetoprotein (af</w:t>
      </w:r>
      <w:r w:rsidRPr="00205CC3">
        <w:rPr>
          <w:rFonts w:ascii="Arial" w:eastAsia="Times New Roman" w:hAnsi="Arial" w:cs="Arial"/>
          <w:sz w:val="24"/>
          <w:szCs w:val="24"/>
        </w:rPr>
        <w:t>AFP</w:t>
      </w:r>
      <w:r>
        <w:rPr>
          <w:rFonts w:ascii="Arial" w:eastAsia="Times New Roman" w:hAnsi="Arial" w:cs="Arial"/>
          <w:sz w:val="24"/>
          <w:szCs w:val="24"/>
        </w:rPr>
        <w:t>)</w:t>
      </w:r>
      <w:r w:rsidRPr="00205CC3">
        <w:rPr>
          <w:rFonts w:ascii="Arial" w:eastAsia="Times New Roman" w:hAnsi="Arial" w:cs="Arial"/>
          <w:sz w:val="24"/>
          <w:szCs w:val="24"/>
        </w:rPr>
        <w:t xml:space="preserve"> and AChE test performance</w:t>
      </w:r>
      <w:r>
        <w:rPr>
          <w:rFonts w:ascii="Arial" w:eastAsia="Times New Roman" w:hAnsi="Arial" w:cs="Arial"/>
          <w:sz w:val="24"/>
          <w:szCs w:val="24"/>
        </w:rPr>
        <w:t>.</w:t>
      </w:r>
    </w:p>
    <w:p w14:paraId="1504E0A9" w14:textId="77777777" w:rsidR="00BE6B37" w:rsidRPr="00205CC3" w:rsidRDefault="00BE6B37" w:rsidP="00BE6B37">
      <w:pPr>
        <w:tabs>
          <w:tab w:val="left" w:pos="1857"/>
        </w:tabs>
        <w:spacing w:after="0" w:line="480" w:lineRule="auto"/>
        <w:ind w:left="720"/>
        <w:contextualSpacing/>
        <w:rPr>
          <w:rFonts w:ascii="Arial" w:eastAsia="Times New Roman" w:hAnsi="Arial" w:cs="Arial"/>
          <w:sz w:val="24"/>
          <w:szCs w:val="24"/>
        </w:rPr>
      </w:pPr>
    </w:p>
    <w:p w14:paraId="772B6DFC"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Information about diagnostic testing for ONTD is included as part of general informed consent for amniocentesis.</w:t>
      </w:r>
      <w:r>
        <w:rPr>
          <w:rFonts w:ascii="Arial" w:eastAsia="Times New Roman" w:hAnsi="Arial" w:cs="Arial"/>
          <w:sz w:val="24"/>
          <w:szCs w:val="24"/>
        </w:rPr>
        <w:t xml:space="preserve"> </w:t>
      </w:r>
      <w:r w:rsidRPr="00205CC3">
        <w:rPr>
          <w:rFonts w:ascii="Arial" w:eastAsia="Times New Roman" w:hAnsi="Arial" w:cs="Arial"/>
          <w:sz w:val="24"/>
          <w:szCs w:val="24"/>
        </w:rPr>
        <w:t xml:space="preserve">Collecting informed consent is not the responsibility of the laboratory but laboratories may want or need to document that the </w:t>
      </w:r>
      <w:r w:rsidRPr="00205CC3">
        <w:rPr>
          <w:rFonts w:ascii="Arial" w:eastAsia="Times New Roman" w:hAnsi="Arial" w:cs="Arial"/>
          <w:sz w:val="24"/>
          <w:szCs w:val="24"/>
        </w:rPr>
        <w:lastRenderedPageBreak/>
        <w:t>process has occurred.</w:t>
      </w:r>
      <w:r>
        <w:rPr>
          <w:rFonts w:ascii="Arial" w:eastAsia="Times New Roman" w:hAnsi="Arial" w:cs="Arial"/>
          <w:sz w:val="24"/>
          <w:szCs w:val="24"/>
        </w:rPr>
        <w:t xml:space="preserve"> </w:t>
      </w:r>
      <w:r w:rsidRPr="00205CC3">
        <w:rPr>
          <w:rFonts w:ascii="Arial" w:eastAsia="Times New Roman" w:hAnsi="Arial" w:cs="Arial"/>
          <w:bCs/>
          <w:sz w:val="24"/>
          <w:szCs w:val="24"/>
        </w:rPr>
        <w:t>The collection of complete and accurate intake information</w:t>
      </w:r>
      <w:r w:rsidRPr="00205CC3">
        <w:rPr>
          <w:rFonts w:ascii="Arial" w:eastAsia="Times New Roman" w:hAnsi="Arial" w:cs="Arial"/>
          <w:sz w:val="24"/>
          <w:szCs w:val="24"/>
        </w:rPr>
        <w:t xml:space="preserve"> is necessary for providing the most reliable interpretation.</w:t>
      </w:r>
      <w:r>
        <w:rPr>
          <w:rFonts w:ascii="Arial" w:eastAsia="Times New Roman" w:hAnsi="Arial" w:cs="Arial"/>
          <w:sz w:val="24"/>
          <w:szCs w:val="24"/>
        </w:rPr>
        <w:t xml:space="preserve"> </w:t>
      </w:r>
      <w:r w:rsidRPr="00205CC3">
        <w:rPr>
          <w:rFonts w:ascii="Arial" w:eastAsia="Times New Roman" w:hAnsi="Arial" w:cs="Arial"/>
          <w:sz w:val="24"/>
          <w:szCs w:val="24"/>
        </w:rPr>
        <w:t xml:space="preserve">Laboratories should have a mechanism to collect pre-test clinical information </w:t>
      </w:r>
      <w:r w:rsidRPr="00205CC3">
        <w:rPr>
          <w:rFonts w:ascii="Arial" w:eastAsia="Times New Roman" w:hAnsi="Arial" w:cs="Arial"/>
          <w:bCs/>
          <w:sz w:val="24"/>
          <w:szCs w:val="24"/>
        </w:rPr>
        <w:t>through a well</w:t>
      </w:r>
      <w:r w:rsidRPr="00205CC3">
        <w:rPr>
          <w:rFonts w:ascii="Arial" w:eastAsia="Times New Roman" w:hAnsi="Arial" w:cs="Arial"/>
          <w:sz w:val="24"/>
          <w:szCs w:val="24"/>
        </w:rPr>
        <w:t xml:space="preserve">-designed requisition form </w:t>
      </w:r>
      <w:r w:rsidRPr="00205CC3">
        <w:rPr>
          <w:rFonts w:ascii="Arial" w:eastAsia="Times New Roman" w:hAnsi="Arial" w:cs="Arial"/>
          <w:bCs/>
          <w:sz w:val="24"/>
          <w:szCs w:val="24"/>
        </w:rPr>
        <w:t>that</w:t>
      </w:r>
      <w:r w:rsidRPr="00205CC3">
        <w:rPr>
          <w:rFonts w:ascii="Arial" w:eastAsia="Times New Roman" w:hAnsi="Arial" w:cs="Arial"/>
          <w:b/>
          <w:bCs/>
          <w:sz w:val="24"/>
          <w:szCs w:val="24"/>
        </w:rPr>
        <w:t xml:space="preserve"> </w:t>
      </w:r>
      <w:r w:rsidRPr="00205CC3">
        <w:rPr>
          <w:rFonts w:ascii="Arial" w:eastAsia="Times New Roman" w:hAnsi="Arial" w:cs="Arial"/>
          <w:sz w:val="24"/>
          <w:szCs w:val="24"/>
        </w:rPr>
        <w:t>includes:</w:t>
      </w:r>
    </w:p>
    <w:p w14:paraId="58275E65" w14:textId="77777777" w:rsidR="00BE6B37" w:rsidRPr="00205CC3" w:rsidRDefault="00BE6B37" w:rsidP="00BE6B37">
      <w:pPr>
        <w:numPr>
          <w:ilvl w:val="0"/>
          <w:numId w:val="2"/>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Name and other unique identifying information</w:t>
      </w:r>
      <w:r>
        <w:rPr>
          <w:rFonts w:ascii="Arial" w:eastAsia="Times New Roman" w:hAnsi="Arial" w:cs="Arial"/>
          <w:sz w:val="24"/>
          <w:szCs w:val="24"/>
        </w:rPr>
        <w:t>;</w:t>
      </w:r>
    </w:p>
    <w:p w14:paraId="795D40A6" w14:textId="77777777" w:rsidR="00BE6B37" w:rsidRPr="00205CC3" w:rsidRDefault="00BE6B37" w:rsidP="00BE6B37">
      <w:pPr>
        <w:numPr>
          <w:ilvl w:val="0"/>
          <w:numId w:val="2"/>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Sample collection date</w:t>
      </w:r>
      <w:r>
        <w:rPr>
          <w:rFonts w:ascii="Arial" w:eastAsia="Times New Roman" w:hAnsi="Arial" w:cs="Arial"/>
          <w:sz w:val="24"/>
          <w:szCs w:val="24"/>
        </w:rPr>
        <w:t>;</w:t>
      </w:r>
    </w:p>
    <w:p w14:paraId="09861918" w14:textId="77777777" w:rsidR="00BE6B37" w:rsidRPr="00205CC3" w:rsidRDefault="00BE6B37" w:rsidP="00BE6B37">
      <w:pPr>
        <w:numPr>
          <w:ilvl w:val="0"/>
          <w:numId w:val="2"/>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Information to date the pregnancy, preferably by ultrasound measurement(s) (</w:t>
      </w:r>
      <w:r w:rsidRPr="00205CC3">
        <w:rPr>
          <w:rFonts w:ascii="Arial" w:eastAsia="Times New Roman" w:hAnsi="Arial" w:cs="Arial"/>
          <w:i/>
          <w:sz w:val="24"/>
          <w:szCs w:val="24"/>
        </w:rPr>
        <w:t>e.g.</w:t>
      </w:r>
      <w:r w:rsidRPr="00205CC3">
        <w:rPr>
          <w:rFonts w:ascii="Arial" w:eastAsia="Times New Roman" w:hAnsi="Arial" w:cs="Arial"/>
          <w:sz w:val="24"/>
          <w:szCs w:val="24"/>
        </w:rPr>
        <w:t>, the date of the ultrasound and assigned gestational age on that day)</w:t>
      </w:r>
      <w:r>
        <w:rPr>
          <w:rFonts w:ascii="Arial" w:eastAsia="Times New Roman" w:hAnsi="Arial" w:cs="Arial"/>
          <w:sz w:val="24"/>
          <w:szCs w:val="24"/>
        </w:rPr>
        <w:t>;</w:t>
      </w:r>
    </w:p>
    <w:p w14:paraId="787D59B3" w14:textId="77777777" w:rsidR="00BE6B37" w:rsidRPr="00205CC3" w:rsidRDefault="00BE6B37" w:rsidP="00BE6B37">
      <w:pPr>
        <w:numPr>
          <w:ilvl w:val="0"/>
          <w:numId w:val="2"/>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Indication for testing (</w:t>
      </w:r>
      <w:r w:rsidRPr="00205CC3">
        <w:rPr>
          <w:rFonts w:ascii="Arial" w:eastAsia="Times New Roman" w:hAnsi="Arial" w:cs="Arial"/>
          <w:i/>
          <w:sz w:val="24"/>
          <w:szCs w:val="24"/>
        </w:rPr>
        <w:t>e.g.,</w:t>
      </w:r>
      <w:r w:rsidRPr="00205CC3">
        <w:rPr>
          <w:rFonts w:ascii="Arial" w:eastAsia="Times New Roman" w:hAnsi="Arial" w:cs="Arial"/>
          <w:sz w:val="24"/>
          <w:szCs w:val="24"/>
        </w:rPr>
        <w:t xml:space="preserve"> elevated serum AFP, abnormal ultrasound findings, family history of NTD, maternal teratogen exposure)</w:t>
      </w:r>
      <w:r>
        <w:rPr>
          <w:rFonts w:ascii="Arial" w:eastAsia="Times New Roman" w:hAnsi="Arial" w:cs="Arial"/>
          <w:sz w:val="24"/>
          <w:szCs w:val="24"/>
        </w:rPr>
        <w:t>;</w:t>
      </w:r>
    </w:p>
    <w:p w14:paraId="7BE719C4" w14:textId="77777777" w:rsidR="00BE6B37" w:rsidRPr="00205CC3" w:rsidRDefault="00BE6B37" w:rsidP="00BE6B37">
      <w:pPr>
        <w:numPr>
          <w:ilvl w:val="0"/>
          <w:numId w:val="2"/>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Name, address and telephone/fax number of referring health care provider or prenatal diagnostic center</w:t>
      </w:r>
      <w:r>
        <w:rPr>
          <w:rFonts w:ascii="Arial" w:eastAsia="Times New Roman" w:hAnsi="Arial" w:cs="Arial"/>
          <w:sz w:val="24"/>
          <w:szCs w:val="24"/>
        </w:rPr>
        <w:t>;</w:t>
      </w:r>
    </w:p>
    <w:p w14:paraId="6BD46A36" w14:textId="77777777" w:rsidR="00BE6B37" w:rsidRPr="00205CC3" w:rsidRDefault="00BE6B37" w:rsidP="00BE6B37">
      <w:pPr>
        <w:numPr>
          <w:ilvl w:val="0"/>
          <w:numId w:val="2"/>
        </w:numPr>
        <w:tabs>
          <w:tab w:val="left" w:pos="1857"/>
        </w:tabs>
        <w:spacing w:after="0" w:line="480" w:lineRule="auto"/>
        <w:contextualSpacing/>
        <w:rPr>
          <w:rFonts w:ascii="Arial" w:eastAsia="Times New Roman" w:hAnsi="Arial" w:cs="Arial"/>
          <w:bCs/>
          <w:i/>
          <w:sz w:val="24"/>
          <w:szCs w:val="24"/>
        </w:rPr>
      </w:pPr>
      <w:r w:rsidRPr="00205CC3">
        <w:rPr>
          <w:rFonts w:ascii="Arial" w:eastAsia="Times New Roman" w:hAnsi="Arial" w:cs="Arial"/>
          <w:sz w:val="24"/>
          <w:szCs w:val="24"/>
        </w:rPr>
        <w:t>Sample type and condition (</w:t>
      </w:r>
      <w:r w:rsidRPr="00205CC3">
        <w:rPr>
          <w:rFonts w:ascii="Arial" w:eastAsia="Times New Roman" w:hAnsi="Arial" w:cs="Arial"/>
          <w:i/>
          <w:sz w:val="24"/>
          <w:szCs w:val="24"/>
        </w:rPr>
        <w:t>e.g.,</w:t>
      </w:r>
      <w:r w:rsidRPr="00205CC3">
        <w:rPr>
          <w:rFonts w:ascii="Arial" w:eastAsia="Times New Roman" w:hAnsi="Arial" w:cs="Arial"/>
          <w:sz w:val="24"/>
          <w:szCs w:val="24"/>
        </w:rPr>
        <w:t xml:space="preserve"> spun or unspun amniotic fluid, visibly bloodstained)</w:t>
      </w:r>
      <w:r>
        <w:rPr>
          <w:rFonts w:ascii="Arial" w:eastAsia="Times New Roman" w:hAnsi="Arial" w:cs="Arial"/>
          <w:sz w:val="24"/>
          <w:szCs w:val="24"/>
        </w:rPr>
        <w:t>.</w:t>
      </w:r>
    </w:p>
    <w:p w14:paraId="4EFB9D1E" w14:textId="676BABE8" w:rsidR="00BE6B37" w:rsidRPr="0063247D" w:rsidRDefault="00CA029B" w:rsidP="00BE6B37">
      <w:pPr>
        <w:pStyle w:val="Heading2"/>
        <w:spacing w:line="480" w:lineRule="auto"/>
      </w:pPr>
      <w:bookmarkStart w:id="4" w:name="_Toc401413021"/>
      <w:r>
        <w:t>S</w:t>
      </w:r>
      <w:r w:rsidR="00BE6B37" w:rsidRPr="0063247D">
        <w:t>.2 Specimen collection and transportation</w:t>
      </w:r>
      <w:bookmarkEnd w:id="4"/>
    </w:p>
    <w:p w14:paraId="25C75959" w14:textId="0C2B4351" w:rsidR="00BE6B37" w:rsidRPr="00205CC3" w:rsidRDefault="007A5AA8" w:rsidP="00BE6B37">
      <w:pPr>
        <w:tabs>
          <w:tab w:val="left" w:pos="1857"/>
        </w:tabs>
        <w:spacing w:after="0" w:line="480" w:lineRule="auto"/>
        <w:ind w:firstLine="360"/>
        <w:rPr>
          <w:rFonts w:ascii="Arial" w:eastAsia="Times New Roman" w:hAnsi="Arial" w:cs="Arial"/>
          <w:sz w:val="24"/>
          <w:szCs w:val="24"/>
        </w:rPr>
      </w:pPr>
      <w:r>
        <w:rPr>
          <w:rFonts w:ascii="Arial" w:eastAsia="Times New Roman" w:hAnsi="Arial" w:cs="Arial"/>
          <w:sz w:val="24"/>
          <w:szCs w:val="24"/>
        </w:rPr>
        <w:t>A</w:t>
      </w:r>
      <w:r w:rsidR="00BE6B37" w:rsidRPr="00205CC3">
        <w:rPr>
          <w:rFonts w:ascii="Arial" w:eastAsia="Times New Roman" w:hAnsi="Arial" w:cs="Arial"/>
          <w:sz w:val="24"/>
          <w:szCs w:val="24"/>
        </w:rPr>
        <w:t>mniotic fluid aliquots are typically received from the cytogenetics laboratory.</w:t>
      </w:r>
      <w:r w:rsidR="00BE6B37">
        <w:rPr>
          <w:rFonts w:ascii="Arial" w:eastAsia="Times New Roman" w:hAnsi="Arial" w:cs="Arial"/>
          <w:sz w:val="24"/>
          <w:szCs w:val="24"/>
        </w:rPr>
        <w:t xml:space="preserve"> </w:t>
      </w:r>
      <w:r w:rsidR="00BE6B37" w:rsidRPr="00205CC3">
        <w:rPr>
          <w:rFonts w:ascii="Arial" w:eastAsia="Times New Roman" w:hAnsi="Arial" w:cs="Arial"/>
          <w:sz w:val="24"/>
          <w:szCs w:val="24"/>
        </w:rPr>
        <w:t>Tubes should be labeled with the patient's name</w:t>
      </w:r>
      <w:r w:rsidR="00BE6B37">
        <w:rPr>
          <w:rFonts w:ascii="Arial" w:eastAsia="Times New Roman" w:hAnsi="Arial" w:cs="Arial"/>
          <w:sz w:val="24"/>
          <w:szCs w:val="24"/>
        </w:rPr>
        <w:t>, a second identifier</w:t>
      </w:r>
      <w:r w:rsidR="00BE6B37" w:rsidRPr="00205CC3">
        <w:rPr>
          <w:rFonts w:ascii="Arial" w:eastAsia="Times New Roman" w:hAnsi="Arial" w:cs="Arial"/>
          <w:sz w:val="24"/>
          <w:szCs w:val="24"/>
        </w:rPr>
        <w:t xml:space="preserve"> and </w:t>
      </w:r>
      <w:r w:rsidR="00BE6B37">
        <w:rPr>
          <w:rFonts w:ascii="Arial" w:eastAsia="Times New Roman" w:hAnsi="Arial" w:cs="Arial"/>
          <w:sz w:val="24"/>
          <w:szCs w:val="24"/>
        </w:rPr>
        <w:t>sample collection</w:t>
      </w:r>
      <w:r w:rsidR="00BE6B37" w:rsidRPr="00205CC3">
        <w:rPr>
          <w:rFonts w:ascii="Arial" w:eastAsia="Times New Roman" w:hAnsi="Arial" w:cs="Arial"/>
          <w:sz w:val="24"/>
          <w:szCs w:val="24"/>
        </w:rPr>
        <w:t xml:space="preserve"> date.</w:t>
      </w:r>
      <w:r w:rsidR="00BE6B37">
        <w:rPr>
          <w:rFonts w:ascii="Arial" w:eastAsia="Times New Roman" w:hAnsi="Arial" w:cs="Arial"/>
          <w:sz w:val="24"/>
          <w:szCs w:val="24"/>
        </w:rPr>
        <w:t xml:space="preserve"> </w:t>
      </w:r>
      <w:r w:rsidR="00BE6B37" w:rsidRPr="00205CC3">
        <w:rPr>
          <w:rFonts w:ascii="Arial" w:eastAsia="Times New Roman" w:hAnsi="Arial" w:cs="Arial"/>
          <w:sz w:val="24"/>
          <w:szCs w:val="24"/>
        </w:rPr>
        <w:t>Amniotic fluid color, turbidity and presence of any visible blood should be noted; reddish or brown color may indicate the presence of maternal or fetal blood contamination.</w:t>
      </w:r>
    </w:p>
    <w:p w14:paraId="6BBB6FD0"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Acceptable specimen handling from the laboratory should be specified, including acceptable aliquot tubes, mode of transportation (</w:t>
      </w:r>
      <w:r w:rsidRPr="00205CC3">
        <w:rPr>
          <w:rFonts w:ascii="Arial" w:eastAsia="Times New Roman" w:hAnsi="Arial" w:cs="Arial"/>
          <w:i/>
          <w:sz w:val="24"/>
          <w:szCs w:val="24"/>
        </w:rPr>
        <w:t>e.g.,</w:t>
      </w:r>
      <w:r w:rsidRPr="00205CC3">
        <w:rPr>
          <w:rFonts w:ascii="Arial" w:eastAsia="Times New Roman" w:hAnsi="Arial" w:cs="Arial"/>
          <w:sz w:val="24"/>
          <w:szCs w:val="24"/>
        </w:rPr>
        <w:t xml:space="preserve"> courier, U.S. mail, overnight transport), and temperature.</w:t>
      </w:r>
      <w:r>
        <w:rPr>
          <w:rFonts w:ascii="Arial" w:eastAsia="Times New Roman" w:hAnsi="Arial" w:cs="Arial"/>
          <w:sz w:val="24"/>
          <w:szCs w:val="24"/>
        </w:rPr>
        <w:t xml:space="preserve"> </w:t>
      </w:r>
      <w:r w:rsidRPr="00205CC3">
        <w:rPr>
          <w:rFonts w:ascii="Arial" w:eastAsia="Times New Roman" w:hAnsi="Arial" w:cs="Arial"/>
          <w:sz w:val="24"/>
          <w:szCs w:val="24"/>
        </w:rPr>
        <w:t>AFP in amniotic fluid is not as stable as in maternal serum.</w:t>
      </w:r>
      <w:r>
        <w:rPr>
          <w:rFonts w:ascii="Arial" w:eastAsia="Times New Roman" w:hAnsi="Arial" w:cs="Arial"/>
          <w:sz w:val="24"/>
          <w:szCs w:val="24"/>
        </w:rPr>
        <w:t xml:space="preserve"> </w:t>
      </w:r>
      <w:r w:rsidRPr="00205CC3">
        <w:rPr>
          <w:rFonts w:ascii="Arial" w:eastAsia="Times New Roman" w:hAnsi="Arial" w:cs="Arial"/>
          <w:sz w:val="24"/>
          <w:szCs w:val="24"/>
        </w:rPr>
        <w:lastRenderedPageBreak/>
        <w:t>Consequently, amniotic fluid samples should not be held at room temperature any longer than necessary.</w:t>
      </w:r>
      <w:r>
        <w:rPr>
          <w:rFonts w:ascii="Arial" w:eastAsia="Times New Roman" w:hAnsi="Arial" w:cs="Arial"/>
          <w:sz w:val="24"/>
          <w:szCs w:val="24"/>
        </w:rPr>
        <w:t xml:space="preserve"> </w:t>
      </w:r>
      <w:r w:rsidRPr="00205CC3">
        <w:rPr>
          <w:rFonts w:ascii="Arial" w:eastAsia="Times New Roman" w:hAnsi="Arial" w:cs="Arial"/>
          <w:sz w:val="24"/>
          <w:szCs w:val="24"/>
        </w:rPr>
        <w:t>Samples should be shipped on cool packs or kept frozen.</w:t>
      </w:r>
      <w:r>
        <w:rPr>
          <w:rFonts w:ascii="Arial" w:eastAsia="Times New Roman" w:hAnsi="Arial" w:cs="Arial"/>
          <w:sz w:val="24"/>
          <w:szCs w:val="24"/>
        </w:rPr>
        <w:t xml:space="preserve"> </w:t>
      </w:r>
      <w:r w:rsidRPr="00205CC3">
        <w:rPr>
          <w:rFonts w:ascii="Arial" w:eastAsia="Times New Roman" w:hAnsi="Arial" w:cs="Arial"/>
          <w:sz w:val="24"/>
          <w:szCs w:val="24"/>
        </w:rPr>
        <w:t>Avoid exposure to high temperatures if possible.</w:t>
      </w:r>
      <w:r>
        <w:rPr>
          <w:rFonts w:ascii="Arial" w:eastAsia="Times New Roman" w:hAnsi="Arial" w:cs="Arial"/>
          <w:sz w:val="24"/>
          <w:szCs w:val="24"/>
        </w:rPr>
        <w:t xml:space="preserve"> </w:t>
      </w:r>
      <w:r w:rsidRPr="00205CC3">
        <w:rPr>
          <w:rFonts w:ascii="Arial" w:eastAsia="Times New Roman" w:hAnsi="Arial" w:cs="Arial"/>
          <w:sz w:val="24"/>
          <w:szCs w:val="24"/>
        </w:rPr>
        <w:t>Next-day delivery is advisable.</w:t>
      </w:r>
      <w:r>
        <w:rPr>
          <w:rFonts w:ascii="Arial" w:eastAsia="Times New Roman" w:hAnsi="Arial" w:cs="Arial"/>
          <w:sz w:val="24"/>
          <w:szCs w:val="24"/>
        </w:rPr>
        <w:t xml:space="preserve"> </w:t>
      </w:r>
      <w:r w:rsidRPr="00205CC3">
        <w:rPr>
          <w:rFonts w:ascii="Arial" w:eastAsia="Times New Roman" w:hAnsi="Arial" w:cs="Arial"/>
          <w:sz w:val="24"/>
          <w:szCs w:val="24"/>
        </w:rPr>
        <w:t>AChE and pseudocholinesterase (PChE) are reasonably stable.</w:t>
      </w:r>
    </w:p>
    <w:p w14:paraId="10BD7F84" w14:textId="57FDE1DB" w:rsidR="00BE6B37" w:rsidRPr="0063247D" w:rsidRDefault="00CA029B" w:rsidP="00BE6B37">
      <w:pPr>
        <w:pStyle w:val="Heading2"/>
        <w:spacing w:line="480" w:lineRule="auto"/>
      </w:pPr>
      <w:bookmarkStart w:id="5" w:name="_Toc401413022"/>
      <w:r>
        <w:t>S</w:t>
      </w:r>
      <w:r w:rsidR="00BE6B37" w:rsidRPr="0063247D">
        <w:t>.3 Specimen processing and storage</w:t>
      </w:r>
      <w:bookmarkEnd w:id="5"/>
    </w:p>
    <w:p w14:paraId="50D1B5A8"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bCs/>
          <w:sz w:val="24"/>
          <w:szCs w:val="24"/>
        </w:rPr>
        <w:t>Criteria for sample rejection must be specified by the laboratory</w:t>
      </w:r>
      <w:r w:rsidRPr="00205CC3">
        <w:rPr>
          <w:rFonts w:ascii="Arial" w:eastAsia="Times New Roman" w:hAnsi="Arial" w:cs="Arial"/>
          <w:sz w:val="24"/>
          <w:szCs w:val="24"/>
        </w:rPr>
        <w:t>.</w:t>
      </w:r>
      <w:r>
        <w:rPr>
          <w:rFonts w:ascii="Arial" w:eastAsia="Times New Roman" w:hAnsi="Arial" w:cs="Arial"/>
          <w:sz w:val="24"/>
          <w:szCs w:val="24"/>
        </w:rPr>
        <w:t xml:space="preserve"> </w:t>
      </w:r>
      <w:r w:rsidRPr="00205CC3">
        <w:rPr>
          <w:rFonts w:ascii="Arial" w:eastAsia="Times New Roman" w:hAnsi="Arial" w:cs="Arial"/>
          <w:sz w:val="24"/>
          <w:szCs w:val="24"/>
        </w:rPr>
        <w:t>Variables that may affect the acceptability of a sample for a specific afAFP testing protocol, or for AChE testing, should be established by the laboratory (</w:t>
      </w:r>
      <w:r w:rsidRPr="00205CC3">
        <w:rPr>
          <w:rFonts w:ascii="Arial" w:eastAsia="Times New Roman" w:hAnsi="Arial" w:cs="Arial"/>
          <w:i/>
          <w:sz w:val="24"/>
          <w:szCs w:val="24"/>
        </w:rPr>
        <w:t>e.g.,</w:t>
      </w:r>
      <w:r w:rsidRPr="00205CC3">
        <w:rPr>
          <w:rFonts w:ascii="Arial" w:eastAsia="Times New Roman" w:hAnsi="Arial" w:cs="Arial"/>
          <w:sz w:val="24"/>
          <w:szCs w:val="24"/>
        </w:rPr>
        <w:t xml:space="preserve"> interval between collection and receipt by the lab, environmental limits for temperature during transport).</w:t>
      </w:r>
      <w:r>
        <w:rPr>
          <w:rFonts w:ascii="Arial" w:eastAsia="Times New Roman" w:hAnsi="Arial" w:cs="Arial"/>
          <w:sz w:val="24"/>
          <w:szCs w:val="24"/>
        </w:rPr>
        <w:t xml:space="preserve"> </w:t>
      </w:r>
      <w:r w:rsidRPr="00205CC3">
        <w:rPr>
          <w:rFonts w:ascii="Arial" w:eastAsia="Times New Roman" w:hAnsi="Arial" w:cs="Arial"/>
          <w:sz w:val="24"/>
          <w:szCs w:val="24"/>
        </w:rPr>
        <w:t xml:space="preserve">AFP and AChE can be reliably assayed in </w:t>
      </w:r>
      <w:r>
        <w:rPr>
          <w:rFonts w:ascii="Arial" w:eastAsia="Times New Roman" w:hAnsi="Arial" w:cs="Arial"/>
          <w:sz w:val="24"/>
          <w:szCs w:val="24"/>
        </w:rPr>
        <w:t xml:space="preserve">amniotic fluid </w:t>
      </w:r>
      <w:r w:rsidRPr="00205CC3">
        <w:rPr>
          <w:rFonts w:ascii="Arial" w:eastAsia="Times New Roman" w:hAnsi="Arial" w:cs="Arial"/>
          <w:sz w:val="24"/>
          <w:szCs w:val="24"/>
        </w:rPr>
        <w:t>stored at 4-8</w:t>
      </w:r>
      <w:r>
        <w:rPr>
          <w:rFonts w:ascii="Arial" w:eastAsia="Times New Roman" w:hAnsi="Arial" w:cs="Arial"/>
          <w:sz w:val="24"/>
          <w:szCs w:val="24"/>
        </w:rPr>
        <w:t xml:space="preserve"> </w:t>
      </w:r>
      <w:r w:rsidRPr="00205CC3">
        <w:rPr>
          <w:rFonts w:ascii="Arial" w:eastAsia="Times New Roman" w:hAnsi="Arial" w:cs="Arial"/>
          <w:sz w:val="24"/>
          <w:szCs w:val="24"/>
        </w:rPr>
        <w:t>ºC for days and at -20</w:t>
      </w:r>
      <w:r>
        <w:rPr>
          <w:rFonts w:ascii="Arial" w:eastAsia="Times New Roman" w:hAnsi="Arial" w:cs="Arial"/>
          <w:sz w:val="24"/>
          <w:szCs w:val="24"/>
        </w:rPr>
        <w:t xml:space="preserve"> </w:t>
      </w:r>
      <w:r w:rsidRPr="00205CC3">
        <w:rPr>
          <w:rFonts w:ascii="Arial" w:eastAsia="Times New Roman" w:hAnsi="Arial" w:cs="Arial"/>
          <w:sz w:val="24"/>
          <w:szCs w:val="24"/>
        </w:rPr>
        <w:t>ºC for years.</w:t>
      </w:r>
      <w:r>
        <w:rPr>
          <w:rFonts w:ascii="Arial" w:eastAsia="Times New Roman" w:hAnsi="Arial" w:cs="Arial"/>
          <w:sz w:val="24"/>
          <w:szCs w:val="24"/>
        </w:rPr>
        <w:t xml:space="preserve"> </w:t>
      </w:r>
      <w:r w:rsidRPr="00205CC3">
        <w:rPr>
          <w:rFonts w:ascii="Arial" w:eastAsia="Times New Roman" w:hAnsi="Arial" w:cs="Arial"/>
          <w:sz w:val="24"/>
          <w:szCs w:val="24"/>
        </w:rPr>
        <w:t>Each laboratory should establish their own policies regarding specimen retention.</w:t>
      </w:r>
      <w:r>
        <w:rPr>
          <w:rFonts w:ascii="Arial" w:eastAsia="Times New Roman" w:hAnsi="Arial" w:cs="Arial"/>
          <w:sz w:val="24"/>
          <w:szCs w:val="24"/>
        </w:rPr>
        <w:t xml:space="preserve"> </w:t>
      </w:r>
      <w:r w:rsidRPr="00205CC3">
        <w:rPr>
          <w:rFonts w:ascii="Arial" w:eastAsia="Times New Roman" w:hAnsi="Arial" w:cs="Arial"/>
          <w:bCs/>
          <w:sz w:val="24"/>
          <w:szCs w:val="24"/>
        </w:rPr>
        <w:t>Specimen processing</w:t>
      </w:r>
      <w:r w:rsidRPr="00205CC3">
        <w:rPr>
          <w:rFonts w:ascii="Arial" w:eastAsia="Times New Roman" w:hAnsi="Arial" w:cs="Arial"/>
          <w:sz w:val="24"/>
          <w:szCs w:val="24"/>
        </w:rPr>
        <w:t xml:space="preserve"> protocols should be designed to avoid contamination, tampering or substitution.</w:t>
      </w:r>
      <w:r>
        <w:rPr>
          <w:rFonts w:ascii="Arial" w:eastAsia="Times New Roman" w:hAnsi="Arial" w:cs="Arial"/>
          <w:sz w:val="24"/>
          <w:szCs w:val="24"/>
        </w:rPr>
        <w:t xml:space="preserve"> </w:t>
      </w:r>
      <w:r w:rsidRPr="00205CC3">
        <w:rPr>
          <w:rFonts w:ascii="Arial" w:eastAsia="Times New Roman" w:hAnsi="Arial" w:cs="Arial"/>
          <w:sz w:val="24"/>
          <w:szCs w:val="24"/>
        </w:rPr>
        <w:t xml:space="preserve">Handling samples must be in accordance with OSHA guidelines, with the express understanding that any human fluids may harbor infectious agents. </w:t>
      </w:r>
    </w:p>
    <w:p w14:paraId="1832CB8B" w14:textId="28FA8689" w:rsidR="00BE6B37" w:rsidRPr="0063247D" w:rsidRDefault="00CA029B" w:rsidP="00BE6B37">
      <w:pPr>
        <w:pStyle w:val="Heading2"/>
        <w:spacing w:line="480" w:lineRule="auto"/>
      </w:pPr>
      <w:bookmarkStart w:id="6" w:name="_Toc401413023"/>
      <w:r>
        <w:t>S</w:t>
      </w:r>
      <w:r w:rsidR="00BE6B37" w:rsidRPr="0063247D">
        <w:t>.4 Assay methodologies</w:t>
      </w:r>
      <w:bookmarkEnd w:id="6"/>
    </w:p>
    <w:p w14:paraId="6FB76158"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Because afAFP levels are approximately 100 times higher than msAFP levels in maternal serum at 16 weeks, samples must generally be diluted 1:50 to 1:200, depending on the assay methodology used.</w:t>
      </w:r>
    </w:p>
    <w:p w14:paraId="691E629B"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Acetylcholinesterase</w:t>
      </w:r>
      <w:r w:rsidRPr="00205CC3">
        <w:rPr>
          <w:rFonts w:ascii="Arial" w:eastAsia="Times New Roman" w:hAnsi="Arial" w:cs="Arial"/>
          <w:b/>
          <w:sz w:val="24"/>
          <w:szCs w:val="24"/>
        </w:rPr>
        <w:t xml:space="preserve"> </w:t>
      </w:r>
      <w:r w:rsidRPr="00205CC3">
        <w:rPr>
          <w:rFonts w:ascii="Arial" w:eastAsia="Times New Roman" w:hAnsi="Arial" w:cs="Arial"/>
          <w:sz w:val="24"/>
          <w:szCs w:val="24"/>
        </w:rPr>
        <w:t>is a second diagnostic test employed along with afAFP to detect ONTDs.</w:t>
      </w:r>
      <w:r>
        <w:rPr>
          <w:rFonts w:ascii="Arial" w:eastAsia="Times New Roman" w:hAnsi="Arial" w:cs="Arial"/>
          <w:sz w:val="24"/>
          <w:szCs w:val="24"/>
        </w:rPr>
        <w:t xml:space="preserve"> </w:t>
      </w:r>
      <w:r w:rsidRPr="00205CC3">
        <w:rPr>
          <w:rFonts w:ascii="Arial" w:eastAsia="Times New Roman" w:hAnsi="Arial" w:cs="Arial"/>
          <w:sz w:val="24"/>
          <w:szCs w:val="24"/>
        </w:rPr>
        <w:t>AChE testing is indicated when the afAFP levels exceed a specific cut-off level; typically, 2.0 MoM.</w:t>
      </w:r>
      <w:r>
        <w:rPr>
          <w:rFonts w:ascii="Arial" w:eastAsia="Times New Roman" w:hAnsi="Arial" w:cs="Arial"/>
          <w:sz w:val="24"/>
          <w:szCs w:val="24"/>
        </w:rPr>
        <w:t xml:space="preserve"> </w:t>
      </w:r>
      <w:r w:rsidRPr="00205CC3">
        <w:rPr>
          <w:rFonts w:ascii="Arial" w:eastAsia="Times New Roman" w:hAnsi="Arial" w:cs="Arial"/>
          <w:sz w:val="24"/>
          <w:szCs w:val="24"/>
        </w:rPr>
        <w:t xml:space="preserve">AChE is often handled as a referral test as only a small </w:t>
      </w:r>
      <w:r w:rsidRPr="00205CC3">
        <w:rPr>
          <w:rFonts w:ascii="Arial" w:eastAsia="Times New Roman" w:hAnsi="Arial" w:cs="Arial"/>
          <w:sz w:val="24"/>
          <w:szCs w:val="24"/>
        </w:rPr>
        <w:lastRenderedPageBreak/>
        <w:t>number of laboratories currently offer this testing.</w:t>
      </w:r>
      <w:r>
        <w:rPr>
          <w:rFonts w:ascii="Arial" w:eastAsia="Times New Roman" w:hAnsi="Arial" w:cs="Arial"/>
          <w:sz w:val="24"/>
          <w:szCs w:val="24"/>
        </w:rPr>
        <w:t xml:space="preserve"> </w:t>
      </w:r>
      <w:r w:rsidRPr="00205CC3">
        <w:rPr>
          <w:rFonts w:ascii="Arial" w:eastAsia="Times New Roman" w:hAnsi="Arial" w:cs="Arial"/>
          <w:sz w:val="24"/>
          <w:szCs w:val="24"/>
        </w:rPr>
        <w:t>Positive controls are AChE positive or weak positive samples that have been coded to protect patient confidentiality, aliquoted, and stored frozen at -20 ºC.</w:t>
      </w:r>
      <w:r>
        <w:rPr>
          <w:rFonts w:ascii="Arial" w:eastAsia="Times New Roman" w:hAnsi="Arial" w:cs="Arial"/>
          <w:sz w:val="24"/>
          <w:szCs w:val="24"/>
        </w:rPr>
        <w:t xml:space="preserve"> </w:t>
      </w:r>
      <w:r w:rsidRPr="00205CC3">
        <w:rPr>
          <w:rFonts w:ascii="Arial" w:eastAsia="Times New Roman" w:hAnsi="Arial" w:cs="Arial"/>
          <w:sz w:val="24"/>
          <w:szCs w:val="24"/>
        </w:rPr>
        <w:t xml:space="preserve">Negative samples </w:t>
      </w:r>
      <w:r>
        <w:rPr>
          <w:rFonts w:ascii="Arial" w:eastAsia="Times New Roman" w:hAnsi="Arial" w:cs="Arial"/>
          <w:sz w:val="24"/>
          <w:szCs w:val="24"/>
        </w:rPr>
        <w:t xml:space="preserve">or RACs </w:t>
      </w:r>
      <w:r w:rsidRPr="00205CC3">
        <w:rPr>
          <w:rFonts w:ascii="Arial" w:eastAsia="Times New Roman" w:hAnsi="Arial" w:cs="Arial"/>
          <w:sz w:val="24"/>
          <w:szCs w:val="24"/>
        </w:rPr>
        <w:t>from recent assays can be used as negative controls.</w:t>
      </w:r>
    </w:p>
    <w:p w14:paraId="4DB9B50A"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bCs/>
          <w:sz w:val="24"/>
          <w:szCs w:val="24"/>
        </w:rPr>
        <w:t>Standards and calibration procedures and the value of RACs for amniotic fluid are covered above in the section on 2</w:t>
      </w:r>
      <w:r w:rsidRPr="00205CC3">
        <w:rPr>
          <w:rFonts w:ascii="Arial" w:eastAsia="Times New Roman" w:hAnsi="Arial" w:cs="Arial"/>
          <w:bCs/>
          <w:sz w:val="24"/>
          <w:szCs w:val="24"/>
          <w:vertAlign w:val="superscript"/>
        </w:rPr>
        <w:t>nd</w:t>
      </w:r>
      <w:r w:rsidRPr="00205CC3">
        <w:rPr>
          <w:rFonts w:ascii="Arial" w:eastAsia="Times New Roman" w:hAnsi="Arial" w:cs="Arial"/>
          <w:bCs/>
          <w:sz w:val="24"/>
          <w:szCs w:val="24"/>
        </w:rPr>
        <w:t xml:space="preserve"> trimester screening.</w:t>
      </w:r>
      <w:r>
        <w:rPr>
          <w:rFonts w:ascii="Arial" w:eastAsia="Times New Roman" w:hAnsi="Arial" w:cs="Arial"/>
          <w:bCs/>
          <w:sz w:val="24"/>
          <w:szCs w:val="24"/>
        </w:rPr>
        <w:t xml:space="preserve"> </w:t>
      </w:r>
      <w:r w:rsidRPr="00205CC3">
        <w:rPr>
          <w:rFonts w:ascii="Arial" w:eastAsia="Times New Roman" w:hAnsi="Arial" w:cs="Arial"/>
          <w:sz w:val="24"/>
          <w:szCs w:val="24"/>
        </w:rPr>
        <w:t>An in-house pooled amniotic fluid control should be prepared, aliquoted, and stored frozen at -20 ºC.</w:t>
      </w:r>
      <w:r>
        <w:rPr>
          <w:rFonts w:ascii="Arial" w:eastAsia="Times New Roman" w:hAnsi="Arial" w:cs="Arial"/>
          <w:sz w:val="24"/>
          <w:szCs w:val="24"/>
        </w:rPr>
        <w:t xml:space="preserve"> </w:t>
      </w:r>
      <w:r w:rsidRPr="00205CC3">
        <w:rPr>
          <w:rFonts w:ascii="Arial" w:eastAsia="Times New Roman" w:hAnsi="Arial" w:cs="Arial"/>
          <w:sz w:val="24"/>
          <w:szCs w:val="24"/>
        </w:rPr>
        <w:t xml:space="preserve">This material should be run with each batch of amniotic fluid samples as a control of the dilution process, whether the assay is performed manually or on-board an automated system. </w:t>
      </w:r>
    </w:p>
    <w:p w14:paraId="68632D94" w14:textId="03D341CD" w:rsidR="00BE6B37" w:rsidRPr="0063247D" w:rsidRDefault="00CA029B" w:rsidP="00BE6B37">
      <w:pPr>
        <w:pStyle w:val="Heading2"/>
        <w:spacing w:line="480" w:lineRule="auto"/>
      </w:pPr>
      <w:bookmarkStart w:id="7" w:name="_Toc401413024"/>
      <w:r>
        <w:t>S</w:t>
      </w:r>
      <w:r w:rsidR="00BE6B37" w:rsidRPr="0063247D">
        <w:t>.5 Quality control</w:t>
      </w:r>
      <w:bookmarkEnd w:id="7"/>
    </w:p>
    <w:p w14:paraId="3FD864A7"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Standard approaches used in the clinical laboratory are appropriate for internal QC/QA of afAFP, and AChE.</w:t>
      </w:r>
      <w:r>
        <w:rPr>
          <w:rFonts w:ascii="Arial" w:eastAsia="Times New Roman" w:hAnsi="Arial" w:cs="Arial"/>
          <w:sz w:val="24"/>
          <w:szCs w:val="24"/>
        </w:rPr>
        <w:t xml:space="preserve"> </w:t>
      </w:r>
      <w:r w:rsidRPr="00205CC3">
        <w:rPr>
          <w:rFonts w:ascii="Arial" w:eastAsia="Times New Roman" w:hAnsi="Arial" w:cs="Arial"/>
          <w:sz w:val="24"/>
          <w:szCs w:val="24"/>
        </w:rPr>
        <w:t>A</w:t>
      </w:r>
      <w:r w:rsidRPr="00205CC3">
        <w:rPr>
          <w:rFonts w:ascii="Arial" w:eastAsia="Times New Roman" w:hAnsi="Arial" w:cs="Arial"/>
          <w:bCs/>
          <w:sz w:val="24"/>
          <w:szCs w:val="24"/>
        </w:rPr>
        <w:t xml:space="preserve">s </w:t>
      </w:r>
      <w:r w:rsidRPr="00205CC3">
        <w:rPr>
          <w:rFonts w:ascii="Arial" w:eastAsia="Times New Roman" w:hAnsi="Arial" w:cs="Arial"/>
          <w:sz w:val="24"/>
          <w:szCs w:val="24"/>
        </w:rPr>
        <w:t>part of the initial method validation, the laboratory should demonstrate that intra- and inter-assay variation reported by the AFP kit manufacturer can be reproduced.</w:t>
      </w:r>
      <w:r>
        <w:rPr>
          <w:rFonts w:ascii="Arial" w:eastAsia="Times New Roman" w:hAnsi="Arial" w:cs="Arial"/>
          <w:sz w:val="24"/>
          <w:szCs w:val="24"/>
        </w:rPr>
        <w:t xml:space="preserve"> </w:t>
      </w:r>
      <w:r w:rsidRPr="00205CC3">
        <w:rPr>
          <w:rFonts w:ascii="Arial" w:eastAsia="Times New Roman" w:hAnsi="Arial" w:cs="Arial"/>
          <w:sz w:val="24"/>
          <w:szCs w:val="24"/>
        </w:rPr>
        <w:t>Standard approaches to routine equipment calibration and preventive maintenance used in the clinical laboratory are appropriate.</w:t>
      </w:r>
      <w:r>
        <w:rPr>
          <w:rFonts w:ascii="Arial" w:eastAsia="Times New Roman" w:hAnsi="Arial" w:cs="Arial"/>
          <w:sz w:val="24"/>
          <w:szCs w:val="24"/>
        </w:rPr>
        <w:t xml:space="preserve"> </w:t>
      </w:r>
      <w:r w:rsidRPr="00205CC3">
        <w:rPr>
          <w:rFonts w:ascii="Arial" w:eastAsia="Times New Roman" w:hAnsi="Arial" w:cs="Arial"/>
          <w:sz w:val="24"/>
          <w:szCs w:val="24"/>
        </w:rPr>
        <w:t>In many cases, calibration and maintenance protocols are set by the product/equipment manufacturer.</w:t>
      </w:r>
    </w:p>
    <w:p w14:paraId="6B9A24FF" w14:textId="60867D09" w:rsidR="00BE6B37" w:rsidRPr="0063247D" w:rsidRDefault="00CA029B" w:rsidP="00BE6B37">
      <w:pPr>
        <w:pStyle w:val="Heading2"/>
        <w:spacing w:line="480" w:lineRule="auto"/>
      </w:pPr>
      <w:bookmarkStart w:id="8" w:name="_Toc401413025"/>
      <w:r>
        <w:t>S</w:t>
      </w:r>
      <w:r w:rsidR="00BE6B37" w:rsidRPr="0063247D">
        <w:t>.6 Assay results</w:t>
      </w:r>
      <w:bookmarkEnd w:id="8"/>
    </w:p>
    <w:p w14:paraId="138A2BAC"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For afAFP measurements to be interpreted, they are first converted to MoM for a given gestational week.</w:t>
      </w:r>
      <w:r>
        <w:rPr>
          <w:rFonts w:ascii="Arial" w:eastAsia="Times New Roman" w:hAnsi="Arial" w:cs="Arial"/>
          <w:sz w:val="24"/>
          <w:szCs w:val="24"/>
        </w:rPr>
        <w:t xml:space="preserve"> </w:t>
      </w:r>
      <w:r w:rsidRPr="00205CC3">
        <w:rPr>
          <w:rFonts w:ascii="Arial" w:eastAsia="Times New Roman" w:hAnsi="Arial" w:cs="Arial"/>
          <w:sz w:val="24"/>
          <w:szCs w:val="24"/>
        </w:rPr>
        <w:t xml:space="preserve">It has been established that </w:t>
      </w:r>
      <w:r>
        <w:rPr>
          <w:rFonts w:ascii="Arial" w:eastAsia="Times New Roman" w:hAnsi="Arial" w:cs="Arial"/>
          <w:sz w:val="24"/>
          <w:szCs w:val="24"/>
        </w:rPr>
        <w:t>af</w:t>
      </w:r>
      <w:r w:rsidRPr="00205CC3">
        <w:rPr>
          <w:rFonts w:ascii="Arial" w:eastAsia="Times New Roman" w:hAnsi="Arial" w:cs="Arial"/>
          <w:sz w:val="24"/>
          <w:szCs w:val="24"/>
        </w:rPr>
        <w:t>AFP values obtained by different kit manufacturers or different lots from the same manufacturer may demonstrate systematic bias.</w:t>
      </w:r>
      <w:r>
        <w:rPr>
          <w:rFonts w:ascii="Arial" w:eastAsia="Times New Roman" w:hAnsi="Arial" w:cs="Arial"/>
          <w:sz w:val="24"/>
          <w:szCs w:val="24"/>
        </w:rPr>
        <w:t xml:space="preserve"> </w:t>
      </w:r>
      <w:r w:rsidRPr="00205CC3">
        <w:rPr>
          <w:rFonts w:ascii="Arial" w:eastAsia="Times New Roman" w:hAnsi="Arial" w:cs="Arial"/>
          <w:sz w:val="24"/>
          <w:szCs w:val="24"/>
        </w:rPr>
        <w:t xml:space="preserve">Therefore, it is essential that each laboratory establishes its own </w:t>
      </w:r>
      <w:r w:rsidRPr="00205CC3">
        <w:rPr>
          <w:rFonts w:ascii="Arial" w:eastAsia="Times New Roman" w:hAnsi="Arial" w:cs="Arial"/>
          <w:sz w:val="24"/>
          <w:szCs w:val="24"/>
        </w:rPr>
        <w:lastRenderedPageBreak/>
        <w:t>normative data or at least demonstrates that data obtained from another source are appropriate for its screened population.</w:t>
      </w:r>
      <w:r>
        <w:rPr>
          <w:rFonts w:ascii="Arial" w:eastAsia="Times New Roman" w:hAnsi="Arial" w:cs="Arial"/>
          <w:sz w:val="24"/>
          <w:szCs w:val="24"/>
        </w:rPr>
        <w:t xml:space="preserve"> </w:t>
      </w:r>
      <w:r w:rsidRPr="00205CC3">
        <w:rPr>
          <w:rFonts w:ascii="Arial" w:eastAsia="Times New Roman" w:hAnsi="Arial" w:cs="Arial"/>
          <w:sz w:val="24"/>
          <w:szCs w:val="24"/>
        </w:rPr>
        <w:t>The afAFP concentrations decrease 13% to 15% per week from 15 to 22 weeks of gestation.</w:t>
      </w:r>
      <w:r>
        <w:rPr>
          <w:rFonts w:ascii="Arial" w:eastAsia="Times New Roman" w:hAnsi="Arial" w:cs="Arial"/>
          <w:sz w:val="24"/>
          <w:szCs w:val="24"/>
        </w:rPr>
        <w:t xml:space="preserve"> </w:t>
      </w:r>
      <w:r w:rsidRPr="00205CC3">
        <w:rPr>
          <w:rFonts w:ascii="Arial" w:eastAsia="Times New Roman" w:hAnsi="Arial" w:cs="Arial"/>
          <w:sz w:val="24"/>
          <w:szCs w:val="24"/>
        </w:rPr>
        <w:t>Package insert (commercial) medians should not be used, even for a short time.</w:t>
      </w:r>
    </w:p>
    <w:p w14:paraId="36BA21A7" w14:textId="77777777" w:rsidR="00BE6B37" w:rsidRPr="00205CC3" w:rsidRDefault="00BE6B37" w:rsidP="00BE6B37">
      <w:pPr>
        <w:tabs>
          <w:tab w:val="left" w:pos="1857"/>
        </w:tabs>
        <w:spacing w:after="0" w:line="480" w:lineRule="auto"/>
        <w:ind w:firstLine="360"/>
        <w:rPr>
          <w:rFonts w:ascii="Arial" w:eastAsia="Times New Roman" w:hAnsi="Arial" w:cs="Arial"/>
          <w:b/>
          <w:bCs/>
          <w:sz w:val="24"/>
          <w:szCs w:val="24"/>
        </w:rPr>
      </w:pPr>
      <w:r w:rsidRPr="00205CC3">
        <w:rPr>
          <w:rFonts w:ascii="Arial" w:eastAsia="Times New Roman" w:hAnsi="Arial" w:cs="Arial"/>
          <w:sz w:val="24"/>
          <w:szCs w:val="24"/>
        </w:rPr>
        <w:t>Historically, 100 samples for each gestational week from 15 through 20 would be used to calculate afAFP median values.</w:t>
      </w:r>
      <w:r>
        <w:rPr>
          <w:rFonts w:ascii="Arial" w:eastAsia="Times New Roman" w:hAnsi="Arial" w:cs="Arial"/>
          <w:sz w:val="24"/>
          <w:szCs w:val="24"/>
        </w:rPr>
        <w:t xml:space="preserve"> </w:t>
      </w:r>
      <w:r w:rsidRPr="00205CC3">
        <w:rPr>
          <w:rFonts w:ascii="Arial" w:eastAsia="Times New Roman" w:hAnsi="Arial" w:cs="Arial"/>
          <w:sz w:val="24"/>
          <w:szCs w:val="24"/>
        </w:rPr>
        <w:t>Because afAFP is stable, it is possible to use stored frozen specimens collected over several years.</w:t>
      </w:r>
      <w:r>
        <w:rPr>
          <w:rFonts w:ascii="Arial" w:eastAsia="Times New Roman" w:hAnsi="Arial" w:cs="Arial"/>
          <w:sz w:val="24"/>
          <w:szCs w:val="24"/>
        </w:rPr>
        <w:t xml:space="preserve"> </w:t>
      </w:r>
      <w:r w:rsidRPr="00205CC3">
        <w:rPr>
          <w:rFonts w:ascii="Arial" w:eastAsia="Times New Roman" w:hAnsi="Arial" w:cs="Arial"/>
          <w:sz w:val="24"/>
          <w:szCs w:val="24"/>
        </w:rPr>
        <w:t>However, collecting the above number of amniotic fluid samples is difficult, particularly at the later gestational weeks, and fewer samples are likely to be available.</w:t>
      </w:r>
      <w:r>
        <w:rPr>
          <w:rFonts w:ascii="Arial" w:eastAsia="Times New Roman" w:hAnsi="Arial" w:cs="Arial"/>
          <w:sz w:val="24"/>
          <w:szCs w:val="24"/>
        </w:rPr>
        <w:t xml:space="preserve"> </w:t>
      </w:r>
      <w:r w:rsidRPr="00205CC3">
        <w:rPr>
          <w:rFonts w:ascii="Arial" w:eastAsia="Times New Roman" w:hAnsi="Arial" w:cs="Arial"/>
          <w:sz w:val="24"/>
          <w:szCs w:val="24"/>
        </w:rPr>
        <w:t>Regression analysis allows use of fewer samples (</w:t>
      </w:r>
      <w:r w:rsidRPr="00205CC3">
        <w:rPr>
          <w:rFonts w:ascii="Arial" w:eastAsia="Times New Roman" w:hAnsi="Arial" w:cs="Arial"/>
          <w:i/>
          <w:sz w:val="24"/>
          <w:szCs w:val="24"/>
        </w:rPr>
        <w:t>e.g.,</w:t>
      </w:r>
      <w:r w:rsidRPr="00205CC3">
        <w:rPr>
          <w:rFonts w:ascii="Arial" w:eastAsia="Times New Roman" w:hAnsi="Arial" w:cs="Arial"/>
          <w:sz w:val="24"/>
          <w:szCs w:val="24"/>
        </w:rPr>
        <w:t xml:space="preserve"> 300 over the 15</w:t>
      </w:r>
      <w:r>
        <w:rPr>
          <w:rFonts w:ascii="Arial" w:eastAsia="Times New Roman" w:hAnsi="Arial" w:cs="Arial"/>
          <w:sz w:val="24"/>
          <w:szCs w:val="24"/>
        </w:rPr>
        <w:t>-</w:t>
      </w:r>
      <w:r w:rsidRPr="00205CC3">
        <w:rPr>
          <w:rFonts w:ascii="Arial" w:eastAsia="Times New Roman" w:hAnsi="Arial" w:cs="Arial"/>
          <w:sz w:val="24"/>
          <w:szCs w:val="24"/>
        </w:rPr>
        <w:t xml:space="preserve"> to 20</w:t>
      </w:r>
      <w:r>
        <w:rPr>
          <w:rFonts w:ascii="Arial" w:eastAsia="Times New Roman" w:hAnsi="Arial" w:cs="Arial"/>
          <w:sz w:val="24"/>
          <w:szCs w:val="24"/>
        </w:rPr>
        <w:t>-</w:t>
      </w:r>
      <w:r w:rsidRPr="00205CC3">
        <w:rPr>
          <w:rFonts w:ascii="Arial" w:eastAsia="Times New Roman" w:hAnsi="Arial" w:cs="Arial"/>
          <w:sz w:val="24"/>
          <w:szCs w:val="24"/>
        </w:rPr>
        <w:t>week period) to establish reasonable medians.</w:t>
      </w:r>
      <w:r w:rsidRPr="00205CC3">
        <w:rPr>
          <w:rFonts w:ascii="Arial" w:eastAsia="Times New Roman" w:hAnsi="Arial" w:cs="Arial"/>
          <w:b/>
          <w:bCs/>
          <w:sz w:val="24"/>
          <w:szCs w:val="24"/>
        </w:rPr>
        <w:t xml:space="preserve"> </w:t>
      </w:r>
    </w:p>
    <w:p w14:paraId="1DA9D80A"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bCs/>
          <w:sz w:val="24"/>
          <w:szCs w:val="24"/>
        </w:rPr>
        <w:t xml:space="preserve">As with msAFP medians, </w:t>
      </w:r>
      <w:r w:rsidRPr="00205CC3">
        <w:rPr>
          <w:rFonts w:ascii="Arial" w:eastAsia="Times New Roman" w:hAnsi="Arial" w:cs="Arial"/>
          <w:sz w:val="24"/>
          <w:szCs w:val="24"/>
        </w:rPr>
        <w:t>smoothing the observed median afAFP values by weighted log-linear regression analysis (logs of medians regressed versus gestational age in completed weeks, weighted by the square root of the number of observations in each category) provides reliable and accurate medians, and allows median values to be extrapolated for later gestational weeks in which little data are available and for which the log-linear relationship continues to be valid.</w:t>
      </w:r>
      <w:r>
        <w:rPr>
          <w:rFonts w:ascii="Arial" w:eastAsia="Times New Roman" w:hAnsi="Arial" w:cs="Arial"/>
          <w:sz w:val="24"/>
          <w:szCs w:val="24"/>
        </w:rPr>
        <w:t xml:space="preserve"> </w:t>
      </w:r>
      <w:r w:rsidRPr="00205CC3">
        <w:rPr>
          <w:rFonts w:ascii="Arial" w:eastAsia="Times New Roman" w:hAnsi="Arial" w:cs="Arial"/>
          <w:sz w:val="24"/>
          <w:szCs w:val="24"/>
        </w:rPr>
        <w:t>Median afAFP values from 12 to 14 weeks do not follow the same pattern</w:t>
      </w:r>
      <w:r>
        <w:rPr>
          <w:rFonts w:ascii="Arial" w:eastAsia="Times New Roman" w:hAnsi="Arial" w:cs="Arial"/>
          <w:sz w:val="24"/>
          <w:szCs w:val="24"/>
        </w:rPr>
        <w:t xml:space="preserve"> as the medians begin to drop</w:t>
      </w:r>
      <w:r w:rsidRPr="00205CC3">
        <w:rPr>
          <w:rFonts w:ascii="Arial" w:eastAsia="Times New Roman" w:hAnsi="Arial" w:cs="Arial"/>
          <w:sz w:val="24"/>
          <w:szCs w:val="24"/>
        </w:rPr>
        <w:t>.</w:t>
      </w:r>
      <w:r>
        <w:rPr>
          <w:rFonts w:ascii="Arial" w:eastAsia="Times New Roman" w:hAnsi="Arial" w:cs="Arial"/>
          <w:sz w:val="24"/>
          <w:szCs w:val="24"/>
        </w:rPr>
        <w:t xml:space="preserve"> </w:t>
      </w:r>
      <w:r w:rsidRPr="00205CC3">
        <w:rPr>
          <w:rFonts w:ascii="Arial" w:eastAsia="Times New Roman" w:hAnsi="Arial" w:cs="Arial"/>
          <w:sz w:val="24"/>
          <w:szCs w:val="24"/>
        </w:rPr>
        <w:t>However, methods have been published for extrapolating medians for these earlier weeks based on the smoothed medians obtained for 15 to 20 weeks.</w:t>
      </w:r>
      <w:r w:rsidRPr="00205CC3">
        <w:rPr>
          <w:rFonts w:ascii="Arial" w:eastAsia="Times New Roman" w:hAnsi="Arial" w:cs="Arial"/>
          <w:sz w:val="24"/>
          <w:szCs w:val="24"/>
        </w:rPr>
        <w:fldChar w:fldCharType="begin"/>
      </w:r>
      <w:r>
        <w:rPr>
          <w:rFonts w:ascii="Arial" w:eastAsia="Times New Roman" w:hAnsi="Arial" w:cs="Arial"/>
          <w:sz w:val="24"/>
          <w:szCs w:val="24"/>
        </w:rPr>
        <w:instrText xml:space="preserve"> ADDIN EN.CITE &lt;EndNote&gt;&lt;Cite&gt;&lt;Author&gt;Palomaki&lt;/Author&gt;&lt;Year&gt;1993&lt;/Year&gt;&lt;RecNum&gt;271&lt;/RecNum&gt;&lt;DisplayText&gt;&lt;style face="superscript"&gt;70&lt;/style&gt;&lt;/DisplayText&gt;&lt;record&gt;&lt;rec-number&gt;271&lt;/rec-number&gt;&lt;foreign-keys&gt;&lt;key app="EN" db-id="s9w0va9dpt5twre2txipdafv5ttxr50ex55v" timestamp="1515696944"&gt;271&lt;/key&gt;&lt;/foreign-keys&gt;&lt;ref-type name="Journal Article"&gt;17&lt;/ref-type&gt;&lt;contributors&gt;&lt;authors&gt;&lt;author&gt;Palomaki, G. E.&lt;/author&gt;&lt;author&gt;Knight, G. J.&lt;/author&gt;&lt;author&gt;Haddow, J. E.&lt;/author&gt;&lt;/authors&gt;&lt;/contributors&gt;&lt;titles&gt;&lt;title&gt;Calculating amniotic fluid alpha-fetoprotein median values in the first trimester&lt;/title&gt;&lt;secondary-title&gt;Prenat Diagn&lt;/secondary-title&gt;&lt;/titles&gt;&lt;periodical&gt;&lt;full-title&gt;Prenat Diagn&lt;/full-title&gt;&lt;/periodical&gt;&lt;pages&gt;887-9&lt;/pages&gt;&lt;volume&gt;13&lt;/volume&gt;&lt;number&gt;9&lt;/number&gt;&lt;keywords&gt;&lt;keyword&gt;*Amniocentesis&lt;/keyword&gt;&lt;keyword&gt;Amniotic Fluid/*chemistry&lt;/keyword&gt;&lt;keyword&gt;Female&lt;/keyword&gt;&lt;keyword&gt;Gestational Age&lt;/keyword&gt;&lt;keyword&gt;Humans&lt;/keyword&gt;&lt;keyword&gt;Pregnancy&lt;/keyword&gt;&lt;keyword&gt;Pregnancy Trimester, First&lt;/keyword&gt;&lt;keyword&gt;Reference Values&lt;/keyword&gt;&lt;keyword&gt;alpha-Fetoproteins/*analysis&lt;/keyword&gt;&lt;/keywords&gt;&lt;dates&gt;&lt;year&gt;1993&lt;/year&gt;&lt;pub-dates&gt;&lt;date&gt;Sep&lt;/date&gt;&lt;/pub-dates&gt;&lt;/dates&gt;&lt;isbn&gt;0197-3851 (Print)&amp;#xD;0197-3851 (Linking)&lt;/isbn&gt;&lt;accession-num&gt;7506409&lt;/accession-num&gt;&lt;urls&gt;&lt;related-urls&gt;&lt;url&gt;https://www.ncbi.nlm.nih.gov/pubmed/7506409&lt;/url&gt;&lt;/related-urls&gt;&lt;/urls&gt;&lt;/record&gt;&lt;/Cite&gt;&lt;/EndNote&gt;</w:instrText>
      </w:r>
      <w:r w:rsidRPr="00205CC3">
        <w:rPr>
          <w:rFonts w:ascii="Arial" w:eastAsia="Times New Roman" w:hAnsi="Arial" w:cs="Arial"/>
          <w:sz w:val="24"/>
          <w:szCs w:val="24"/>
        </w:rPr>
        <w:fldChar w:fldCharType="separate"/>
      </w:r>
      <w:r w:rsidRPr="004A61C6">
        <w:rPr>
          <w:rFonts w:ascii="Arial" w:eastAsia="Times New Roman" w:hAnsi="Arial" w:cs="Arial"/>
          <w:noProof/>
          <w:sz w:val="24"/>
          <w:szCs w:val="24"/>
          <w:vertAlign w:val="superscript"/>
        </w:rPr>
        <w:t>70</w:t>
      </w:r>
      <w:r w:rsidRPr="00205CC3">
        <w:rPr>
          <w:rFonts w:ascii="Arial" w:eastAsia="Times New Roman" w:hAnsi="Arial" w:cs="Arial"/>
          <w:sz w:val="24"/>
          <w:szCs w:val="24"/>
        </w:rPr>
        <w:fldChar w:fldCharType="end"/>
      </w:r>
      <w:r w:rsidRPr="00205CC3">
        <w:rPr>
          <w:rFonts w:ascii="Arial" w:eastAsia="Times New Roman" w:hAnsi="Arial" w:cs="Arial"/>
          <w:sz w:val="24"/>
          <w:szCs w:val="24"/>
        </w:rPr>
        <w:t xml:space="preserve"> </w:t>
      </w:r>
    </w:p>
    <w:p w14:paraId="17D1BF58"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Abnormal afAFP results typically are defined as elevations of 2.0 MoM or greater.</w:t>
      </w:r>
      <w:r>
        <w:rPr>
          <w:rFonts w:ascii="Arial" w:eastAsia="Times New Roman" w:hAnsi="Arial" w:cs="Arial"/>
          <w:sz w:val="24"/>
          <w:szCs w:val="24"/>
        </w:rPr>
        <w:t xml:space="preserve"> af</w:t>
      </w:r>
      <w:r w:rsidRPr="00205CC3">
        <w:rPr>
          <w:rFonts w:ascii="Arial" w:eastAsia="Times New Roman" w:hAnsi="Arial" w:cs="Arial"/>
          <w:sz w:val="24"/>
          <w:szCs w:val="24"/>
        </w:rPr>
        <w:t>AFP results can be reported in MoM levels from 11 to 25 weeks of gestation.</w:t>
      </w:r>
      <w:r>
        <w:rPr>
          <w:rFonts w:ascii="Arial" w:eastAsia="Times New Roman" w:hAnsi="Arial" w:cs="Arial"/>
          <w:sz w:val="24"/>
          <w:szCs w:val="24"/>
        </w:rPr>
        <w:t xml:space="preserve"> </w:t>
      </w:r>
      <w:r w:rsidRPr="00205CC3">
        <w:rPr>
          <w:rFonts w:ascii="Arial" w:eastAsia="Times New Roman" w:hAnsi="Arial" w:cs="Arial"/>
          <w:sz w:val="24"/>
          <w:szCs w:val="24"/>
        </w:rPr>
        <w:t>The optimal time for detection of ONTDs is 13 to 22 weeks of gestation.</w:t>
      </w:r>
      <w:r>
        <w:rPr>
          <w:rFonts w:ascii="Arial" w:eastAsia="Times New Roman" w:hAnsi="Arial" w:cs="Arial"/>
          <w:sz w:val="24"/>
          <w:szCs w:val="24"/>
        </w:rPr>
        <w:t xml:space="preserve"> </w:t>
      </w:r>
      <w:r w:rsidRPr="00205CC3">
        <w:rPr>
          <w:rFonts w:ascii="Arial" w:eastAsia="Times New Roman" w:hAnsi="Arial" w:cs="Arial"/>
          <w:sz w:val="24"/>
          <w:szCs w:val="24"/>
        </w:rPr>
        <w:t xml:space="preserve">The accuracy of testing before 13 weeks is not well established and results should be reported with a </w:t>
      </w:r>
      <w:r w:rsidRPr="00205CC3">
        <w:rPr>
          <w:rFonts w:ascii="Arial" w:eastAsia="Times New Roman" w:hAnsi="Arial" w:cs="Arial"/>
          <w:sz w:val="24"/>
          <w:szCs w:val="24"/>
        </w:rPr>
        <w:lastRenderedPageBreak/>
        <w:t>warning that diagnostic performance is poorly defined.</w:t>
      </w:r>
      <w:r w:rsidRPr="00205CC3">
        <w:rPr>
          <w:rFonts w:ascii="Arial" w:eastAsia="Times New Roman" w:hAnsi="Arial" w:cs="Arial"/>
          <w:sz w:val="24"/>
          <w:szCs w:val="24"/>
        </w:rPr>
        <w:fldChar w:fldCharType="begin">
          <w:fldData xml:space="preserve">PEVuZE5vdGU+PENpdGU+PEF1dGhvcj5CdXJ0b248L0F1dGhvcj48WWVhcj4xOTg5PC9ZZWFyPjxS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</w:fldData>
        </w:fldChar>
      </w:r>
      <w:r>
        <w:rPr>
          <w:rFonts w:ascii="Arial" w:eastAsia="Times New Roman" w:hAnsi="Arial" w:cs="Arial"/>
          <w:sz w:val="24"/>
          <w:szCs w:val="24"/>
        </w:rPr>
        <w:instrText xml:space="preserve"> ADDIN EN.CITE </w:instrText>
      </w:r>
      <w:r>
        <w:rPr>
          <w:rFonts w:ascii="Arial" w:eastAsia="Times New Roman" w:hAnsi="Arial" w:cs="Arial"/>
          <w:sz w:val="24"/>
          <w:szCs w:val="24"/>
        </w:rPr>
        <w:fldChar w:fldCharType="begin">
          <w:fldData xml:space="preserve">PEVuZE5vdGU+PENpdGU+PEF1dGhvcj5CdXJ0b248L0F1dGhvcj48WWVhcj4xOTg5PC9ZZWFyPjxS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</w:fldData>
        </w:fldChar>
      </w:r>
      <w:r>
        <w:rPr>
          <w:rFonts w:ascii="Arial" w:eastAsia="Times New Roman" w:hAnsi="Arial" w:cs="Arial"/>
          <w:sz w:val="24"/>
          <w:szCs w:val="24"/>
        </w:rPr>
        <w:instrText xml:space="preserve"> ADDIN EN.CITE.DATA </w:instrText>
      </w:r>
      <w:r>
        <w:rPr>
          <w:rFonts w:ascii="Arial" w:eastAsia="Times New Roman" w:hAnsi="Arial" w:cs="Arial"/>
          <w:sz w:val="24"/>
          <w:szCs w:val="24"/>
        </w:rPr>
      </w:r>
      <w:r>
        <w:rPr>
          <w:rFonts w:ascii="Arial" w:eastAsia="Times New Roman" w:hAnsi="Arial" w:cs="Arial"/>
          <w:sz w:val="24"/>
          <w:szCs w:val="24"/>
        </w:rPr>
        <w:fldChar w:fldCharType="end"/>
      </w:r>
      <w:r w:rsidRPr="00205CC3">
        <w:rPr>
          <w:rFonts w:ascii="Arial" w:eastAsia="Times New Roman" w:hAnsi="Arial" w:cs="Arial"/>
          <w:sz w:val="24"/>
          <w:szCs w:val="24"/>
        </w:rPr>
      </w:r>
      <w:r w:rsidRPr="00205CC3">
        <w:rPr>
          <w:rFonts w:ascii="Arial" w:eastAsia="Times New Roman" w:hAnsi="Arial" w:cs="Arial"/>
          <w:sz w:val="24"/>
          <w:szCs w:val="24"/>
        </w:rPr>
        <w:fldChar w:fldCharType="separate"/>
      </w:r>
      <w:r w:rsidRPr="004A61C6">
        <w:rPr>
          <w:rFonts w:ascii="Arial" w:eastAsia="Times New Roman" w:hAnsi="Arial" w:cs="Arial"/>
          <w:noProof/>
          <w:sz w:val="24"/>
          <w:szCs w:val="24"/>
          <w:vertAlign w:val="superscript"/>
        </w:rPr>
        <w:t>71,72</w:t>
      </w:r>
      <w:r w:rsidRPr="00205CC3">
        <w:rPr>
          <w:rFonts w:ascii="Arial" w:eastAsia="Times New Roman" w:hAnsi="Arial" w:cs="Arial"/>
          <w:sz w:val="24"/>
          <w:szCs w:val="24"/>
        </w:rPr>
        <w:fldChar w:fldCharType="end"/>
      </w:r>
      <w:r>
        <w:rPr>
          <w:rFonts w:ascii="Arial" w:eastAsia="Times New Roman" w:hAnsi="Arial" w:cs="Arial"/>
          <w:sz w:val="24"/>
          <w:szCs w:val="24"/>
        </w:rPr>
        <w:t xml:space="preserve"> </w:t>
      </w:r>
      <w:r w:rsidRPr="00205CC3">
        <w:rPr>
          <w:rFonts w:ascii="Arial" w:eastAsia="Times New Roman" w:hAnsi="Arial" w:cs="Arial"/>
          <w:bCs/>
          <w:sz w:val="24"/>
          <w:szCs w:val="24"/>
        </w:rPr>
        <w:t xml:space="preserve">For </w:t>
      </w:r>
      <w:r w:rsidRPr="00205CC3">
        <w:rPr>
          <w:rFonts w:ascii="Arial" w:eastAsia="Times New Roman" w:hAnsi="Arial" w:cs="Arial"/>
          <w:sz w:val="24"/>
          <w:szCs w:val="24"/>
        </w:rPr>
        <w:t>calculation of afAFP MoM levels, gestational age is most commonly expressed in completed weeks (</w:t>
      </w:r>
      <w:r w:rsidRPr="00205CC3">
        <w:rPr>
          <w:rFonts w:ascii="Arial" w:eastAsia="Times New Roman" w:hAnsi="Arial" w:cs="Arial"/>
          <w:i/>
          <w:sz w:val="24"/>
          <w:szCs w:val="24"/>
        </w:rPr>
        <w:t>e.g.</w:t>
      </w:r>
      <w:r w:rsidRPr="00205CC3">
        <w:rPr>
          <w:rFonts w:ascii="Arial" w:eastAsia="Times New Roman" w:hAnsi="Arial" w:cs="Arial"/>
          <w:sz w:val="24"/>
          <w:szCs w:val="24"/>
        </w:rPr>
        <w:t xml:space="preserve">, 15 weeks and 5 days is 15 completed weeks). </w:t>
      </w:r>
    </w:p>
    <w:p w14:paraId="64A63FEC"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AChE and PChE testing are usually performed via gel electrophoresis.</w:t>
      </w:r>
      <w:r>
        <w:rPr>
          <w:rFonts w:ascii="Arial" w:eastAsia="Times New Roman" w:hAnsi="Arial" w:cs="Arial"/>
          <w:sz w:val="24"/>
          <w:szCs w:val="24"/>
        </w:rPr>
        <w:t xml:space="preserve"> </w:t>
      </w:r>
      <w:r w:rsidRPr="00205CC3">
        <w:rPr>
          <w:rFonts w:ascii="Arial" w:eastAsia="Times New Roman" w:hAnsi="Arial" w:cs="Arial"/>
          <w:sz w:val="24"/>
          <w:szCs w:val="24"/>
        </w:rPr>
        <w:t xml:space="preserve">A </w:t>
      </w:r>
      <w:r w:rsidRPr="00205CC3">
        <w:rPr>
          <w:rFonts w:ascii="Arial" w:eastAsia="Times New Roman" w:hAnsi="Arial" w:cs="Arial"/>
          <w:i/>
          <w:sz w:val="24"/>
          <w:szCs w:val="24"/>
        </w:rPr>
        <w:t>negative</w:t>
      </w:r>
      <w:r w:rsidRPr="00205CC3">
        <w:rPr>
          <w:rFonts w:ascii="Arial" w:eastAsia="Times New Roman" w:hAnsi="Arial" w:cs="Arial"/>
          <w:sz w:val="24"/>
          <w:szCs w:val="24"/>
        </w:rPr>
        <w:t xml:space="preserve"> AChE test result is defined by the presence of a pseudo cholinesterase (PChE) band and no AChE band.</w:t>
      </w:r>
      <w:r>
        <w:rPr>
          <w:rFonts w:ascii="Arial" w:eastAsia="Times New Roman" w:hAnsi="Arial" w:cs="Arial"/>
          <w:sz w:val="24"/>
          <w:szCs w:val="24"/>
        </w:rPr>
        <w:t xml:space="preserve"> </w:t>
      </w:r>
      <w:r w:rsidRPr="00205CC3">
        <w:rPr>
          <w:rFonts w:ascii="Arial" w:eastAsia="Times New Roman" w:hAnsi="Arial" w:cs="Arial"/>
          <w:sz w:val="24"/>
          <w:szCs w:val="24"/>
        </w:rPr>
        <w:t xml:space="preserve">A </w:t>
      </w:r>
      <w:r w:rsidRPr="00205CC3">
        <w:rPr>
          <w:rFonts w:ascii="Arial" w:eastAsia="Times New Roman" w:hAnsi="Arial" w:cs="Arial"/>
          <w:i/>
          <w:sz w:val="24"/>
          <w:szCs w:val="24"/>
        </w:rPr>
        <w:t>positive</w:t>
      </w:r>
      <w:r w:rsidRPr="00205CC3">
        <w:rPr>
          <w:rFonts w:ascii="Arial" w:eastAsia="Times New Roman" w:hAnsi="Arial" w:cs="Arial"/>
          <w:sz w:val="24"/>
          <w:szCs w:val="24"/>
        </w:rPr>
        <w:t xml:space="preserve"> test is defined by the presence of a PChE band and a weak or strong positive AChE band.</w:t>
      </w:r>
      <w:r>
        <w:rPr>
          <w:rFonts w:ascii="Arial" w:eastAsia="Times New Roman" w:hAnsi="Arial" w:cs="Arial"/>
          <w:sz w:val="24"/>
          <w:szCs w:val="24"/>
        </w:rPr>
        <w:t xml:space="preserve"> </w:t>
      </w:r>
      <w:r w:rsidRPr="00205CC3">
        <w:rPr>
          <w:rFonts w:ascii="Arial" w:eastAsia="Times New Roman" w:hAnsi="Arial" w:cs="Arial"/>
          <w:sz w:val="24"/>
          <w:szCs w:val="24"/>
        </w:rPr>
        <w:t xml:space="preserve">The test is considered </w:t>
      </w:r>
      <w:r w:rsidRPr="00205CC3">
        <w:rPr>
          <w:rFonts w:ascii="Arial" w:eastAsia="Times New Roman" w:hAnsi="Arial" w:cs="Arial"/>
          <w:i/>
          <w:sz w:val="24"/>
          <w:szCs w:val="24"/>
        </w:rPr>
        <w:t>uninterpretable</w:t>
      </w:r>
      <w:r w:rsidRPr="00205CC3">
        <w:rPr>
          <w:rFonts w:ascii="Arial" w:eastAsia="Times New Roman" w:hAnsi="Arial" w:cs="Arial"/>
          <w:sz w:val="24"/>
          <w:szCs w:val="24"/>
        </w:rPr>
        <w:t xml:space="preserve"> if the PChE band is absent or very weak.</w:t>
      </w:r>
      <w:r>
        <w:rPr>
          <w:rFonts w:ascii="Arial" w:eastAsia="Times New Roman" w:hAnsi="Arial" w:cs="Arial"/>
          <w:sz w:val="24"/>
          <w:szCs w:val="24"/>
        </w:rPr>
        <w:t xml:space="preserve"> </w:t>
      </w:r>
      <w:r w:rsidRPr="00205CC3">
        <w:rPr>
          <w:rFonts w:ascii="Arial" w:eastAsia="Times New Roman" w:hAnsi="Arial" w:cs="Arial"/>
          <w:sz w:val="24"/>
          <w:szCs w:val="24"/>
        </w:rPr>
        <w:t>This pattern may be observed in amniotic fluid samples that are diluted with excessive fetal urine (</w:t>
      </w:r>
      <w:r w:rsidRPr="00205CC3">
        <w:rPr>
          <w:rFonts w:ascii="Arial" w:eastAsia="Times New Roman" w:hAnsi="Arial" w:cs="Arial"/>
          <w:i/>
          <w:sz w:val="24"/>
          <w:szCs w:val="24"/>
        </w:rPr>
        <w:t>e.g.,</w:t>
      </w:r>
      <w:r w:rsidRPr="00205CC3">
        <w:rPr>
          <w:rFonts w:ascii="Arial" w:eastAsia="Times New Roman" w:hAnsi="Arial" w:cs="Arial"/>
          <w:sz w:val="24"/>
          <w:szCs w:val="24"/>
        </w:rPr>
        <w:t xml:space="preserve"> hydronephrosis), obtained very early in pregnancy, or mishandled (</w:t>
      </w:r>
      <w:r w:rsidRPr="00205CC3">
        <w:rPr>
          <w:rFonts w:ascii="Arial" w:eastAsia="Times New Roman" w:hAnsi="Arial" w:cs="Arial"/>
          <w:i/>
          <w:sz w:val="24"/>
          <w:szCs w:val="24"/>
        </w:rPr>
        <w:t>e.g.</w:t>
      </w:r>
      <w:r w:rsidRPr="00205CC3">
        <w:rPr>
          <w:rFonts w:ascii="Arial" w:eastAsia="Times New Roman" w:hAnsi="Arial" w:cs="Arial"/>
          <w:sz w:val="24"/>
          <w:szCs w:val="24"/>
        </w:rPr>
        <w:t>, exposed to heat in transit).</w:t>
      </w:r>
      <w:r>
        <w:rPr>
          <w:rFonts w:ascii="Arial" w:eastAsia="Times New Roman" w:hAnsi="Arial" w:cs="Arial"/>
          <w:sz w:val="24"/>
          <w:szCs w:val="24"/>
        </w:rPr>
        <w:t xml:space="preserve"> </w:t>
      </w:r>
      <w:r w:rsidRPr="00205CC3">
        <w:rPr>
          <w:rFonts w:ascii="Arial" w:eastAsia="Times New Roman" w:hAnsi="Arial" w:cs="Arial"/>
          <w:sz w:val="24"/>
          <w:szCs w:val="24"/>
        </w:rPr>
        <w:t>The AChE band is generally confirmed by adding a specific AChE inhibitor (</w:t>
      </w:r>
      <w:r w:rsidRPr="00205CC3">
        <w:rPr>
          <w:rFonts w:ascii="Arial" w:eastAsia="Times New Roman" w:hAnsi="Arial" w:cs="Arial"/>
          <w:i/>
          <w:sz w:val="24"/>
          <w:szCs w:val="24"/>
        </w:rPr>
        <w:t>e.g.,</w:t>
      </w:r>
      <w:r w:rsidRPr="00205CC3">
        <w:rPr>
          <w:rFonts w:ascii="Arial" w:eastAsia="Times New Roman" w:hAnsi="Arial" w:cs="Arial"/>
          <w:sz w:val="24"/>
          <w:szCs w:val="24"/>
        </w:rPr>
        <w:t xml:space="preserve"> BW284C51) that would cause the AChE band to disappear.</w:t>
      </w:r>
    </w:p>
    <w:p w14:paraId="58EF4056" w14:textId="77777777" w:rsidR="00BE6B37" w:rsidRPr="00205CC3" w:rsidRDefault="00BE6B37" w:rsidP="00BE6B37">
      <w:pPr>
        <w:tabs>
          <w:tab w:val="left" w:pos="1857"/>
        </w:tabs>
        <w:spacing w:after="0" w:line="480" w:lineRule="auto"/>
        <w:ind w:firstLine="360"/>
        <w:rPr>
          <w:rFonts w:ascii="Arial" w:eastAsia="Times New Roman" w:hAnsi="Arial" w:cs="Arial"/>
          <w:b/>
          <w:bCs/>
          <w:sz w:val="24"/>
          <w:szCs w:val="24"/>
        </w:rPr>
      </w:pPr>
      <w:r w:rsidRPr="00205CC3">
        <w:rPr>
          <w:rFonts w:ascii="Arial" w:eastAsia="Times New Roman" w:hAnsi="Arial" w:cs="Arial"/>
          <w:sz w:val="24"/>
          <w:szCs w:val="24"/>
        </w:rPr>
        <w:t>AChE results can most reliably be interpreted between 13 and 22 weeks of gestation.</w:t>
      </w:r>
      <w:r w:rsidRPr="00205CC3">
        <w:rPr>
          <w:rFonts w:ascii="Arial" w:eastAsia="Times New Roman" w:hAnsi="Arial" w:cs="Arial"/>
          <w:sz w:val="24"/>
          <w:szCs w:val="24"/>
        </w:rPr>
        <w:fldChar w:fldCharType="begin">
          <w:fldData xml:space="preserve">PEVuZE5vdGU+PENpdGU+PEF1dGhvcj5DcmFuZGFsbDwvQXV0aG9yPjxZZWFyPjE5OTU8L1llYXI+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</w:fldData>
        </w:fldChar>
      </w:r>
      <w:r>
        <w:rPr>
          <w:rFonts w:ascii="Arial" w:eastAsia="Times New Roman" w:hAnsi="Arial" w:cs="Arial"/>
          <w:sz w:val="24"/>
          <w:szCs w:val="24"/>
        </w:rPr>
        <w:instrText xml:space="preserve"> ADDIN EN.CITE </w:instrText>
      </w:r>
      <w:r>
        <w:rPr>
          <w:rFonts w:ascii="Arial" w:eastAsia="Times New Roman" w:hAnsi="Arial" w:cs="Arial"/>
          <w:sz w:val="24"/>
          <w:szCs w:val="24"/>
        </w:rPr>
        <w:fldChar w:fldCharType="begin">
          <w:fldData xml:space="preserve">PEVuZE5vdGU+PENpdGU+PEF1dGhvcj5DcmFuZGFsbDwvQXV0aG9yPjxZZWFyPjE5OTU8L1llYXI+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</w:fldData>
        </w:fldChar>
      </w:r>
      <w:r>
        <w:rPr>
          <w:rFonts w:ascii="Arial" w:eastAsia="Times New Roman" w:hAnsi="Arial" w:cs="Arial"/>
          <w:sz w:val="24"/>
          <w:szCs w:val="24"/>
        </w:rPr>
        <w:instrText xml:space="preserve"> ADDIN EN.CITE.DATA </w:instrText>
      </w:r>
      <w:r>
        <w:rPr>
          <w:rFonts w:ascii="Arial" w:eastAsia="Times New Roman" w:hAnsi="Arial" w:cs="Arial"/>
          <w:sz w:val="24"/>
          <w:szCs w:val="24"/>
        </w:rPr>
      </w:r>
      <w:r>
        <w:rPr>
          <w:rFonts w:ascii="Arial" w:eastAsia="Times New Roman" w:hAnsi="Arial" w:cs="Arial"/>
          <w:sz w:val="24"/>
          <w:szCs w:val="24"/>
        </w:rPr>
        <w:fldChar w:fldCharType="end"/>
      </w:r>
      <w:r w:rsidRPr="00205CC3">
        <w:rPr>
          <w:rFonts w:ascii="Arial" w:eastAsia="Times New Roman" w:hAnsi="Arial" w:cs="Arial"/>
          <w:sz w:val="24"/>
          <w:szCs w:val="24"/>
        </w:rPr>
      </w:r>
      <w:r w:rsidRPr="00205CC3">
        <w:rPr>
          <w:rFonts w:ascii="Arial" w:eastAsia="Times New Roman" w:hAnsi="Arial" w:cs="Arial"/>
          <w:sz w:val="24"/>
          <w:szCs w:val="24"/>
        </w:rPr>
        <w:fldChar w:fldCharType="separate"/>
      </w:r>
      <w:r w:rsidRPr="004A61C6">
        <w:rPr>
          <w:rFonts w:ascii="Arial" w:eastAsia="Times New Roman" w:hAnsi="Arial" w:cs="Arial"/>
          <w:noProof/>
          <w:sz w:val="24"/>
          <w:szCs w:val="24"/>
          <w:vertAlign w:val="superscript"/>
        </w:rPr>
        <w:t>72,73</w:t>
      </w:r>
      <w:r w:rsidRPr="00205CC3">
        <w:rPr>
          <w:rFonts w:ascii="Arial" w:eastAsia="Times New Roman" w:hAnsi="Arial" w:cs="Arial"/>
          <w:sz w:val="24"/>
          <w:szCs w:val="24"/>
        </w:rPr>
        <w:fldChar w:fldCharType="end"/>
      </w:r>
      <w:r>
        <w:rPr>
          <w:rFonts w:ascii="Arial" w:eastAsia="Times New Roman" w:hAnsi="Arial" w:cs="Arial"/>
          <w:sz w:val="24"/>
          <w:szCs w:val="24"/>
        </w:rPr>
        <w:t xml:space="preserve"> </w:t>
      </w:r>
      <w:r w:rsidRPr="00205CC3">
        <w:rPr>
          <w:rFonts w:ascii="Arial" w:eastAsia="Times New Roman" w:hAnsi="Arial" w:cs="Arial"/>
          <w:sz w:val="24"/>
          <w:szCs w:val="24"/>
        </w:rPr>
        <w:t>While testing at 11 to 12 weeks has some predictive power, the detection rate for open defects is not well defined, and the false positive rate for AChE may be significantly higher at this time.</w:t>
      </w:r>
      <w:r w:rsidRPr="00205CC3">
        <w:rPr>
          <w:rFonts w:ascii="Arial" w:eastAsia="Times New Roman" w:hAnsi="Arial" w:cs="Arial"/>
          <w:sz w:val="24"/>
          <w:szCs w:val="24"/>
        </w:rPr>
        <w:fldChar w:fldCharType="begin"/>
      </w:r>
      <w:r>
        <w:rPr>
          <w:rFonts w:ascii="Arial" w:eastAsia="Times New Roman" w:hAnsi="Arial" w:cs="Arial"/>
          <w:sz w:val="24"/>
          <w:szCs w:val="24"/>
        </w:rPr>
        <w:instrText xml:space="preserve"> ADDIN EN.CITE &lt;EndNote&gt;&lt;Cite&gt;&lt;Author&gt;Crandall&lt;/Author&gt;&lt;Year&gt;1995&lt;/Year&gt;&lt;RecNum&gt;279&lt;/RecNum&gt;&lt;DisplayText&gt;&lt;style face="superscript"&gt;72&lt;/style&gt;&lt;/DisplayText&gt;&lt;record&gt;&lt;rec-number&gt;279&lt;/rec-number&gt;&lt;foreign-keys&gt;&lt;key app="EN" db-id="s9w0va9dpt5twre2txipdafv5ttxr50ex55v" timestamp="1515697049"&gt;279&lt;/key&gt;&lt;/foreign-keys&gt;&lt;ref-type name="Journal Article"&gt;17&lt;/ref-type&gt;&lt;contributors&gt;&lt;authors&gt;&lt;author&gt;Crandall, B. F.&lt;/author&gt;&lt;author&gt;Chua, C.&lt;/author&gt;&lt;/authors&gt;&lt;/contributors&gt;&lt;auth-address&gt;Department of Pediatrics, University of California, Los Angeles, USA.&lt;/auth-address&gt;&lt;titles&gt;&lt;title&gt;Detecting neural tube defects by amniocentesis between 11 and 15 weeks&amp;apos; gestation&lt;/title&gt;&lt;secondary-title&gt;Prenat Diagn&lt;/secondary-title&gt;&lt;/titles&gt;&lt;periodical&gt;&lt;full-title&gt;Prenat Diagn&lt;/full-title&gt;&lt;/periodical&gt;&lt;pages&gt;339-43&lt;/pages&gt;&lt;volume&gt;15&lt;/volume&gt;&lt;number&gt;4&lt;/number&gt;&lt;keywords&gt;&lt;keyword&gt;Acetylcholinesterase/*analysis&lt;/keyword&gt;&lt;keyword&gt;*Amniocentesis&lt;/keyword&gt;&lt;keyword&gt;Female&lt;/keyword&gt;&lt;keyword&gt;Gestational Age&lt;/keyword&gt;&lt;keyword&gt;Humans&lt;/keyword&gt;&lt;keyword&gt;Maternal Age&lt;/keyword&gt;&lt;keyword&gt;Neural Tube Defects/*diagnosis&lt;/keyword&gt;&lt;keyword&gt;Pregnancy&lt;/keyword&gt;&lt;keyword&gt;Pregnancy Trimester, First&lt;/keyword&gt;&lt;keyword&gt;Pregnancy Trimester, Second&lt;/keyword&gt;&lt;keyword&gt;Pregnancy, High-Risk&lt;/keyword&gt;&lt;keyword&gt;alpha-Fetoproteins/*analysis&lt;/keyword&gt;&lt;/keywords&gt;&lt;dates&gt;&lt;year&gt;1995&lt;/year&gt;&lt;pub-dates&gt;&lt;date&gt;Apr&lt;/date&gt;&lt;/pub-dates&gt;&lt;/dates&gt;&lt;isbn&gt;0197-3851 (Print)&amp;#xD;0197-3851 (Linking)&lt;/isbn&gt;&lt;accession-num&gt;7542382&lt;/accession-num&gt;&lt;urls&gt;&lt;related-urls&gt;&lt;url&gt;https://www.ncbi.nlm.nih.gov/pubmed/7542382&lt;/url&gt;&lt;/related-urls&gt;&lt;/urls&gt;&lt;/record&gt;&lt;/Cite&gt;&lt;/EndNote&gt;</w:instrText>
      </w:r>
      <w:r w:rsidRPr="00205CC3">
        <w:rPr>
          <w:rFonts w:ascii="Arial" w:eastAsia="Times New Roman" w:hAnsi="Arial" w:cs="Arial"/>
          <w:sz w:val="24"/>
          <w:szCs w:val="24"/>
        </w:rPr>
        <w:fldChar w:fldCharType="separate"/>
      </w:r>
      <w:r w:rsidRPr="004A61C6">
        <w:rPr>
          <w:rFonts w:ascii="Arial" w:eastAsia="Times New Roman" w:hAnsi="Arial" w:cs="Arial"/>
          <w:noProof/>
          <w:sz w:val="24"/>
          <w:szCs w:val="24"/>
          <w:vertAlign w:val="superscript"/>
        </w:rPr>
        <w:t>72</w:t>
      </w:r>
      <w:r w:rsidRPr="00205CC3">
        <w:rPr>
          <w:rFonts w:ascii="Arial" w:eastAsia="Times New Roman" w:hAnsi="Arial" w:cs="Arial"/>
          <w:sz w:val="24"/>
          <w:szCs w:val="24"/>
        </w:rPr>
        <w:fldChar w:fldCharType="end"/>
      </w:r>
      <w:r>
        <w:rPr>
          <w:rFonts w:ascii="Arial" w:eastAsia="Times New Roman" w:hAnsi="Arial" w:cs="Arial"/>
          <w:sz w:val="24"/>
          <w:szCs w:val="24"/>
        </w:rPr>
        <w:t xml:space="preserve"> </w:t>
      </w:r>
      <w:r w:rsidRPr="00205CC3">
        <w:rPr>
          <w:rFonts w:ascii="Arial" w:eastAsia="Times New Roman" w:hAnsi="Arial" w:cs="Arial"/>
          <w:sz w:val="24"/>
          <w:szCs w:val="24"/>
        </w:rPr>
        <w:t>A limited interpretation, with appropriate cautions, can be provided for amniotic fluid samples at 23 weeks and later.</w:t>
      </w:r>
    </w:p>
    <w:p w14:paraId="6D8409E4"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In rare cases, falsely positive AChE result may result from contamination of amniotic fluid with fetal calf serum (FCS).</w:t>
      </w:r>
      <w:r w:rsidRPr="00205CC3">
        <w:rPr>
          <w:rFonts w:ascii="Arial" w:eastAsia="Times New Roman" w:hAnsi="Arial" w:cs="Arial"/>
          <w:sz w:val="24"/>
          <w:szCs w:val="24"/>
        </w:rPr>
        <w:fldChar w:fldCharType="begin">
          <w:fldData xml:space="preserve">PEVuZE5vdGU+PENpdGU+PEF1dGhvcj5Ccm9jazwvQXV0aG9yPjxZZWFyPjE5ODI8L1llYXI+PFJl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</w:fldData>
        </w:fldChar>
      </w:r>
      <w:r>
        <w:rPr>
          <w:rFonts w:ascii="Arial" w:eastAsia="Times New Roman" w:hAnsi="Arial" w:cs="Arial"/>
          <w:sz w:val="24"/>
          <w:szCs w:val="24"/>
        </w:rPr>
        <w:instrText xml:space="preserve"> ADDIN EN.CITE </w:instrText>
      </w:r>
      <w:r>
        <w:rPr>
          <w:rFonts w:ascii="Arial" w:eastAsia="Times New Roman" w:hAnsi="Arial" w:cs="Arial"/>
          <w:sz w:val="24"/>
          <w:szCs w:val="24"/>
        </w:rPr>
        <w:fldChar w:fldCharType="begin">
          <w:fldData xml:space="preserve">PEVuZE5vdGU+PENpdGU+PEF1dGhvcj5Ccm9jazwvQXV0aG9yPjxZZWFyPjE5ODI8L1llYXI+PFJl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</w:fldData>
        </w:fldChar>
      </w:r>
      <w:r>
        <w:rPr>
          <w:rFonts w:ascii="Arial" w:eastAsia="Times New Roman" w:hAnsi="Arial" w:cs="Arial"/>
          <w:sz w:val="24"/>
          <w:szCs w:val="24"/>
        </w:rPr>
        <w:instrText xml:space="preserve"> ADDIN EN.CITE.DATA </w:instrText>
      </w:r>
      <w:r>
        <w:rPr>
          <w:rFonts w:ascii="Arial" w:eastAsia="Times New Roman" w:hAnsi="Arial" w:cs="Arial"/>
          <w:sz w:val="24"/>
          <w:szCs w:val="24"/>
        </w:rPr>
      </w:r>
      <w:r>
        <w:rPr>
          <w:rFonts w:ascii="Arial" w:eastAsia="Times New Roman" w:hAnsi="Arial" w:cs="Arial"/>
          <w:sz w:val="24"/>
          <w:szCs w:val="24"/>
        </w:rPr>
        <w:fldChar w:fldCharType="end"/>
      </w:r>
      <w:r w:rsidRPr="00205CC3">
        <w:rPr>
          <w:rFonts w:ascii="Arial" w:eastAsia="Times New Roman" w:hAnsi="Arial" w:cs="Arial"/>
          <w:sz w:val="24"/>
          <w:szCs w:val="24"/>
        </w:rPr>
      </w:r>
      <w:r w:rsidRPr="00205CC3">
        <w:rPr>
          <w:rFonts w:ascii="Arial" w:eastAsia="Times New Roman" w:hAnsi="Arial" w:cs="Arial"/>
          <w:sz w:val="24"/>
          <w:szCs w:val="24"/>
        </w:rPr>
        <w:fldChar w:fldCharType="separate"/>
      </w:r>
      <w:r w:rsidRPr="004A61C6">
        <w:rPr>
          <w:rFonts w:ascii="Arial" w:eastAsia="Times New Roman" w:hAnsi="Arial" w:cs="Arial"/>
          <w:noProof/>
          <w:sz w:val="24"/>
          <w:szCs w:val="24"/>
          <w:vertAlign w:val="superscript"/>
        </w:rPr>
        <w:t>74,75</w:t>
      </w:r>
      <w:r w:rsidRPr="00205CC3">
        <w:rPr>
          <w:rFonts w:ascii="Arial" w:eastAsia="Times New Roman" w:hAnsi="Arial" w:cs="Arial"/>
          <w:sz w:val="24"/>
          <w:szCs w:val="24"/>
        </w:rPr>
        <w:fldChar w:fldCharType="end"/>
      </w:r>
      <w:r>
        <w:rPr>
          <w:rFonts w:ascii="Arial" w:eastAsia="Times New Roman" w:hAnsi="Arial" w:cs="Arial"/>
          <w:sz w:val="24"/>
          <w:szCs w:val="24"/>
        </w:rPr>
        <w:t xml:space="preserve"> </w:t>
      </w:r>
      <w:r w:rsidRPr="00205CC3">
        <w:rPr>
          <w:rFonts w:ascii="Arial" w:eastAsia="Times New Roman" w:hAnsi="Arial" w:cs="Arial"/>
          <w:sz w:val="24"/>
          <w:szCs w:val="24"/>
        </w:rPr>
        <w:t xml:space="preserve">The usual source of FCS contamination of the amniotic fluid aliquot is a tube or pipette in the cytogenetics laboratory that has a residue of culture medium. </w:t>
      </w:r>
    </w:p>
    <w:p w14:paraId="7D7C6A2F"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 xml:space="preserve">The relative densities of the AChE and PChE bands, expressed as the AChE/PChE ratio, are useful in distinguishing between ONTD and open ventral wall defects </w:t>
      </w:r>
      <w:r w:rsidRPr="00205CC3">
        <w:rPr>
          <w:rFonts w:ascii="Arial" w:eastAsia="Times New Roman" w:hAnsi="Arial" w:cs="Arial"/>
          <w:sz w:val="24"/>
          <w:szCs w:val="24"/>
        </w:rPr>
        <w:lastRenderedPageBreak/>
        <w:t>(OVWD).</w:t>
      </w:r>
      <w:r w:rsidRPr="00205CC3">
        <w:rPr>
          <w:rFonts w:ascii="Arial" w:eastAsia="Times New Roman" w:hAnsi="Arial" w:cs="Arial"/>
          <w:sz w:val="24"/>
          <w:szCs w:val="24"/>
        </w:rPr>
        <w:fldChar w:fldCharType="begin">
          <w:fldData xml:space="preserve">PEVuZE5vdGU+PENpdGU+PEF1dGhvcj5Hb2xkZmluZTwvQXV0aG9yPjxZZWFyPjE5ODM8L1llYXI+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</w:fldData>
        </w:fldChar>
      </w:r>
      <w:r>
        <w:rPr>
          <w:rFonts w:ascii="Arial" w:eastAsia="Times New Roman" w:hAnsi="Arial" w:cs="Arial"/>
          <w:sz w:val="24"/>
          <w:szCs w:val="24"/>
        </w:rPr>
        <w:instrText xml:space="preserve"> ADDIN EN.CITE </w:instrText>
      </w:r>
      <w:r>
        <w:rPr>
          <w:rFonts w:ascii="Arial" w:eastAsia="Times New Roman" w:hAnsi="Arial" w:cs="Arial"/>
          <w:sz w:val="24"/>
          <w:szCs w:val="24"/>
        </w:rPr>
        <w:fldChar w:fldCharType="begin">
          <w:fldData xml:space="preserve">PEVuZE5vdGU+PENpdGU+PEF1dGhvcj5Hb2xkZmluZTwvQXV0aG9yPjxZZWFyPjE5ODM8L1llYXI+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</w:fldData>
        </w:fldChar>
      </w:r>
      <w:r>
        <w:rPr>
          <w:rFonts w:ascii="Arial" w:eastAsia="Times New Roman" w:hAnsi="Arial" w:cs="Arial"/>
          <w:sz w:val="24"/>
          <w:szCs w:val="24"/>
        </w:rPr>
        <w:instrText xml:space="preserve"> ADDIN EN.CITE.DATA </w:instrText>
      </w:r>
      <w:r>
        <w:rPr>
          <w:rFonts w:ascii="Arial" w:eastAsia="Times New Roman" w:hAnsi="Arial" w:cs="Arial"/>
          <w:sz w:val="24"/>
          <w:szCs w:val="24"/>
        </w:rPr>
      </w:r>
      <w:r>
        <w:rPr>
          <w:rFonts w:ascii="Arial" w:eastAsia="Times New Roman" w:hAnsi="Arial" w:cs="Arial"/>
          <w:sz w:val="24"/>
          <w:szCs w:val="24"/>
        </w:rPr>
        <w:fldChar w:fldCharType="end"/>
      </w:r>
      <w:r w:rsidRPr="00205CC3">
        <w:rPr>
          <w:rFonts w:ascii="Arial" w:eastAsia="Times New Roman" w:hAnsi="Arial" w:cs="Arial"/>
          <w:sz w:val="24"/>
          <w:szCs w:val="24"/>
        </w:rPr>
      </w:r>
      <w:r w:rsidRPr="00205CC3">
        <w:rPr>
          <w:rFonts w:ascii="Arial" w:eastAsia="Times New Roman" w:hAnsi="Arial" w:cs="Arial"/>
          <w:sz w:val="24"/>
          <w:szCs w:val="24"/>
        </w:rPr>
        <w:fldChar w:fldCharType="separate"/>
      </w:r>
      <w:r w:rsidRPr="004A61C6">
        <w:rPr>
          <w:rFonts w:ascii="Arial" w:eastAsia="Times New Roman" w:hAnsi="Arial" w:cs="Arial"/>
          <w:noProof/>
          <w:sz w:val="24"/>
          <w:szCs w:val="24"/>
          <w:vertAlign w:val="superscript"/>
        </w:rPr>
        <w:t>76-78</w:t>
      </w:r>
      <w:r w:rsidRPr="00205CC3">
        <w:rPr>
          <w:rFonts w:ascii="Arial" w:eastAsia="Times New Roman" w:hAnsi="Arial" w:cs="Arial"/>
          <w:sz w:val="24"/>
          <w:szCs w:val="24"/>
        </w:rPr>
        <w:fldChar w:fldCharType="end"/>
      </w:r>
      <w:r>
        <w:rPr>
          <w:rFonts w:ascii="Arial" w:eastAsia="Times New Roman" w:hAnsi="Arial" w:cs="Arial"/>
          <w:sz w:val="24"/>
          <w:szCs w:val="24"/>
        </w:rPr>
        <w:t xml:space="preserve"> </w:t>
      </w:r>
      <w:r w:rsidRPr="00205CC3">
        <w:rPr>
          <w:rFonts w:ascii="Arial" w:eastAsia="Times New Roman" w:hAnsi="Arial" w:cs="Arial"/>
          <w:sz w:val="24"/>
          <w:szCs w:val="24"/>
        </w:rPr>
        <w:t>Nearly all ONTDs have PChE and AChE bands and AChE/PChE ratios greater than 0.13.</w:t>
      </w:r>
      <w:r>
        <w:rPr>
          <w:rFonts w:ascii="Arial" w:eastAsia="Times New Roman" w:hAnsi="Arial" w:cs="Arial"/>
          <w:sz w:val="24"/>
          <w:szCs w:val="24"/>
        </w:rPr>
        <w:t xml:space="preserve"> </w:t>
      </w:r>
      <w:r w:rsidRPr="00205CC3">
        <w:rPr>
          <w:rFonts w:ascii="Arial" w:eastAsia="Times New Roman" w:hAnsi="Arial" w:cs="Arial"/>
          <w:sz w:val="24"/>
          <w:szCs w:val="24"/>
        </w:rPr>
        <w:t>Nearly all OVWDs have unusually heavy PChE bands and weak positive AChE bands, and ratios of 0.13 or lower.</w:t>
      </w:r>
      <w:r>
        <w:rPr>
          <w:rFonts w:ascii="Arial" w:eastAsia="Times New Roman" w:hAnsi="Arial" w:cs="Arial"/>
          <w:sz w:val="24"/>
          <w:szCs w:val="24"/>
        </w:rPr>
        <w:t xml:space="preserve"> </w:t>
      </w:r>
      <w:r w:rsidRPr="00205CC3">
        <w:rPr>
          <w:rFonts w:ascii="Arial" w:eastAsia="Times New Roman" w:hAnsi="Arial" w:cs="Arial"/>
          <w:sz w:val="24"/>
          <w:szCs w:val="24"/>
        </w:rPr>
        <w:t>Ratios do not help to identify false positive AChE bands, found more commonly in early amniocentesis (11 to14 weeks) and in samples contaminated with fetal blood.</w:t>
      </w:r>
    </w:p>
    <w:p w14:paraId="29027EBE"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Because afAFP MoM values are calculated using reference data collected in the past, it is important that the kits/reagents selected are stable over a long period of time and that lot-to-lot variability is minimized.</w:t>
      </w:r>
      <w:r>
        <w:rPr>
          <w:rFonts w:ascii="Arial" w:eastAsia="Times New Roman" w:hAnsi="Arial" w:cs="Arial"/>
          <w:sz w:val="24"/>
          <w:szCs w:val="24"/>
        </w:rPr>
        <w:t xml:space="preserve"> </w:t>
      </w:r>
      <w:r w:rsidRPr="00205CC3">
        <w:rPr>
          <w:rFonts w:ascii="Arial" w:eastAsia="Times New Roman" w:hAnsi="Arial" w:cs="Arial"/>
          <w:sz w:val="24"/>
          <w:szCs w:val="24"/>
        </w:rPr>
        <w:t>It is also important to determine that automated systems can perform the necessary dilutions of amniotic fluid samples and achieve the precision and relative accuracy needed.</w:t>
      </w:r>
      <w:r>
        <w:rPr>
          <w:rFonts w:ascii="Arial" w:eastAsia="Times New Roman" w:hAnsi="Arial" w:cs="Arial"/>
          <w:sz w:val="24"/>
          <w:szCs w:val="24"/>
        </w:rPr>
        <w:t xml:space="preserve"> </w:t>
      </w:r>
      <w:r w:rsidRPr="00205CC3">
        <w:rPr>
          <w:rFonts w:ascii="Arial" w:eastAsia="Times New Roman" w:hAnsi="Arial" w:cs="Arial"/>
          <w:sz w:val="24"/>
          <w:szCs w:val="24"/>
        </w:rPr>
        <w:t>In-house amniotic fluid pooled dilution control and repeat assay controls are valuable for monitoring long-term assay drift and lot-to-lot variability.</w:t>
      </w:r>
    </w:p>
    <w:p w14:paraId="5FC507A1"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 xml:space="preserve">Median values should be reviewed at regular intervals by the </w:t>
      </w:r>
      <w:r>
        <w:rPr>
          <w:rFonts w:ascii="Arial" w:eastAsia="Times New Roman" w:hAnsi="Arial" w:cs="Arial"/>
          <w:sz w:val="24"/>
          <w:szCs w:val="24"/>
        </w:rPr>
        <w:t>L</w:t>
      </w:r>
      <w:r w:rsidRPr="00205CC3">
        <w:rPr>
          <w:rFonts w:ascii="Arial" w:eastAsia="Times New Roman" w:hAnsi="Arial" w:cs="Arial"/>
          <w:sz w:val="24"/>
          <w:szCs w:val="24"/>
        </w:rPr>
        <w:t xml:space="preserve">aboratory </w:t>
      </w:r>
      <w:r>
        <w:rPr>
          <w:rFonts w:ascii="Arial" w:eastAsia="Times New Roman" w:hAnsi="Arial" w:cs="Arial"/>
          <w:sz w:val="24"/>
          <w:szCs w:val="24"/>
        </w:rPr>
        <w:t>D</w:t>
      </w:r>
      <w:r w:rsidRPr="00205CC3">
        <w:rPr>
          <w:rFonts w:ascii="Arial" w:eastAsia="Times New Roman" w:hAnsi="Arial" w:cs="Arial"/>
          <w:sz w:val="24"/>
          <w:szCs w:val="24"/>
        </w:rPr>
        <w:t>irector and recalculated at least annually.</w:t>
      </w:r>
      <w:r>
        <w:rPr>
          <w:rFonts w:ascii="Arial" w:eastAsia="Times New Roman" w:hAnsi="Arial" w:cs="Arial"/>
          <w:sz w:val="24"/>
          <w:szCs w:val="24"/>
        </w:rPr>
        <w:t xml:space="preserve"> </w:t>
      </w:r>
      <w:r w:rsidRPr="00205CC3">
        <w:rPr>
          <w:rFonts w:ascii="Arial" w:eastAsia="Times New Roman" w:hAnsi="Arial" w:cs="Arial"/>
          <w:sz w:val="24"/>
          <w:szCs w:val="24"/>
        </w:rPr>
        <w:t>Medians should be recalculated if there is a significant shift in afAFP values (whether due to observed assay drift or reagent lot change).</w:t>
      </w:r>
      <w:r>
        <w:rPr>
          <w:rFonts w:ascii="Arial" w:eastAsia="Times New Roman" w:hAnsi="Arial" w:cs="Arial"/>
          <w:sz w:val="24"/>
          <w:szCs w:val="24"/>
        </w:rPr>
        <w:t xml:space="preserve"> </w:t>
      </w:r>
      <w:r w:rsidRPr="00205CC3">
        <w:rPr>
          <w:rFonts w:ascii="Arial" w:eastAsia="Times New Roman" w:hAnsi="Arial" w:cs="Arial"/>
          <w:sz w:val="24"/>
          <w:szCs w:val="24"/>
        </w:rPr>
        <w:t>Observations from the past should be used only when epidemiological monitoring shows the median MoM has been stable.</w:t>
      </w:r>
      <w:r>
        <w:rPr>
          <w:rFonts w:ascii="Arial" w:eastAsia="Times New Roman" w:hAnsi="Arial" w:cs="Arial"/>
          <w:sz w:val="24"/>
          <w:szCs w:val="24"/>
        </w:rPr>
        <w:t xml:space="preserve"> </w:t>
      </w:r>
      <w:r w:rsidRPr="00205CC3">
        <w:rPr>
          <w:rFonts w:ascii="Arial" w:eastAsia="Times New Roman" w:hAnsi="Arial" w:cs="Arial"/>
          <w:sz w:val="24"/>
          <w:szCs w:val="24"/>
        </w:rPr>
        <w:t>Alternative methods of revising medians like those used in maternal serum AFP values may be necessary if a significant shift has been observed.</w:t>
      </w:r>
      <w:r>
        <w:rPr>
          <w:rFonts w:ascii="Arial" w:eastAsia="Times New Roman" w:hAnsi="Arial" w:cs="Arial"/>
          <w:sz w:val="24"/>
          <w:szCs w:val="24"/>
        </w:rPr>
        <w:t xml:space="preserve"> </w:t>
      </w:r>
      <w:r w:rsidRPr="00205CC3">
        <w:rPr>
          <w:rFonts w:ascii="Arial" w:eastAsia="Times New Roman" w:hAnsi="Arial" w:cs="Arial"/>
          <w:sz w:val="24"/>
          <w:szCs w:val="24"/>
        </w:rPr>
        <w:t>C</w:t>
      </w:r>
      <w:r w:rsidRPr="00205CC3">
        <w:rPr>
          <w:rFonts w:ascii="Arial" w:eastAsia="Times New Roman" w:hAnsi="Arial" w:cs="Arial"/>
          <w:bCs/>
          <w:sz w:val="24"/>
          <w:szCs w:val="24"/>
        </w:rPr>
        <w:t>omparison</w:t>
      </w:r>
      <w:r w:rsidRPr="00205CC3">
        <w:rPr>
          <w:rFonts w:ascii="Arial" w:eastAsia="Times New Roman" w:hAnsi="Arial" w:cs="Arial"/>
          <w:b/>
          <w:bCs/>
          <w:sz w:val="24"/>
          <w:szCs w:val="24"/>
        </w:rPr>
        <w:t xml:space="preserve"> </w:t>
      </w:r>
      <w:r w:rsidRPr="00205CC3">
        <w:rPr>
          <w:rFonts w:ascii="Arial" w:eastAsia="Times New Roman" w:hAnsi="Arial" w:cs="Arial"/>
          <w:sz w:val="24"/>
          <w:szCs w:val="24"/>
        </w:rPr>
        <w:t>data for afAFP can be used applying the same procedure as for msAFP.</w:t>
      </w:r>
    </w:p>
    <w:p w14:paraId="24C285B4"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 xml:space="preserve">As part of epidemiological monitoring, each laboratory should periodically (weekly or monthly, depending on the number of samples tested) compute the median amniotic </w:t>
      </w:r>
      <w:r w:rsidRPr="00205CC3">
        <w:rPr>
          <w:rFonts w:ascii="Arial" w:eastAsia="Times New Roman" w:hAnsi="Arial" w:cs="Arial"/>
          <w:sz w:val="24"/>
          <w:szCs w:val="24"/>
        </w:rPr>
        <w:lastRenderedPageBreak/>
        <w:t>fluid AFP MoM, determine the statistical significance of any deviation from 1.00, and document any necessary corrective action.</w:t>
      </w:r>
    </w:p>
    <w:p w14:paraId="5590188A"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Failure rates for amniotic fluid AFP and AChE testing are low.</w:t>
      </w:r>
      <w:r>
        <w:rPr>
          <w:rFonts w:ascii="Arial" w:eastAsia="Times New Roman" w:hAnsi="Arial" w:cs="Arial"/>
          <w:sz w:val="24"/>
          <w:szCs w:val="24"/>
        </w:rPr>
        <w:t xml:space="preserve"> </w:t>
      </w:r>
      <w:r w:rsidRPr="00205CC3">
        <w:rPr>
          <w:rFonts w:ascii="Arial" w:eastAsia="Times New Roman" w:hAnsi="Arial" w:cs="Arial"/>
          <w:sz w:val="24"/>
          <w:szCs w:val="24"/>
        </w:rPr>
        <w:t>Testing failures are usually related to inadequate specimens, due to sample mishandling (</w:t>
      </w:r>
      <w:r w:rsidRPr="00205CC3">
        <w:rPr>
          <w:rFonts w:ascii="Arial" w:eastAsia="Times New Roman" w:hAnsi="Arial" w:cs="Arial"/>
          <w:i/>
          <w:sz w:val="24"/>
          <w:szCs w:val="24"/>
        </w:rPr>
        <w:t>e.g.</w:t>
      </w:r>
      <w:r w:rsidRPr="00205CC3">
        <w:rPr>
          <w:rFonts w:ascii="Arial" w:eastAsia="Times New Roman" w:hAnsi="Arial" w:cs="Arial"/>
          <w:sz w:val="24"/>
          <w:szCs w:val="24"/>
        </w:rPr>
        <w:t>, heating), gross contamination with fetal blood, or a specimen that is not amniotic fluid (</w:t>
      </w:r>
      <w:r w:rsidRPr="00205CC3">
        <w:rPr>
          <w:rFonts w:ascii="Arial" w:eastAsia="Times New Roman" w:hAnsi="Arial" w:cs="Arial"/>
          <w:i/>
          <w:sz w:val="24"/>
          <w:szCs w:val="24"/>
        </w:rPr>
        <w:t>e.g.</w:t>
      </w:r>
      <w:r w:rsidRPr="00205CC3">
        <w:rPr>
          <w:rFonts w:ascii="Arial" w:eastAsia="Times New Roman" w:hAnsi="Arial" w:cs="Arial"/>
          <w:sz w:val="24"/>
          <w:szCs w:val="24"/>
        </w:rPr>
        <w:t>, urine).</w:t>
      </w:r>
    </w:p>
    <w:p w14:paraId="140A5149"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Each laboratory must participate in an external proficiency testing program(s) that evaluates assay performance for afAFP and AChE (if performed in-house), or must utilize other recommended external proficiency testing methods, (</w:t>
      </w:r>
      <w:r w:rsidRPr="00205CC3">
        <w:rPr>
          <w:rFonts w:ascii="Arial" w:eastAsia="Times New Roman" w:hAnsi="Arial" w:cs="Arial"/>
          <w:i/>
          <w:sz w:val="24"/>
          <w:szCs w:val="24"/>
        </w:rPr>
        <w:t>e.g.,</w:t>
      </w:r>
      <w:r w:rsidRPr="00205CC3">
        <w:rPr>
          <w:rFonts w:ascii="Arial" w:eastAsia="Times New Roman" w:hAnsi="Arial" w:cs="Arial"/>
          <w:sz w:val="24"/>
          <w:szCs w:val="24"/>
        </w:rPr>
        <w:t xml:space="preserve"> scheduled inter-laboratory comparisons; or split sample analysis with another laboratory). </w:t>
      </w:r>
    </w:p>
    <w:p w14:paraId="6ADD0741"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Many of the issues surrounding analytic validity (analytic sensitivity and specificity), confirmatory testing, assay robustness, clinical validity (clinical sensitivity and specificity) are addressed in the section on 2</w:t>
      </w:r>
      <w:r w:rsidRPr="00205CC3">
        <w:rPr>
          <w:rFonts w:ascii="Arial" w:eastAsia="Times New Roman" w:hAnsi="Arial" w:cs="Arial"/>
          <w:sz w:val="24"/>
          <w:szCs w:val="24"/>
          <w:vertAlign w:val="superscript"/>
        </w:rPr>
        <w:t>nd</w:t>
      </w:r>
      <w:r w:rsidRPr="00205CC3">
        <w:rPr>
          <w:rFonts w:ascii="Arial" w:eastAsia="Times New Roman" w:hAnsi="Arial" w:cs="Arial"/>
          <w:sz w:val="24"/>
          <w:szCs w:val="24"/>
        </w:rPr>
        <w:t xml:space="preserve"> trimester msAFP screening.</w:t>
      </w:r>
    </w:p>
    <w:p w14:paraId="3C6C291F"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Using a cut-off level of 2.0 MoM, detection rates for OSB are expected to be 90% at 13 to 15 weeks, 96% at 16 to 18 weeks, and 99% at 19 to 21 weeks.</w:t>
      </w:r>
      <w:r>
        <w:rPr>
          <w:rFonts w:ascii="Arial" w:eastAsia="Times New Roman" w:hAnsi="Arial" w:cs="Arial"/>
          <w:sz w:val="24"/>
          <w:szCs w:val="24"/>
        </w:rPr>
        <w:t xml:space="preserve"> </w:t>
      </w:r>
      <w:r w:rsidRPr="00205CC3">
        <w:rPr>
          <w:rFonts w:ascii="Arial" w:eastAsia="Times New Roman" w:hAnsi="Arial" w:cs="Arial"/>
          <w:sz w:val="24"/>
          <w:szCs w:val="24"/>
        </w:rPr>
        <w:t>Associated false positive rates are expected to be about 1%, 2% and 5%, respectively.</w:t>
      </w:r>
      <w:r>
        <w:rPr>
          <w:rFonts w:ascii="Arial" w:eastAsia="Times New Roman" w:hAnsi="Arial" w:cs="Arial"/>
          <w:sz w:val="24"/>
          <w:szCs w:val="24"/>
        </w:rPr>
        <w:t xml:space="preserve"> </w:t>
      </w:r>
      <w:r w:rsidRPr="00205CC3">
        <w:rPr>
          <w:rFonts w:ascii="Arial" w:eastAsia="Times New Roman" w:hAnsi="Arial" w:cs="Arial"/>
          <w:sz w:val="24"/>
          <w:szCs w:val="24"/>
        </w:rPr>
        <w:t>The detection rate for anencephaly at this cut-off level is even higher.</w:t>
      </w:r>
      <w:r w:rsidRPr="00DA74FD">
        <w:rPr>
          <w:rFonts w:ascii="Arial" w:eastAsia="Times New Roman" w:hAnsi="Arial" w:cs="Arial"/>
          <w:sz w:val="24"/>
          <w:szCs w:val="24"/>
        </w:rPr>
        <w:t xml:space="preserve"> </w:t>
      </w:r>
    </w:p>
    <w:p w14:paraId="1C72624E"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When AChE testing is performed on all amniotic fluid specimens that have an afAFP level of 2.0 MoM or greater and are free of fetal blood contamination, the overall detection rate for OSB is 96% with a false positive rate of about 0.14%.</w:t>
      </w:r>
      <w:r>
        <w:rPr>
          <w:rFonts w:ascii="Arial" w:eastAsia="Times New Roman" w:hAnsi="Arial" w:cs="Arial"/>
          <w:sz w:val="24"/>
          <w:szCs w:val="24"/>
        </w:rPr>
        <w:t xml:space="preserve"> </w:t>
      </w:r>
      <w:r w:rsidRPr="00205CC3">
        <w:rPr>
          <w:rFonts w:ascii="Arial" w:eastAsia="Times New Roman" w:hAnsi="Arial" w:cs="Arial"/>
          <w:sz w:val="24"/>
          <w:szCs w:val="24"/>
        </w:rPr>
        <w:t>In the presence of visible blood contamination, the detection and false positive rates for OSB are about 91% and 1.2%, respectively.</w:t>
      </w:r>
      <w:r>
        <w:rPr>
          <w:rFonts w:ascii="Arial" w:eastAsia="Times New Roman" w:hAnsi="Arial" w:cs="Arial"/>
          <w:sz w:val="24"/>
          <w:szCs w:val="24"/>
        </w:rPr>
        <w:t xml:space="preserve"> </w:t>
      </w:r>
      <w:r w:rsidRPr="00205CC3">
        <w:rPr>
          <w:rFonts w:ascii="Arial" w:eastAsia="Times New Roman" w:hAnsi="Arial" w:cs="Arial"/>
          <w:sz w:val="24"/>
          <w:szCs w:val="24"/>
        </w:rPr>
        <w:t>The detection rate for anencephaly using this algorithm is even higher.</w:t>
      </w:r>
      <w:r>
        <w:rPr>
          <w:rFonts w:ascii="Arial" w:eastAsia="Times New Roman" w:hAnsi="Arial" w:cs="Arial"/>
          <w:sz w:val="24"/>
          <w:szCs w:val="24"/>
        </w:rPr>
        <w:t xml:space="preserve"> </w:t>
      </w:r>
      <w:r w:rsidRPr="00205CC3">
        <w:rPr>
          <w:rFonts w:ascii="Arial" w:eastAsia="Times New Roman" w:hAnsi="Arial" w:cs="Arial"/>
          <w:sz w:val="24"/>
          <w:szCs w:val="24"/>
        </w:rPr>
        <w:t xml:space="preserve">Among women with a positive msAFP result the prevalence (PPV) is about </w:t>
      </w:r>
      <w:r w:rsidRPr="00205CC3">
        <w:rPr>
          <w:rFonts w:ascii="Arial" w:eastAsia="Times New Roman" w:hAnsi="Arial" w:cs="Arial"/>
          <w:sz w:val="24"/>
          <w:szCs w:val="24"/>
        </w:rPr>
        <w:lastRenderedPageBreak/>
        <w:t>1 in 40.</w:t>
      </w:r>
      <w:r>
        <w:rPr>
          <w:rFonts w:ascii="Arial" w:eastAsia="Times New Roman" w:hAnsi="Arial" w:cs="Arial"/>
          <w:sz w:val="24"/>
          <w:szCs w:val="24"/>
        </w:rPr>
        <w:t xml:space="preserve"> </w:t>
      </w:r>
      <w:r w:rsidRPr="00205CC3">
        <w:rPr>
          <w:rFonts w:ascii="Arial" w:eastAsia="Times New Roman" w:hAnsi="Arial" w:cs="Arial"/>
          <w:sz w:val="24"/>
          <w:szCs w:val="24"/>
        </w:rPr>
        <w:t>Thus, the overall positive predictive power of subsequent afAFP testing that includes AChE testing in samples that are not bloodstained would be about 6% [</w:t>
      </w:r>
      <w:r>
        <w:rPr>
          <w:rFonts w:ascii="Arial" w:eastAsia="Times New Roman" w:hAnsi="Arial" w:cs="Arial"/>
          <w:sz w:val="24"/>
          <w:szCs w:val="24"/>
        </w:rPr>
        <w:t>(</w:t>
      </w:r>
      <w:r w:rsidRPr="00205CC3">
        <w:rPr>
          <w:rFonts w:ascii="Arial" w:eastAsia="Times New Roman" w:hAnsi="Arial" w:cs="Arial"/>
          <w:sz w:val="24"/>
          <w:szCs w:val="24"/>
        </w:rPr>
        <w:t>96% / 0.14%</w:t>
      </w:r>
      <w:r>
        <w:rPr>
          <w:rFonts w:ascii="Arial" w:eastAsia="Times New Roman" w:hAnsi="Arial" w:cs="Arial"/>
          <w:sz w:val="24"/>
          <w:szCs w:val="24"/>
        </w:rPr>
        <w:t xml:space="preserve">) </w:t>
      </w:r>
      <w:r w:rsidRPr="00205CC3">
        <w:rPr>
          <w:rFonts w:ascii="Arial" w:eastAsia="Times New Roman" w:hAnsi="Arial" w:cs="Arial"/>
          <w:sz w:val="24"/>
          <w:szCs w:val="24"/>
        </w:rPr>
        <w:t>x 1 in 40, or about 1 in 17].</w:t>
      </w:r>
      <w:r>
        <w:rPr>
          <w:rFonts w:ascii="Arial" w:eastAsia="Times New Roman" w:hAnsi="Arial" w:cs="Arial"/>
          <w:sz w:val="24"/>
          <w:szCs w:val="24"/>
        </w:rPr>
        <w:t xml:space="preserve"> </w:t>
      </w:r>
      <w:r w:rsidRPr="00205CC3">
        <w:rPr>
          <w:rFonts w:ascii="Arial" w:eastAsia="Times New Roman" w:hAnsi="Arial" w:cs="Arial"/>
          <w:sz w:val="24"/>
          <w:szCs w:val="24"/>
        </w:rPr>
        <w:t>This is somewhat lower than published estimated odds of 40:1</w:t>
      </w:r>
      <w:r w:rsidRPr="00205CC3">
        <w:rPr>
          <w:rFonts w:ascii="Arial" w:eastAsia="Times New Roman" w:hAnsi="Arial" w:cs="Arial"/>
          <w:sz w:val="24"/>
          <w:szCs w:val="24"/>
        </w:rPr>
        <w:fldChar w:fldCharType="begin"/>
      </w:r>
      <w:r>
        <w:rPr>
          <w:rFonts w:ascii="Arial" w:eastAsia="Times New Roman" w:hAnsi="Arial" w:cs="Arial"/>
          <w:sz w:val="24"/>
          <w:szCs w:val="24"/>
        </w:rPr>
        <w:instrText xml:space="preserve"> ADDIN EN.CITE &lt;EndNote&gt;&lt;Cite&gt;&lt;Author&gt;Wald&lt;/Author&gt;&lt;Year&gt;1989&lt;/Year&gt;&lt;RecNum&gt;305&lt;/RecNum&gt;&lt;DisplayText&gt;&lt;style face="superscript"&gt;79&lt;/style&gt;&lt;/DisplayText&gt;&lt;record&gt;&lt;rec-number&gt;305&lt;/rec-number&gt;&lt;foreign-keys&gt;&lt;key app="EN" db-id="s9w0va9dpt5twre2txipdafv5ttxr50ex55v" timestamp="1515697617"&gt;305&lt;/key&gt;&lt;/foreign-keys&gt;&lt;ref-type name="Journal Article"&gt;17&lt;/ref-type&gt;&lt;contributors&gt;&lt;authors&gt;&lt;author&gt;Wald, N.&lt;/author&gt;&lt;author&gt;Cuckle, H.&lt;/author&gt;&lt;author&gt;Nanchahal, K.&lt;/author&gt;&lt;/authors&gt;&lt;/contributors&gt;&lt;auth-address&gt;Department of Environmental and Preventive Medicine, Medical College of St Bartholomew&amp;apos;s Hospital, London, U.K.&lt;/auth-address&gt;&lt;titles&gt;&lt;title&gt;Amniotic fluid acetylcholinesterase measurement in the prenatal diagnosis of open neural tube defects. Second report of the Collaborative Acetylcholinesterase Study&lt;/title&gt;&lt;secondary-title&gt;Prenat Diagn&lt;/secondary-title&gt;&lt;/titles&gt;&lt;periodical&gt;&lt;full-title&gt;Prenat Diagn&lt;/full-title&gt;&lt;/periodical&gt;&lt;pages&gt;813-29&lt;/pages&gt;&lt;volume&gt;9&lt;/volume&gt;&lt;number&gt;12&lt;/number&gt;&lt;keywords&gt;&lt;keyword&gt;*Acetylcholinesterase/analysis&lt;/keyword&gt;&lt;keyword&gt;Amniocentesis&lt;/keyword&gt;&lt;keyword&gt;Amniotic Fluid/*enzymology&lt;/keyword&gt;&lt;keyword&gt;Electrophoresis&lt;/keyword&gt;&lt;keyword&gt;False Positive Reactions&lt;/keyword&gt;&lt;keyword&gt;Female&lt;/keyword&gt;&lt;keyword&gt;Humans&lt;/keyword&gt;&lt;keyword&gt;Multicenter Studies as Topic&lt;/keyword&gt;&lt;keyword&gt;Neural Tube Defects/*diagnosis&lt;/keyword&gt;&lt;keyword&gt;Pregnancy&lt;/keyword&gt;&lt;keyword&gt;Prenatal Diagnosis/*methods&lt;/keyword&gt;&lt;keyword&gt;Spina Bifida Occulta/diagnosis&lt;/keyword&gt;&lt;keyword&gt;alpha-Fetoproteins&lt;/keyword&gt;&lt;/keywords&gt;&lt;dates&gt;&lt;year&gt;1989&lt;/year&gt;&lt;pub-dates&gt;&lt;date&gt;Dec&lt;/date&gt;&lt;/pub-dates&gt;&lt;/dates&gt;&lt;isbn&gt;0197-3851 (Print)&amp;#xD;0197-3851 (Linking)&lt;/isbn&gt;&lt;accession-num&gt;2483269&lt;/accession-num&gt;&lt;urls&gt;&lt;related-urls&gt;&lt;url&gt;https://www.ncbi.nlm.nih.gov/pubmed/2483269&lt;/url&gt;&lt;/related-urls&gt;&lt;/urls&gt;&lt;/record&gt;&lt;/Cite&gt;&lt;/EndNote&gt;</w:instrText>
      </w:r>
      <w:r w:rsidRPr="00205CC3">
        <w:rPr>
          <w:rFonts w:ascii="Arial" w:eastAsia="Times New Roman" w:hAnsi="Arial" w:cs="Arial"/>
          <w:sz w:val="24"/>
          <w:szCs w:val="24"/>
        </w:rPr>
        <w:fldChar w:fldCharType="separate"/>
      </w:r>
      <w:r w:rsidRPr="004A61C6">
        <w:rPr>
          <w:rFonts w:ascii="Arial" w:eastAsia="Times New Roman" w:hAnsi="Arial" w:cs="Arial"/>
          <w:noProof/>
          <w:sz w:val="24"/>
          <w:szCs w:val="24"/>
          <w:vertAlign w:val="superscript"/>
        </w:rPr>
        <w:t>79</w:t>
      </w:r>
      <w:r w:rsidRPr="00205CC3">
        <w:rPr>
          <w:rFonts w:ascii="Arial" w:eastAsia="Times New Roman" w:hAnsi="Arial" w:cs="Arial"/>
          <w:sz w:val="24"/>
          <w:szCs w:val="24"/>
        </w:rPr>
        <w:fldChar w:fldCharType="end"/>
      </w:r>
      <w:r w:rsidRPr="00205CC3">
        <w:rPr>
          <w:rFonts w:ascii="Arial" w:eastAsia="Times New Roman" w:hAnsi="Arial" w:cs="Arial"/>
          <w:sz w:val="24"/>
          <w:szCs w:val="24"/>
        </w:rPr>
        <w:t xml:space="preserve"> likely due to the reduced prevalence</w:t>
      </w:r>
      <w:r>
        <w:rPr>
          <w:rFonts w:ascii="Arial" w:eastAsia="Times New Roman" w:hAnsi="Arial" w:cs="Arial"/>
          <w:sz w:val="24"/>
          <w:szCs w:val="24"/>
        </w:rPr>
        <w:t xml:space="preserve"> </w:t>
      </w:r>
      <w:r w:rsidRPr="00205CC3">
        <w:rPr>
          <w:rFonts w:ascii="Arial" w:eastAsia="Times New Roman" w:hAnsi="Arial" w:cs="Arial"/>
          <w:sz w:val="24"/>
          <w:szCs w:val="24"/>
        </w:rPr>
        <w:t xml:space="preserve">of ONTD resulting from current folic acid fortification and supplementation. </w:t>
      </w:r>
    </w:p>
    <w:p w14:paraId="6B320E38" w14:textId="666F7902" w:rsidR="00BE6B37" w:rsidRPr="0063247D" w:rsidRDefault="00CA029B" w:rsidP="00BE6B37">
      <w:pPr>
        <w:pStyle w:val="Heading2"/>
        <w:spacing w:line="480" w:lineRule="auto"/>
      </w:pPr>
      <w:bookmarkStart w:id="9" w:name="_Toc401413026"/>
      <w:bookmarkStart w:id="10" w:name="_Hlk15550187"/>
      <w:r>
        <w:t>S</w:t>
      </w:r>
      <w:r w:rsidR="00BE6B37" w:rsidRPr="0063247D">
        <w:t>.7 Result reporting</w:t>
      </w:r>
      <w:bookmarkEnd w:id="9"/>
    </w:p>
    <w:p w14:paraId="7A5869E9" w14:textId="77777777" w:rsidR="00BE6B37" w:rsidRPr="00205CC3" w:rsidRDefault="00BE6B37" w:rsidP="00BE6B37">
      <w:pPr>
        <w:tabs>
          <w:tab w:val="left" w:pos="1857"/>
        </w:tabs>
        <w:spacing w:after="0" w:line="480" w:lineRule="auto"/>
        <w:ind w:firstLine="360"/>
        <w:rPr>
          <w:rFonts w:ascii="Arial" w:eastAsia="Times New Roman" w:hAnsi="Arial" w:cs="Arial"/>
          <w:b/>
          <w:bCs/>
          <w:sz w:val="24"/>
          <w:szCs w:val="24"/>
        </w:rPr>
      </w:pPr>
      <w:r w:rsidRPr="00205CC3">
        <w:rPr>
          <w:rFonts w:ascii="Arial" w:eastAsia="Times New Roman" w:hAnsi="Arial" w:cs="Arial"/>
          <w:sz w:val="24"/>
          <w:szCs w:val="24"/>
        </w:rPr>
        <w:t>Final reports of test results must be clear to a non-geneticist professional and must include:</w:t>
      </w:r>
    </w:p>
    <w:p w14:paraId="2CE3FB51" w14:textId="77777777" w:rsidR="00BE6B37" w:rsidRPr="00205CC3" w:rsidRDefault="00BE6B37" w:rsidP="00BE6B37">
      <w:pPr>
        <w:numPr>
          <w:ilvl w:val="0"/>
          <w:numId w:val="3"/>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Patient's name, date of birth and other identifying information</w:t>
      </w:r>
      <w:r>
        <w:rPr>
          <w:rFonts w:ascii="Arial" w:eastAsia="Times New Roman" w:hAnsi="Arial" w:cs="Arial"/>
          <w:sz w:val="24"/>
          <w:szCs w:val="24"/>
        </w:rPr>
        <w:t>;</w:t>
      </w:r>
    </w:p>
    <w:p w14:paraId="412D2D04" w14:textId="77777777" w:rsidR="00BE6B37" w:rsidRPr="00205CC3" w:rsidRDefault="00BE6B37" w:rsidP="00BE6B37">
      <w:pPr>
        <w:numPr>
          <w:ilvl w:val="0"/>
          <w:numId w:val="3"/>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Name of referring health care provider/health center to receive the report</w:t>
      </w:r>
      <w:r>
        <w:rPr>
          <w:rFonts w:ascii="Arial" w:eastAsia="Times New Roman" w:hAnsi="Arial" w:cs="Arial"/>
          <w:sz w:val="24"/>
          <w:szCs w:val="24"/>
        </w:rPr>
        <w:t>;</w:t>
      </w:r>
    </w:p>
    <w:p w14:paraId="7D24BD14" w14:textId="77777777" w:rsidR="00BE6B37" w:rsidRPr="00205CC3" w:rsidRDefault="00BE6B37" w:rsidP="00BE6B37">
      <w:pPr>
        <w:numPr>
          <w:ilvl w:val="0"/>
          <w:numId w:val="3"/>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Type of specimen</w:t>
      </w:r>
      <w:r>
        <w:rPr>
          <w:rFonts w:ascii="Arial" w:eastAsia="Times New Roman" w:hAnsi="Arial" w:cs="Arial"/>
          <w:sz w:val="24"/>
          <w:szCs w:val="24"/>
        </w:rPr>
        <w:t>;</w:t>
      </w:r>
    </w:p>
    <w:p w14:paraId="0576A52D" w14:textId="77777777" w:rsidR="00BE6B37" w:rsidRPr="00205CC3" w:rsidRDefault="00BE6B37" w:rsidP="00BE6B37">
      <w:pPr>
        <w:numPr>
          <w:ilvl w:val="0"/>
          <w:numId w:val="3"/>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Date when sample was obtained</w:t>
      </w:r>
      <w:r>
        <w:rPr>
          <w:rFonts w:ascii="Arial" w:eastAsia="Times New Roman" w:hAnsi="Arial" w:cs="Arial"/>
          <w:sz w:val="24"/>
          <w:szCs w:val="24"/>
        </w:rPr>
        <w:t>;</w:t>
      </w:r>
    </w:p>
    <w:p w14:paraId="33AB5B08" w14:textId="77777777" w:rsidR="00BE6B37" w:rsidRPr="00205CC3" w:rsidRDefault="00BE6B37" w:rsidP="00BE6B37">
      <w:pPr>
        <w:numPr>
          <w:ilvl w:val="0"/>
          <w:numId w:val="3"/>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Accession number(s) to uniquely identify the sample</w:t>
      </w:r>
      <w:r>
        <w:rPr>
          <w:rFonts w:ascii="Arial" w:eastAsia="Times New Roman" w:hAnsi="Arial" w:cs="Arial"/>
          <w:sz w:val="24"/>
          <w:szCs w:val="24"/>
        </w:rPr>
        <w:t>;</w:t>
      </w:r>
    </w:p>
    <w:p w14:paraId="4FD017C6" w14:textId="77777777" w:rsidR="00BE6B37" w:rsidRPr="00205CC3" w:rsidRDefault="00BE6B37" w:rsidP="00BE6B37">
      <w:pPr>
        <w:numPr>
          <w:ilvl w:val="0"/>
          <w:numId w:val="3"/>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Pregnancy-related information used in the interpretation (e.g., gestational age)</w:t>
      </w:r>
      <w:r>
        <w:rPr>
          <w:rFonts w:ascii="Arial" w:eastAsia="Times New Roman" w:hAnsi="Arial" w:cs="Arial"/>
          <w:sz w:val="24"/>
          <w:szCs w:val="24"/>
        </w:rPr>
        <w:t>;</w:t>
      </w:r>
    </w:p>
    <w:p w14:paraId="7D2CE6E9" w14:textId="77777777" w:rsidR="00BE6B37" w:rsidRDefault="00BE6B37" w:rsidP="00BE6B37">
      <w:pPr>
        <w:numPr>
          <w:ilvl w:val="0"/>
          <w:numId w:val="3"/>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Analytic results in both mass units (</w:t>
      </w:r>
      <w:r w:rsidRPr="00205CC3">
        <w:rPr>
          <w:rFonts w:ascii="Arial" w:eastAsia="Times New Roman" w:hAnsi="Arial" w:cs="Arial"/>
          <w:i/>
          <w:sz w:val="24"/>
          <w:szCs w:val="24"/>
        </w:rPr>
        <w:t>e.g</w:t>
      </w:r>
      <w:r w:rsidRPr="00205CC3">
        <w:rPr>
          <w:rFonts w:ascii="Arial" w:eastAsia="Times New Roman" w:hAnsi="Arial" w:cs="Arial"/>
          <w:sz w:val="24"/>
          <w:szCs w:val="24"/>
        </w:rPr>
        <w:t>., KIU/mL or µg/mL) and interpretive units (</w:t>
      </w:r>
      <w:r w:rsidRPr="00205CC3">
        <w:rPr>
          <w:rFonts w:ascii="Arial" w:eastAsia="Times New Roman" w:hAnsi="Arial" w:cs="Arial"/>
          <w:i/>
          <w:sz w:val="24"/>
          <w:szCs w:val="24"/>
        </w:rPr>
        <w:t>i.e.,</w:t>
      </w:r>
      <w:r w:rsidRPr="00205CC3">
        <w:rPr>
          <w:rFonts w:ascii="Arial" w:eastAsia="Times New Roman" w:hAnsi="Arial" w:cs="Arial"/>
          <w:sz w:val="24"/>
          <w:szCs w:val="24"/>
        </w:rPr>
        <w:t xml:space="preserve"> MoM)</w:t>
      </w:r>
      <w:r>
        <w:rPr>
          <w:rFonts w:ascii="Arial" w:eastAsia="Times New Roman" w:hAnsi="Arial" w:cs="Arial"/>
          <w:sz w:val="24"/>
          <w:szCs w:val="24"/>
        </w:rPr>
        <w:t>;</w:t>
      </w:r>
    </w:p>
    <w:p w14:paraId="3EA36CA2" w14:textId="77777777" w:rsidR="00BE6B37" w:rsidRPr="0088246F" w:rsidRDefault="00BE6B37" w:rsidP="00BE6B37">
      <w:pPr>
        <w:pStyle w:val="ListParagraph"/>
        <w:numPr>
          <w:ilvl w:val="0"/>
          <w:numId w:val="3"/>
        </w:numPr>
        <w:spacing w:after="0" w:line="480" w:lineRule="auto"/>
        <w:rPr>
          <w:rFonts w:ascii="Arial" w:hAnsi="Arial" w:cs="Arial"/>
          <w:sz w:val="24"/>
          <w:szCs w:val="24"/>
        </w:rPr>
      </w:pPr>
      <w:r w:rsidRPr="0088246F">
        <w:rPr>
          <w:rFonts w:ascii="Arial" w:hAnsi="Arial" w:cs="Arial"/>
          <w:sz w:val="24"/>
          <w:szCs w:val="24"/>
        </w:rPr>
        <w:t>Normative ranges for afAFP measurements should be reported in multiples of the median (MoM).  The normative range would be less than the screening laboratory’s afAFP MoM cut-off level that usually falls in the range of &lt;2.0 to &lt;2.5 MoM;</w:t>
      </w:r>
    </w:p>
    <w:p w14:paraId="1E8B6396" w14:textId="77777777" w:rsidR="00BE6B37" w:rsidRDefault="00BE6B37" w:rsidP="00BE6B37">
      <w:pPr>
        <w:numPr>
          <w:ilvl w:val="0"/>
          <w:numId w:val="3"/>
        </w:numPr>
        <w:tabs>
          <w:tab w:val="left" w:pos="1857"/>
        </w:tabs>
        <w:spacing w:after="0" w:line="480" w:lineRule="auto"/>
        <w:contextualSpacing/>
        <w:rPr>
          <w:rFonts w:ascii="Arial" w:eastAsia="Times New Roman" w:hAnsi="Arial" w:cs="Arial"/>
          <w:sz w:val="24"/>
          <w:szCs w:val="24"/>
        </w:rPr>
      </w:pPr>
      <w:r w:rsidRPr="009F1EFE">
        <w:rPr>
          <w:rFonts w:ascii="Arial" w:eastAsia="Times New Roman" w:hAnsi="Arial" w:cs="Arial"/>
          <w:sz w:val="24"/>
          <w:szCs w:val="24"/>
        </w:rPr>
        <w:t>Clinical interpretation including recommendations</w:t>
      </w:r>
      <w:r w:rsidRPr="00205CC3">
        <w:rPr>
          <w:rFonts w:ascii="Arial" w:eastAsia="Times New Roman" w:hAnsi="Arial" w:cs="Arial"/>
          <w:sz w:val="24"/>
          <w:szCs w:val="24"/>
        </w:rPr>
        <w:t xml:space="preserve"> for further studies</w:t>
      </w:r>
      <w:r>
        <w:rPr>
          <w:rFonts w:ascii="Arial" w:eastAsia="Times New Roman" w:hAnsi="Arial" w:cs="Arial"/>
          <w:sz w:val="24"/>
          <w:szCs w:val="24"/>
        </w:rPr>
        <w:t>.</w:t>
      </w:r>
    </w:p>
    <w:bookmarkEnd w:id="10"/>
    <w:p w14:paraId="64783813" w14:textId="77777777" w:rsidR="00BE6B37" w:rsidRPr="00205CC3" w:rsidRDefault="00BE6B37" w:rsidP="00BE6B37">
      <w:pPr>
        <w:tabs>
          <w:tab w:val="left" w:pos="1857"/>
        </w:tabs>
        <w:spacing w:after="0" w:line="480" w:lineRule="auto"/>
        <w:ind w:left="360"/>
        <w:contextualSpacing/>
        <w:rPr>
          <w:rFonts w:ascii="Arial" w:eastAsia="Times New Roman" w:hAnsi="Arial" w:cs="Arial"/>
          <w:sz w:val="24"/>
          <w:szCs w:val="24"/>
        </w:rPr>
      </w:pPr>
    </w:p>
    <w:p w14:paraId="730C0EC9"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lastRenderedPageBreak/>
        <w:t>Negative results are usually not associated with reflexive testing, although there are situations (</w:t>
      </w:r>
      <w:r w:rsidRPr="00205CC3">
        <w:rPr>
          <w:rFonts w:ascii="Arial" w:eastAsia="Times New Roman" w:hAnsi="Arial" w:cs="Arial"/>
          <w:i/>
          <w:sz w:val="24"/>
          <w:szCs w:val="24"/>
        </w:rPr>
        <w:t>e.g.</w:t>
      </w:r>
      <w:r w:rsidRPr="00205CC3">
        <w:rPr>
          <w:rFonts w:ascii="Arial" w:eastAsia="Times New Roman" w:hAnsi="Arial" w:cs="Arial"/>
          <w:sz w:val="24"/>
          <w:szCs w:val="24"/>
        </w:rPr>
        <w:t>, family history of NTD) in which AChE is routinely run even if afAFP results are not elevated.</w:t>
      </w:r>
      <w:r>
        <w:rPr>
          <w:rFonts w:ascii="Arial" w:eastAsia="Times New Roman" w:hAnsi="Arial" w:cs="Arial"/>
          <w:sz w:val="24"/>
          <w:szCs w:val="24"/>
        </w:rPr>
        <w:t xml:space="preserve"> </w:t>
      </w:r>
      <w:r w:rsidRPr="00205CC3">
        <w:rPr>
          <w:rFonts w:ascii="Arial" w:eastAsia="Times New Roman" w:hAnsi="Arial" w:cs="Arial"/>
          <w:sz w:val="24"/>
          <w:szCs w:val="24"/>
        </w:rPr>
        <w:t>Written reports of negative results can be transmitted to the referring health care provider by U.S. mail, courier, electronic transmission, or overnight carrier.</w:t>
      </w:r>
    </w:p>
    <w:p w14:paraId="30A025B7" w14:textId="692C466E"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All positive test results (</w:t>
      </w:r>
      <w:r w:rsidRPr="00205CC3">
        <w:rPr>
          <w:rFonts w:ascii="Arial" w:eastAsia="Times New Roman" w:hAnsi="Arial" w:cs="Arial"/>
          <w:i/>
          <w:sz w:val="24"/>
          <w:szCs w:val="24"/>
        </w:rPr>
        <w:t>i.e.,</w:t>
      </w:r>
      <w:r w:rsidRPr="00205CC3">
        <w:rPr>
          <w:rFonts w:ascii="Arial" w:eastAsia="Times New Roman" w:hAnsi="Arial" w:cs="Arial"/>
          <w:sz w:val="24"/>
          <w:szCs w:val="24"/>
        </w:rPr>
        <w:t xml:space="preserve"> elevated afAFP and/or positive AChE) should be promptly transmitted to the referring health care provider, by some method that ensures prompt receipt by the referring provider, usually by phone and/or fax.</w:t>
      </w:r>
      <w:r>
        <w:rPr>
          <w:rFonts w:ascii="Arial" w:eastAsia="Times New Roman" w:hAnsi="Arial" w:cs="Arial"/>
          <w:sz w:val="24"/>
          <w:szCs w:val="24"/>
        </w:rPr>
        <w:t xml:space="preserve"> </w:t>
      </w:r>
      <w:r w:rsidRPr="00205CC3">
        <w:rPr>
          <w:rFonts w:ascii="Arial" w:eastAsia="Times New Roman" w:hAnsi="Arial" w:cs="Arial"/>
          <w:sz w:val="24"/>
          <w:szCs w:val="24"/>
        </w:rPr>
        <w:t>Whenever possible, direct electronic transmission to the patient’s electronic medical record is preferred.</w:t>
      </w:r>
      <w:r>
        <w:rPr>
          <w:rFonts w:ascii="Arial" w:eastAsia="Times New Roman" w:hAnsi="Arial" w:cs="Arial"/>
          <w:sz w:val="24"/>
          <w:szCs w:val="24"/>
        </w:rPr>
        <w:t xml:space="preserve"> </w:t>
      </w:r>
      <w:r w:rsidRPr="00205CC3">
        <w:rPr>
          <w:rFonts w:ascii="Arial" w:eastAsia="Times New Roman" w:hAnsi="Arial" w:cs="Arial"/>
          <w:sz w:val="24"/>
          <w:szCs w:val="24"/>
        </w:rPr>
        <w:t>Optimally, elevated afAFP results are not reported until all reflexive testing is completed.</w:t>
      </w:r>
      <w:r>
        <w:rPr>
          <w:rFonts w:ascii="Arial" w:eastAsia="Times New Roman" w:hAnsi="Arial" w:cs="Arial"/>
          <w:sz w:val="24"/>
          <w:szCs w:val="24"/>
        </w:rPr>
        <w:t xml:space="preserve"> </w:t>
      </w:r>
      <w:r w:rsidRPr="00205CC3">
        <w:rPr>
          <w:rFonts w:ascii="Arial" w:eastAsia="Times New Roman" w:hAnsi="Arial" w:cs="Arial"/>
          <w:sz w:val="24"/>
          <w:szCs w:val="24"/>
        </w:rPr>
        <w:t xml:space="preserve">If preliminary afAFP results are reported, there should be a clear indication on the report that full interpretation is not possible until the results of reflexive </w:t>
      </w:r>
      <w:r>
        <w:rPr>
          <w:rFonts w:ascii="Arial" w:eastAsia="Times New Roman" w:hAnsi="Arial" w:cs="Arial"/>
          <w:sz w:val="24"/>
          <w:szCs w:val="24"/>
        </w:rPr>
        <w:t>A</w:t>
      </w:r>
      <w:r w:rsidR="0088246F">
        <w:rPr>
          <w:rFonts w:ascii="Arial" w:eastAsia="Times New Roman" w:hAnsi="Arial" w:cs="Arial"/>
          <w:sz w:val="24"/>
          <w:szCs w:val="24"/>
        </w:rPr>
        <w:t>C</w:t>
      </w:r>
      <w:r>
        <w:rPr>
          <w:rFonts w:ascii="Arial" w:eastAsia="Times New Roman" w:hAnsi="Arial" w:cs="Arial"/>
          <w:sz w:val="24"/>
          <w:szCs w:val="24"/>
        </w:rPr>
        <w:t>h</w:t>
      </w:r>
      <w:r w:rsidR="0088246F">
        <w:rPr>
          <w:rFonts w:ascii="Arial" w:eastAsia="Times New Roman" w:hAnsi="Arial" w:cs="Arial"/>
          <w:sz w:val="24"/>
          <w:szCs w:val="24"/>
        </w:rPr>
        <w:t>E</w:t>
      </w:r>
      <w:r w:rsidRPr="00205CC3">
        <w:rPr>
          <w:rFonts w:ascii="Arial" w:eastAsia="Times New Roman" w:hAnsi="Arial" w:cs="Arial"/>
          <w:sz w:val="24"/>
          <w:szCs w:val="24"/>
        </w:rPr>
        <w:t xml:space="preserve"> testing are complete.</w:t>
      </w:r>
    </w:p>
    <w:p w14:paraId="0AD39827" w14:textId="77777777" w:rsidR="00BE6B37" w:rsidRPr="00205CC3" w:rsidRDefault="00BE6B37" w:rsidP="00BE6B37">
      <w:pPr>
        <w:tabs>
          <w:tab w:val="left" w:pos="1857"/>
        </w:tabs>
        <w:spacing w:after="0" w:line="480" w:lineRule="auto"/>
        <w:ind w:firstLine="360"/>
        <w:rPr>
          <w:rFonts w:ascii="Arial" w:eastAsia="Times New Roman" w:hAnsi="Arial" w:cs="Arial"/>
          <w:bCs/>
          <w:sz w:val="24"/>
          <w:szCs w:val="24"/>
        </w:rPr>
      </w:pPr>
      <w:r w:rsidRPr="00205CC3">
        <w:rPr>
          <w:rFonts w:ascii="Arial" w:eastAsia="Times New Roman" w:hAnsi="Arial" w:cs="Arial"/>
          <w:bCs/>
          <w:sz w:val="24"/>
          <w:szCs w:val="24"/>
        </w:rPr>
        <w:t>Conditions other than ONTD that are associated with elevated afAFP and/or positive AChE include:</w:t>
      </w:r>
    </w:p>
    <w:p w14:paraId="7280CC42" w14:textId="77777777" w:rsidR="00BE6B37" w:rsidRPr="00205CC3" w:rsidRDefault="00BE6B37" w:rsidP="00BE6B37">
      <w:pPr>
        <w:numPr>
          <w:ilvl w:val="0"/>
          <w:numId w:val="4"/>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Normal variation</w:t>
      </w:r>
      <w:r>
        <w:rPr>
          <w:rFonts w:ascii="Arial" w:eastAsia="Times New Roman" w:hAnsi="Arial" w:cs="Arial"/>
          <w:sz w:val="24"/>
          <w:szCs w:val="24"/>
        </w:rPr>
        <w:t>;</w:t>
      </w:r>
    </w:p>
    <w:p w14:paraId="5228F3BD" w14:textId="6D2EDA08" w:rsidR="00BE6B37" w:rsidRPr="00205CC3" w:rsidRDefault="00BE6B37" w:rsidP="00BE6B37">
      <w:pPr>
        <w:numPr>
          <w:ilvl w:val="0"/>
          <w:numId w:val="4"/>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Open ventral wall defects – Gastroschisis is associated with very elevated afAFP; AChE is positive in over 95% of cases with A/P ratio less than 0.13.</w:t>
      </w:r>
      <w:r>
        <w:rPr>
          <w:rFonts w:ascii="Arial" w:eastAsia="Times New Roman" w:hAnsi="Arial" w:cs="Arial"/>
          <w:sz w:val="24"/>
          <w:szCs w:val="24"/>
        </w:rPr>
        <w:t xml:space="preserve"> </w:t>
      </w:r>
      <w:r w:rsidRPr="00205CC3">
        <w:rPr>
          <w:rFonts w:ascii="Arial" w:eastAsia="Times New Roman" w:hAnsi="Arial" w:cs="Arial"/>
          <w:sz w:val="24"/>
          <w:szCs w:val="24"/>
        </w:rPr>
        <w:t>Omphalocele can have normal to elevated afAFP; AChE is negative in over 95% of cases but A/P ratio is less than 0.13 when present</w:t>
      </w:r>
      <w:r>
        <w:rPr>
          <w:rFonts w:ascii="Arial" w:eastAsia="Times New Roman" w:hAnsi="Arial" w:cs="Arial"/>
          <w:sz w:val="24"/>
          <w:szCs w:val="24"/>
        </w:rPr>
        <w:t>;</w:t>
      </w:r>
    </w:p>
    <w:p w14:paraId="081B8BEE" w14:textId="71809707" w:rsidR="00BE6B37" w:rsidRPr="00205CC3" w:rsidRDefault="00BE6B37" w:rsidP="00BE6B37">
      <w:pPr>
        <w:numPr>
          <w:ilvl w:val="0"/>
          <w:numId w:val="4"/>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Congenital nephrosis – This is a rare condition associated with very elevated afAFP and negative AChE</w:t>
      </w:r>
      <w:r>
        <w:rPr>
          <w:rFonts w:ascii="Arial" w:eastAsia="Times New Roman" w:hAnsi="Arial" w:cs="Arial"/>
          <w:sz w:val="24"/>
          <w:szCs w:val="24"/>
        </w:rPr>
        <w:t>;</w:t>
      </w:r>
    </w:p>
    <w:p w14:paraId="23D3DD03" w14:textId="2808B7D1" w:rsidR="00BE6B37" w:rsidRPr="00205CC3" w:rsidRDefault="00BE6B37" w:rsidP="00BE6B37">
      <w:pPr>
        <w:numPr>
          <w:ilvl w:val="0"/>
          <w:numId w:val="4"/>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lastRenderedPageBreak/>
        <w:t>Fetal demise – AChE may be present</w:t>
      </w:r>
      <w:r>
        <w:rPr>
          <w:rFonts w:ascii="Arial" w:eastAsia="Times New Roman" w:hAnsi="Arial" w:cs="Arial"/>
          <w:sz w:val="24"/>
          <w:szCs w:val="24"/>
        </w:rPr>
        <w:t xml:space="preserve">, </w:t>
      </w:r>
      <w:r w:rsidRPr="00205CC3">
        <w:rPr>
          <w:rFonts w:ascii="Arial" w:eastAsia="Times New Roman" w:hAnsi="Arial" w:cs="Arial"/>
          <w:sz w:val="24"/>
          <w:szCs w:val="24"/>
        </w:rPr>
        <w:t xml:space="preserve">usually </w:t>
      </w:r>
      <w:r>
        <w:rPr>
          <w:rFonts w:ascii="Arial" w:eastAsia="Times New Roman" w:hAnsi="Arial" w:cs="Arial"/>
          <w:sz w:val="24"/>
          <w:szCs w:val="24"/>
        </w:rPr>
        <w:t>presenting</w:t>
      </w:r>
      <w:r w:rsidRPr="00205CC3">
        <w:rPr>
          <w:rFonts w:ascii="Arial" w:eastAsia="Times New Roman" w:hAnsi="Arial" w:cs="Arial"/>
          <w:sz w:val="24"/>
          <w:szCs w:val="24"/>
        </w:rPr>
        <w:t xml:space="preserve"> </w:t>
      </w:r>
      <w:r>
        <w:rPr>
          <w:rFonts w:ascii="Arial" w:eastAsia="Times New Roman" w:hAnsi="Arial" w:cs="Arial"/>
          <w:sz w:val="24"/>
          <w:szCs w:val="24"/>
        </w:rPr>
        <w:t xml:space="preserve">as </w:t>
      </w:r>
      <w:r w:rsidRPr="00205CC3">
        <w:rPr>
          <w:rFonts w:ascii="Arial" w:eastAsia="Times New Roman" w:hAnsi="Arial" w:cs="Arial"/>
          <w:sz w:val="24"/>
          <w:szCs w:val="24"/>
        </w:rPr>
        <w:t>a smeared and streaked pattern with some prominent anodal bands</w:t>
      </w:r>
      <w:r>
        <w:rPr>
          <w:rFonts w:ascii="Arial" w:eastAsia="Times New Roman" w:hAnsi="Arial" w:cs="Arial"/>
          <w:sz w:val="24"/>
          <w:szCs w:val="24"/>
        </w:rPr>
        <w:t>;</w:t>
      </w:r>
    </w:p>
    <w:p w14:paraId="11D294BC" w14:textId="13509EC2" w:rsidR="00BE6B37" w:rsidRPr="00205CC3" w:rsidRDefault="00BE6B37" w:rsidP="00BE6B37">
      <w:pPr>
        <w:numPr>
          <w:ilvl w:val="0"/>
          <w:numId w:val="4"/>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Cystic hygroma fluid – Inadvertent aspiration of hygroma fluid will result in very elevated afAFP level and positive AChE (</w:t>
      </w:r>
      <w:r>
        <w:rPr>
          <w:rFonts w:ascii="Arial" w:eastAsia="Times New Roman" w:hAnsi="Arial" w:cs="Arial"/>
          <w:sz w:val="24"/>
          <w:szCs w:val="24"/>
        </w:rPr>
        <w:t>similar to</w:t>
      </w:r>
      <w:r w:rsidRPr="00205CC3">
        <w:rPr>
          <w:rFonts w:ascii="Arial" w:eastAsia="Times New Roman" w:hAnsi="Arial" w:cs="Arial"/>
          <w:sz w:val="24"/>
          <w:szCs w:val="24"/>
        </w:rPr>
        <w:t xml:space="preserve"> anencephaly)</w:t>
      </w:r>
      <w:r>
        <w:rPr>
          <w:rFonts w:ascii="Arial" w:eastAsia="Times New Roman" w:hAnsi="Arial" w:cs="Arial"/>
          <w:sz w:val="24"/>
          <w:szCs w:val="24"/>
        </w:rPr>
        <w:t>;</w:t>
      </w:r>
    </w:p>
    <w:p w14:paraId="56A09F33" w14:textId="77777777" w:rsidR="00BE6B37" w:rsidRPr="00205CC3" w:rsidRDefault="00BE6B37" w:rsidP="00BE6B37">
      <w:pPr>
        <w:numPr>
          <w:ilvl w:val="0"/>
          <w:numId w:val="4"/>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Fetal blood contamination</w:t>
      </w:r>
      <w:r>
        <w:rPr>
          <w:rFonts w:ascii="Arial" w:eastAsia="Times New Roman" w:hAnsi="Arial" w:cs="Arial"/>
          <w:sz w:val="24"/>
          <w:szCs w:val="24"/>
        </w:rPr>
        <w:t>;</w:t>
      </w:r>
      <w:r w:rsidRPr="00205CC3">
        <w:rPr>
          <w:rFonts w:ascii="Arial" w:eastAsia="Times New Roman" w:hAnsi="Arial" w:cs="Arial"/>
          <w:sz w:val="24"/>
          <w:szCs w:val="24"/>
        </w:rPr>
        <w:t xml:space="preserve"> </w:t>
      </w:r>
    </w:p>
    <w:p w14:paraId="6B085C7D" w14:textId="77777777" w:rsidR="00BE6B37" w:rsidRPr="00205CC3" w:rsidRDefault="00BE6B37" w:rsidP="00BE6B37">
      <w:pPr>
        <w:numPr>
          <w:ilvl w:val="0"/>
          <w:numId w:val="4"/>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Maternal blood contamination – Can occasionally result in a cholinesterase band in the AChE region, but this band will not be inhibited by BW284C51</w:t>
      </w:r>
      <w:r>
        <w:rPr>
          <w:rFonts w:ascii="Arial" w:eastAsia="Times New Roman" w:hAnsi="Arial" w:cs="Arial"/>
          <w:sz w:val="24"/>
          <w:szCs w:val="24"/>
        </w:rPr>
        <w:t>;</w:t>
      </w:r>
    </w:p>
    <w:p w14:paraId="3AD11601" w14:textId="77777777" w:rsidR="00BE6B37" w:rsidRDefault="00BE6B37" w:rsidP="00BE6B37">
      <w:pPr>
        <w:numPr>
          <w:ilvl w:val="0"/>
          <w:numId w:val="4"/>
        </w:numPr>
        <w:tabs>
          <w:tab w:val="left" w:pos="1857"/>
        </w:tabs>
        <w:spacing w:after="0" w:line="480" w:lineRule="auto"/>
        <w:contextualSpacing/>
        <w:rPr>
          <w:rFonts w:ascii="Arial" w:eastAsia="Times New Roman" w:hAnsi="Arial" w:cs="Arial"/>
          <w:sz w:val="24"/>
          <w:szCs w:val="24"/>
        </w:rPr>
      </w:pPr>
      <w:r w:rsidRPr="00205CC3">
        <w:rPr>
          <w:rFonts w:ascii="Arial" w:eastAsia="Times New Roman" w:hAnsi="Arial" w:cs="Arial"/>
          <w:sz w:val="24"/>
          <w:szCs w:val="24"/>
        </w:rPr>
        <w:t>Fetal calf serum contamination</w:t>
      </w:r>
      <w:r>
        <w:rPr>
          <w:rFonts w:ascii="Arial" w:eastAsia="Times New Roman" w:hAnsi="Arial" w:cs="Arial"/>
          <w:sz w:val="24"/>
          <w:szCs w:val="24"/>
        </w:rPr>
        <w:t>.</w:t>
      </w:r>
    </w:p>
    <w:p w14:paraId="0246021A" w14:textId="77777777" w:rsidR="00BE6B37" w:rsidRPr="00205CC3" w:rsidRDefault="00BE6B37" w:rsidP="00BE6B37">
      <w:pPr>
        <w:tabs>
          <w:tab w:val="left" w:pos="1857"/>
        </w:tabs>
        <w:spacing w:after="0" w:line="480" w:lineRule="auto"/>
        <w:contextualSpacing/>
        <w:rPr>
          <w:rFonts w:ascii="Arial" w:eastAsia="Times New Roman" w:hAnsi="Arial" w:cs="Arial"/>
          <w:sz w:val="24"/>
          <w:szCs w:val="24"/>
        </w:rPr>
      </w:pPr>
    </w:p>
    <w:p w14:paraId="52CB5BD6" w14:textId="77777777" w:rsidR="00BE6B37" w:rsidRPr="00205CC3" w:rsidRDefault="00BE6B37" w:rsidP="00BE6B37">
      <w:pPr>
        <w:tabs>
          <w:tab w:val="left" w:pos="1857"/>
        </w:tabs>
        <w:spacing w:after="0" w:line="480" w:lineRule="auto"/>
        <w:ind w:firstLine="360"/>
        <w:rPr>
          <w:rFonts w:ascii="Arial" w:eastAsia="Times New Roman" w:hAnsi="Arial" w:cs="Arial"/>
          <w:sz w:val="24"/>
          <w:szCs w:val="24"/>
        </w:rPr>
      </w:pPr>
      <w:r w:rsidRPr="00205CC3">
        <w:rPr>
          <w:rFonts w:ascii="Arial" w:eastAsia="Times New Roman" w:hAnsi="Arial" w:cs="Arial"/>
          <w:sz w:val="24"/>
          <w:szCs w:val="24"/>
        </w:rPr>
        <w:t>Rarely, very low values of afAFP are identified.</w:t>
      </w:r>
      <w:r>
        <w:rPr>
          <w:rFonts w:ascii="Arial" w:eastAsia="Times New Roman" w:hAnsi="Arial" w:cs="Arial"/>
          <w:sz w:val="24"/>
          <w:szCs w:val="24"/>
        </w:rPr>
        <w:t xml:space="preserve"> </w:t>
      </w:r>
      <w:r w:rsidRPr="00205CC3">
        <w:rPr>
          <w:rFonts w:ascii="Arial" w:eastAsia="Times New Roman" w:hAnsi="Arial" w:cs="Arial"/>
          <w:sz w:val="24"/>
          <w:szCs w:val="24"/>
        </w:rPr>
        <w:t>Aspiration of urine from the maternal bladder may result in extremely low values.</w:t>
      </w:r>
      <w:r>
        <w:rPr>
          <w:rFonts w:ascii="Arial" w:eastAsia="Times New Roman" w:hAnsi="Arial" w:cs="Arial"/>
          <w:sz w:val="24"/>
          <w:szCs w:val="24"/>
        </w:rPr>
        <w:t xml:space="preserve"> </w:t>
      </w:r>
      <w:r w:rsidRPr="00205CC3">
        <w:rPr>
          <w:rFonts w:ascii="Arial" w:eastAsia="Times New Roman" w:hAnsi="Arial" w:cs="Arial"/>
          <w:sz w:val="24"/>
          <w:szCs w:val="24"/>
        </w:rPr>
        <w:t>Application of the fern test will help to discriminate between urine and amniotic fluid.</w:t>
      </w:r>
      <w:r>
        <w:rPr>
          <w:rFonts w:ascii="Arial" w:eastAsia="Times New Roman" w:hAnsi="Arial" w:cs="Arial"/>
          <w:sz w:val="24"/>
          <w:szCs w:val="24"/>
        </w:rPr>
        <w:t xml:space="preserve"> </w:t>
      </w:r>
      <w:r w:rsidRPr="00205CC3">
        <w:rPr>
          <w:rFonts w:ascii="Arial" w:eastAsia="Times New Roman" w:hAnsi="Arial" w:cs="Arial"/>
          <w:sz w:val="24"/>
          <w:szCs w:val="24"/>
        </w:rPr>
        <w:t>The primary issue when urine is identified is that no meaningful clinical testing of the amniotic fluid has been performed.</w:t>
      </w:r>
      <w:r>
        <w:rPr>
          <w:rFonts w:ascii="Arial" w:eastAsia="Times New Roman" w:hAnsi="Arial" w:cs="Arial"/>
          <w:sz w:val="24"/>
          <w:szCs w:val="24"/>
        </w:rPr>
        <w:t xml:space="preserve"> </w:t>
      </w:r>
      <w:r w:rsidRPr="00205CC3">
        <w:rPr>
          <w:rFonts w:ascii="Arial" w:eastAsia="Times New Roman" w:hAnsi="Arial" w:cs="Arial"/>
          <w:sz w:val="24"/>
          <w:szCs w:val="24"/>
        </w:rPr>
        <w:t xml:space="preserve">In addition, congenital absence of AFP has been reported in a handful of cases, with no evidence of harm to the fetus. </w:t>
      </w:r>
    </w:p>
    <w:p w14:paraId="2A7CFF7A" w14:textId="1861A924" w:rsidR="00F519F6" w:rsidRDefault="00F519F6" w:rsidP="00BE6B37">
      <w:pPr>
        <w:tabs>
          <w:tab w:val="left" w:pos="1857"/>
        </w:tabs>
        <w:spacing w:after="0" w:line="480" w:lineRule="auto"/>
        <w:rPr>
          <w:rFonts w:ascii="Arial" w:hAnsi="Arial" w:cs="Arial"/>
          <w:sz w:val="24"/>
          <w:szCs w:val="24"/>
        </w:rPr>
      </w:pPr>
    </w:p>
    <w:p w14:paraId="6B4BFF76" w14:textId="463F20DE" w:rsidR="00F519F6" w:rsidRPr="004A61C6" w:rsidRDefault="00CA029B" w:rsidP="00CA029B">
      <w:pPr>
        <w:tabs>
          <w:tab w:val="left" w:pos="1857"/>
        </w:tabs>
        <w:spacing w:after="0" w:line="480" w:lineRule="auto"/>
      </w:pPr>
      <w:r>
        <w:rPr>
          <w:rFonts w:ascii="Arial" w:hAnsi="Arial" w:cs="Arial"/>
          <w:sz w:val="28"/>
          <w:szCs w:val="28"/>
        </w:rPr>
        <w:t xml:space="preserve">S.8. </w:t>
      </w:r>
      <w:r w:rsidR="00F519F6" w:rsidRPr="00F519F6">
        <w:rPr>
          <w:rFonts w:ascii="Arial" w:hAnsi="Arial" w:cs="Arial"/>
          <w:sz w:val="28"/>
          <w:szCs w:val="28"/>
        </w:rPr>
        <w:t>R</w:t>
      </w:r>
      <w:r>
        <w:rPr>
          <w:rFonts w:ascii="Arial" w:hAnsi="Arial" w:cs="Arial"/>
          <w:sz w:val="28"/>
          <w:szCs w:val="28"/>
        </w:rPr>
        <w:t>eferences</w:t>
      </w:r>
    </w:p>
    <w:p w14:paraId="5D944495" w14:textId="77777777" w:rsidR="00F519F6" w:rsidRPr="00CA029B" w:rsidRDefault="00F519F6" w:rsidP="00F519F6">
      <w:pPr>
        <w:pStyle w:val="EndNoteBibliography"/>
        <w:spacing w:after="0" w:line="360" w:lineRule="auto"/>
        <w:ind w:left="720" w:hanging="720"/>
        <w:rPr>
          <w:rFonts w:ascii="Arial" w:hAnsi="Arial" w:cs="Arial"/>
          <w:sz w:val="24"/>
          <w:szCs w:val="24"/>
        </w:rPr>
      </w:pPr>
      <w:r w:rsidRPr="00CA029B">
        <w:rPr>
          <w:rFonts w:ascii="Arial" w:hAnsi="Arial" w:cs="Arial"/>
          <w:sz w:val="24"/>
          <w:szCs w:val="24"/>
        </w:rPr>
        <w:t>70.</w:t>
      </w:r>
      <w:r w:rsidRPr="00CA029B">
        <w:rPr>
          <w:rFonts w:ascii="Arial" w:hAnsi="Arial" w:cs="Arial"/>
          <w:sz w:val="24"/>
          <w:szCs w:val="24"/>
        </w:rPr>
        <w:tab/>
        <w:t>Palomaki GE, Knight GJ, Haddow JE. Calculating amniotic fluid alpha-fetoprotein median values in the first trimester. Prenat Diagn</w:t>
      </w:r>
      <w:r w:rsidRPr="00CA029B">
        <w:rPr>
          <w:rFonts w:ascii="Arial" w:hAnsi="Arial" w:cs="Arial"/>
          <w:i/>
          <w:sz w:val="24"/>
          <w:szCs w:val="24"/>
        </w:rPr>
        <w:t xml:space="preserve">. </w:t>
      </w:r>
      <w:r w:rsidRPr="00CA029B">
        <w:rPr>
          <w:rFonts w:ascii="Arial" w:hAnsi="Arial" w:cs="Arial"/>
          <w:sz w:val="24"/>
          <w:szCs w:val="24"/>
        </w:rPr>
        <w:t>1993;13(9):887-889.</w:t>
      </w:r>
    </w:p>
    <w:p w14:paraId="1C17F11B" w14:textId="77777777" w:rsidR="00F519F6" w:rsidRPr="00CA029B" w:rsidRDefault="00F519F6" w:rsidP="00F519F6">
      <w:pPr>
        <w:pStyle w:val="EndNoteBibliography"/>
        <w:spacing w:after="0" w:line="360" w:lineRule="auto"/>
        <w:ind w:left="720" w:hanging="720"/>
        <w:rPr>
          <w:rFonts w:ascii="Arial" w:hAnsi="Arial" w:cs="Arial"/>
          <w:sz w:val="24"/>
          <w:szCs w:val="24"/>
        </w:rPr>
      </w:pPr>
      <w:r w:rsidRPr="00CA029B">
        <w:rPr>
          <w:rFonts w:ascii="Arial" w:hAnsi="Arial" w:cs="Arial"/>
          <w:sz w:val="24"/>
          <w:szCs w:val="24"/>
        </w:rPr>
        <w:t>71.</w:t>
      </w:r>
      <w:r w:rsidRPr="00CA029B">
        <w:rPr>
          <w:rFonts w:ascii="Arial" w:hAnsi="Arial" w:cs="Arial"/>
          <w:sz w:val="24"/>
          <w:szCs w:val="24"/>
        </w:rPr>
        <w:tab/>
        <w:t>Burton BK, Nelson LH, Pettenati MJ. False-positive acetylcholinesterase with early amniocentesis. Obstet Gynecol</w:t>
      </w:r>
      <w:r w:rsidRPr="00CA029B">
        <w:rPr>
          <w:rFonts w:ascii="Arial" w:hAnsi="Arial" w:cs="Arial"/>
          <w:i/>
          <w:sz w:val="24"/>
          <w:szCs w:val="24"/>
        </w:rPr>
        <w:t xml:space="preserve">. </w:t>
      </w:r>
      <w:r w:rsidRPr="00CA029B">
        <w:rPr>
          <w:rFonts w:ascii="Arial" w:hAnsi="Arial" w:cs="Arial"/>
          <w:sz w:val="24"/>
          <w:szCs w:val="24"/>
        </w:rPr>
        <w:t>1989;74(4):607-610.</w:t>
      </w:r>
    </w:p>
    <w:p w14:paraId="5D895EA4" w14:textId="77777777" w:rsidR="00F519F6" w:rsidRPr="00CA029B" w:rsidRDefault="00F519F6" w:rsidP="00F519F6">
      <w:pPr>
        <w:pStyle w:val="EndNoteBibliography"/>
        <w:spacing w:after="0" w:line="360" w:lineRule="auto"/>
        <w:ind w:left="720" w:hanging="720"/>
        <w:rPr>
          <w:rFonts w:ascii="Arial" w:hAnsi="Arial" w:cs="Arial"/>
          <w:sz w:val="24"/>
          <w:szCs w:val="24"/>
        </w:rPr>
      </w:pPr>
      <w:r w:rsidRPr="00CA029B">
        <w:rPr>
          <w:rFonts w:ascii="Arial" w:hAnsi="Arial" w:cs="Arial"/>
          <w:sz w:val="24"/>
          <w:szCs w:val="24"/>
        </w:rPr>
        <w:t>72.</w:t>
      </w:r>
      <w:r w:rsidRPr="00CA029B">
        <w:rPr>
          <w:rFonts w:ascii="Arial" w:hAnsi="Arial" w:cs="Arial"/>
          <w:sz w:val="24"/>
          <w:szCs w:val="24"/>
        </w:rPr>
        <w:tab/>
        <w:t>Crandall BF, Chua C. Detecting neural tube defects by amniocentesis between 11 and 15 weeks' gestation. Prenat Diagn</w:t>
      </w:r>
      <w:r w:rsidRPr="00CA029B">
        <w:rPr>
          <w:rFonts w:ascii="Arial" w:hAnsi="Arial" w:cs="Arial"/>
          <w:i/>
          <w:sz w:val="24"/>
          <w:szCs w:val="24"/>
        </w:rPr>
        <w:t xml:space="preserve">. </w:t>
      </w:r>
      <w:r w:rsidRPr="00CA029B">
        <w:rPr>
          <w:rFonts w:ascii="Arial" w:hAnsi="Arial" w:cs="Arial"/>
          <w:sz w:val="24"/>
          <w:szCs w:val="24"/>
        </w:rPr>
        <w:t>1995;15(4):339-343.</w:t>
      </w:r>
    </w:p>
    <w:p w14:paraId="7A009E81" w14:textId="77777777" w:rsidR="00F519F6" w:rsidRPr="00CA029B" w:rsidRDefault="00F519F6" w:rsidP="00F519F6">
      <w:pPr>
        <w:pStyle w:val="EndNoteBibliography"/>
        <w:spacing w:after="0" w:line="360" w:lineRule="auto"/>
        <w:ind w:left="720" w:hanging="720"/>
        <w:rPr>
          <w:rFonts w:ascii="Arial" w:hAnsi="Arial" w:cs="Arial"/>
          <w:sz w:val="24"/>
          <w:szCs w:val="24"/>
        </w:rPr>
      </w:pPr>
      <w:r w:rsidRPr="00CA029B">
        <w:rPr>
          <w:rFonts w:ascii="Arial" w:hAnsi="Arial" w:cs="Arial"/>
          <w:sz w:val="24"/>
          <w:szCs w:val="24"/>
        </w:rPr>
        <w:lastRenderedPageBreak/>
        <w:t>73.</w:t>
      </w:r>
      <w:r w:rsidRPr="00CA029B">
        <w:rPr>
          <w:rFonts w:ascii="Arial" w:hAnsi="Arial" w:cs="Arial"/>
          <w:sz w:val="24"/>
          <w:szCs w:val="24"/>
        </w:rPr>
        <w:tab/>
        <w:t>Drugan A, Syner FN, Greb A, Evans MI. Amniotic fluid alpha-fetoprotein and acetylcholinesterase in early genetic amniocentesis. Obstet Gynecol</w:t>
      </w:r>
      <w:r w:rsidRPr="00CA029B">
        <w:rPr>
          <w:rFonts w:ascii="Arial" w:hAnsi="Arial" w:cs="Arial"/>
          <w:i/>
          <w:sz w:val="24"/>
          <w:szCs w:val="24"/>
        </w:rPr>
        <w:t xml:space="preserve">. </w:t>
      </w:r>
      <w:r w:rsidRPr="00CA029B">
        <w:rPr>
          <w:rFonts w:ascii="Arial" w:hAnsi="Arial" w:cs="Arial"/>
          <w:sz w:val="24"/>
          <w:szCs w:val="24"/>
        </w:rPr>
        <w:t>1988;72(1):35-38.</w:t>
      </w:r>
    </w:p>
    <w:p w14:paraId="04CDAE68" w14:textId="77777777" w:rsidR="00F519F6" w:rsidRPr="00CA029B" w:rsidRDefault="00F519F6" w:rsidP="00F519F6">
      <w:pPr>
        <w:pStyle w:val="EndNoteBibliography"/>
        <w:spacing w:after="0" w:line="360" w:lineRule="auto"/>
        <w:ind w:left="720" w:hanging="720"/>
        <w:rPr>
          <w:rFonts w:ascii="Arial" w:hAnsi="Arial" w:cs="Arial"/>
          <w:sz w:val="24"/>
          <w:szCs w:val="24"/>
        </w:rPr>
      </w:pPr>
      <w:r w:rsidRPr="00CA029B">
        <w:rPr>
          <w:rFonts w:ascii="Arial" w:hAnsi="Arial" w:cs="Arial"/>
          <w:sz w:val="24"/>
          <w:szCs w:val="24"/>
        </w:rPr>
        <w:t>74.</w:t>
      </w:r>
      <w:r w:rsidRPr="00CA029B">
        <w:rPr>
          <w:rFonts w:ascii="Arial" w:hAnsi="Arial" w:cs="Arial"/>
          <w:sz w:val="24"/>
          <w:szCs w:val="24"/>
        </w:rPr>
        <w:tab/>
        <w:t>Brock DJ, Barlow RD, Wald NJ, et al. Fetal calf serum as a cause of false positive amniotic fluid acetylcholinesterase gel tests. Lancet</w:t>
      </w:r>
      <w:r w:rsidRPr="00CA029B">
        <w:rPr>
          <w:rFonts w:ascii="Arial" w:hAnsi="Arial" w:cs="Arial"/>
          <w:i/>
          <w:sz w:val="24"/>
          <w:szCs w:val="24"/>
        </w:rPr>
        <w:t xml:space="preserve">. </w:t>
      </w:r>
      <w:r w:rsidRPr="00CA029B">
        <w:rPr>
          <w:rFonts w:ascii="Arial" w:hAnsi="Arial" w:cs="Arial"/>
          <w:sz w:val="24"/>
          <w:szCs w:val="24"/>
        </w:rPr>
        <w:t>1982;2(8306):1044.</w:t>
      </w:r>
    </w:p>
    <w:p w14:paraId="61A882DA" w14:textId="77777777" w:rsidR="00F519F6" w:rsidRPr="00CA029B" w:rsidRDefault="00F519F6" w:rsidP="00F519F6">
      <w:pPr>
        <w:pStyle w:val="EndNoteBibliography"/>
        <w:spacing w:after="0" w:line="360" w:lineRule="auto"/>
        <w:ind w:left="720" w:hanging="720"/>
        <w:rPr>
          <w:rFonts w:ascii="Arial" w:hAnsi="Arial" w:cs="Arial"/>
          <w:sz w:val="24"/>
          <w:szCs w:val="24"/>
        </w:rPr>
      </w:pPr>
      <w:r w:rsidRPr="00CA029B">
        <w:rPr>
          <w:rFonts w:ascii="Arial" w:hAnsi="Arial" w:cs="Arial"/>
          <w:sz w:val="24"/>
          <w:szCs w:val="24"/>
        </w:rPr>
        <w:t>75.</w:t>
      </w:r>
      <w:r w:rsidRPr="00CA029B">
        <w:rPr>
          <w:rFonts w:ascii="Arial" w:hAnsi="Arial" w:cs="Arial"/>
          <w:sz w:val="24"/>
          <w:szCs w:val="24"/>
        </w:rPr>
        <w:tab/>
        <w:t>Barlow RD, Cuckle HS, Wald NJ. The identification of false-positive amniotic fluid acetylcholinesterase results due to fetal calf serum contamination. Br J Obstet Gynaecol</w:t>
      </w:r>
      <w:r w:rsidRPr="00CA029B">
        <w:rPr>
          <w:rFonts w:ascii="Arial" w:hAnsi="Arial" w:cs="Arial"/>
          <w:i/>
          <w:sz w:val="24"/>
          <w:szCs w:val="24"/>
        </w:rPr>
        <w:t xml:space="preserve">. </w:t>
      </w:r>
      <w:r w:rsidRPr="00CA029B">
        <w:rPr>
          <w:rFonts w:ascii="Arial" w:hAnsi="Arial" w:cs="Arial"/>
          <w:sz w:val="24"/>
          <w:szCs w:val="24"/>
        </w:rPr>
        <w:t>1984;91(10):986-988.</w:t>
      </w:r>
    </w:p>
    <w:p w14:paraId="18B0D272" w14:textId="77777777" w:rsidR="00F519F6" w:rsidRPr="00CA029B" w:rsidRDefault="00F519F6" w:rsidP="00F519F6">
      <w:pPr>
        <w:pStyle w:val="EndNoteBibliography"/>
        <w:spacing w:after="0" w:line="360" w:lineRule="auto"/>
        <w:ind w:left="720" w:hanging="720"/>
        <w:rPr>
          <w:rFonts w:ascii="Arial" w:hAnsi="Arial" w:cs="Arial"/>
          <w:sz w:val="24"/>
          <w:szCs w:val="24"/>
        </w:rPr>
      </w:pPr>
      <w:r w:rsidRPr="00CA029B">
        <w:rPr>
          <w:rFonts w:ascii="Arial" w:hAnsi="Arial" w:cs="Arial"/>
          <w:sz w:val="24"/>
          <w:szCs w:val="24"/>
        </w:rPr>
        <w:t>76.</w:t>
      </w:r>
      <w:r w:rsidRPr="00CA029B">
        <w:rPr>
          <w:rFonts w:ascii="Arial" w:hAnsi="Arial" w:cs="Arial"/>
          <w:sz w:val="24"/>
          <w:szCs w:val="24"/>
        </w:rPr>
        <w:tab/>
        <w:t>Goldfine C, Miller WA, Haddow JE. Amniotic fluid gel cholinesterase density ratios in fetal open defects of the neural tube and ventral wall. Br J Obstet Gynaecol</w:t>
      </w:r>
      <w:r w:rsidRPr="00CA029B">
        <w:rPr>
          <w:rFonts w:ascii="Arial" w:hAnsi="Arial" w:cs="Arial"/>
          <w:i/>
          <w:sz w:val="24"/>
          <w:szCs w:val="24"/>
        </w:rPr>
        <w:t xml:space="preserve">. </w:t>
      </w:r>
      <w:r w:rsidRPr="00CA029B">
        <w:rPr>
          <w:rFonts w:ascii="Arial" w:hAnsi="Arial" w:cs="Arial"/>
          <w:sz w:val="24"/>
          <w:szCs w:val="24"/>
        </w:rPr>
        <w:t>1983;90(3):238-240.</w:t>
      </w:r>
    </w:p>
    <w:p w14:paraId="52860C72" w14:textId="77777777" w:rsidR="00F519F6" w:rsidRPr="00CA029B" w:rsidRDefault="00F519F6" w:rsidP="00F519F6">
      <w:pPr>
        <w:pStyle w:val="EndNoteBibliography"/>
        <w:spacing w:after="0" w:line="360" w:lineRule="auto"/>
        <w:ind w:left="720" w:hanging="720"/>
        <w:rPr>
          <w:rFonts w:ascii="Arial" w:hAnsi="Arial" w:cs="Arial"/>
          <w:sz w:val="24"/>
          <w:szCs w:val="24"/>
        </w:rPr>
      </w:pPr>
      <w:r w:rsidRPr="00CA029B">
        <w:rPr>
          <w:rFonts w:ascii="Arial" w:hAnsi="Arial" w:cs="Arial"/>
          <w:sz w:val="24"/>
          <w:szCs w:val="24"/>
        </w:rPr>
        <w:t>77.</w:t>
      </w:r>
      <w:r w:rsidRPr="00CA029B">
        <w:rPr>
          <w:rFonts w:ascii="Arial" w:hAnsi="Arial" w:cs="Arial"/>
          <w:sz w:val="24"/>
          <w:szCs w:val="24"/>
        </w:rPr>
        <w:tab/>
        <w:t>Goldfine C, Haddow JE, Hudson GA, Miller WA. Densitometry as an aid in amniotic fluid gel acetylcholinesterase analysis. Am J Obstet Gynecol</w:t>
      </w:r>
      <w:r w:rsidRPr="00CA029B">
        <w:rPr>
          <w:rFonts w:ascii="Arial" w:hAnsi="Arial" w:cs="Arial"/>
          <w:i/>
          <w:sz w:val="24"/>
          <w:szCs w:val="24"/>
        </w:rPr>
        <w:t xml:space="preserve">. </w:t>
      </w:r>
      <w:r w:rsidRPr="00CA029B">
        <w:rPr>
          <w:rFonts w:ascii="Arial" w:hAnsi="Arial" w:cs="Arial"/>
          <w:sz w:val="24"/>
          <w:szCs w:val="24"/>
        </w:rPr>
        <w:t>1983;145(3):317-318.</w:t>
      </w:r>
    </w:p>
    <w:p w14:paraId="0D59E52B" w14:textId="77777777" w:rsidR="003B246E" w:rsidRPr="00CA029B" w:rsidRDefault="00F519F6" w:rsidP="003B246E">
      <w:pPr>
        <w:pStyle w:val="EndNoteBibliography"/>
        <w:spacing w:after="0" w:line="360" w:lineRule="auto"/>
        <w:ind w:left="720" w:hanging="720"/>
        <w:rPr>
          <w:rFonts w:ascii="Arial" w:hAnsi="Arial" w:cs="Arial"/>
          <w:sz w:val="24"/>
          <w:szCs w:val="24"/>
        </w:rPr>
      </w:pPr>
      <w:r w:rsidRPr="00CA029B">
        <w:rPr>
          <w:rFonts w:ascii="Arial" w:hAnsi="Arial" w:cs="Arial"/>
          <w:sz w:val="24"/>
          <w:szCs w:val="24"/>
        </w:rPr>
        <w:t>78.</w:t>
      </w:r>
      <w:r w:rsidRPr="00CA029B">
        <w:rPr>
          <w:rFonts w:ascii="Arial" w:hAnsi="Arial" w:cs="Arial"/>
          <w:sz w:val="24"/>
          <w:szCs w:val="24"/>
        </w:rPr>
        <w:tab/>
        <w:t>Wald NJ, Barlow RD, Cuckle HS, Turnbull AC, Goldfine C, Haddow JE. Ratio of amniotic fluid acetylcholinesterase to pseudocholinesterase as an antenatal diagnostic test for exomphalos and gastroschisis. Br J Obstet Gynaecol</w:t>
      </w:r>
      <w:r w:rsidRPr="00CA029B">
        <w:rPr>
          <w:rFonts w:ascii="Arial" w:hAnsi="Arial" w:cs="Arial"/>
          <w:i/>
          <w:sz w:val="24"/>
          <w:szCs w:val="24"/>
        </w:rPr>
        <w:t xml:space="preserve">. </w:t>
      </w:r>
      <w:r w:rsidRPr="00CA029B">
        <w:rPr>
          <w:rFonts w:ascii="Arial" w:hAnsi="Arial" w:cs="Arial"/>
          <w:sz w:val="24"/>
          <w:szCs w:val="24"/>
        </w:rPr>
        <w:t>1984;91(9):882-884.</w:t>
      </w:r>
    </w:p>
    <w:p w14:paraId="4D6BF1A4" w14:textId="67E7E4BD" w:rsidR="00F519F6" w:rsidRPr="003B246E" w:rsidRDefault="003B246E" w:rsidP="003B246E">
      <w:pPr>
        <w:pStyle w:val="EndNoteBibliography"/>
        <w:spacing w:after="0" w:line="360" w:lineRule="auto"/>
        <w:ind w:left="720" w:hanging="720"/>
      </w:pPr>
      <w:r w:rsidRPr="00CA029B">
        <w:rPr>
          <w:rFonts w:ascii="Arial" w:hAnsi="Arial" w:cs="Arial"/>
          <w:sz w:val="24"/>
          <w:szCs w:val="24"/>
        </w:rPr>
        <w:t xml:space="preserve">79.        </w:t>
      </w:r>
      <w:r w:rsidR="00F519F6" w:rsidRPr="00CA029B">
        <w:rPr>
          <w:rFonts w:ascii="Arial" w:hAnsi="Arial" w:cs="Arial"/>
          <w:sz w:val="24"/>
          <w:szCs w:val="24"/>
        </w:rPr>
        <w:t>Wald N, Cuckle H, Nanchahal K. Amniotic fluid acetylcholinesterase measurement in the prenatal diagnosis of open neural tube defects. Second report of the Collaborative Acetylcholinesterase Study. Prenat Diagn</w:t>
      </w:r>
      <w:r w:rsidR="00F519F6" w:rsidRPr="00CA029B">
        <w:rPr>
          <w:rFonts w:ascii="Arial" w:hAnsi="Arial" w:cs="Arial"/>
          <w:i/>
          <w:sz w:val="24"/>
          <w:szCs w:val="24"/>
        </w:rPr>
        <w:t xml:space="preserve">. </w:t>
      </w:r>
      <w:r w:rsidR="00F519F6" w:rsidRPr="00CA029B">
        <w:rPr>
          <w:rFonts w:ascii="Arial" w:hAnsi="Arial" w:cs="Arial"/>
          <w:sz w:val="24"/>
          <w:szCs w:val="24"/>
        </w:rPr>
        <w:t>1989;9(12):813-829</w:t>
      </w:r>
      <w:r w:rsidR="00CA029B">
        <w:rPr>
          <w:rFonts w:ascii="Arial" w:hAnsi="Arial" w:cs="Arial"/>
          <w:sz w:val="24"/>
          <w:szCs w:val="24"/>
        </w:rPr>
        <w:t>.</w:t>
      </w:r>
    </w:p>
    <w:p w14:paraId="46EB1841" w14:textId="77777777" w:rsidR="0018372B" w:rsidRDefault="0018372B"/>
    <w:sectPr w:rsidR="0018372B" w:rsidSect="000A6D5D">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B2A80" w14:textId="77777777" w:rsidR="00DB7502" w:rsidRDefault="00DB7502" w:rsidP="000A6D5D">
      <w:pPr>
        <w:spacing w:after="0" w:line="240" w:lineRule="auto"/>
      </w:pPr>
      <w:r>
        <w:separator/>
      </w:r>
    </w:p>
  </w:endnote>
  <w:endnote w:type="continuationSeparator" w:id="0">
    <w:p w14:paraId="762EDE7F" w14:textId="77777777" w:rsidR="00DB7502" w:rsidRDefault="00DB7502" w:rsidP="000A6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rdia New">
    <w:panose1 w:val="020B0304020202020204"/>
    <w:charset w:val="DE"/>
    <w:family w:val="swiss"/>
    <w:pitch w:val="variable"/>
    <w:sig w:usb0="01000001"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01000001" w:usb1="00000000" w:usb2="00000000" w:usb3="00000000" w:csb0="00010001"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04051304"/>
      <w:docPartObj>
        <w:docPartGallery w:val="Page Numbers (Bottom of Page)"/>
        <w:docPartUnique/>
      </w:docPartObj>
    </w:sdtPr>
    <w:sdtEndPr>
      <w:rPr>
        <w:rStyle w:val="PageNumber"/>
      </w:rPr>
    </w:sdtEndPr>
    <w:sdtContent>
      <w:p w14:paraId="7FEA4676" w14:textId="227A8587" w:rsidR="000A6D5D" w:rsidRDefault="000A6D5D" w:rsidP="00375D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FF22E3" w14:textId="77777777" w:rsidR="000A6D5D" w:rsidRDefault="000A6D5D" w:rsidP="000A6D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87882623"/>
      <w:docPartObj>
        <w:docPartGallery w:val="Page Numbers (Bottom of Page)"/>
        <w:docPartUnique/>
      </w:docPartObj>
    </w:sdtPr>
    <w:sdtEndPr>
      <w:rPr>
        <w:rStyle w:val="PageNumber"/>
      </w:rPr>
    </w:sdtEndPr>
    <w:sdtContent>
      <w:p w14:paraId="44C2BC29" w14:textId="1D1E8E44" w:rsidR="000A6D5D" w:rsidRDefault="000A6D5D" w:rsidP="00375D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D84458" w14:textId="77777777" w:rsidR="000A6D5D" w:rsidRDefault="000A6D5D" w:rsidP="000A6D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92CD1" w14:textId="77777777" w:rsidR="00DB7502" w:rsidRDefault="00DB7502" w:rsidP="000A6D5D">
      <w:pPr>
        <w:spacing w:after="0" w:line="240" w:lineRule="auto"/>
      </w:pPr>
      <w:r>
        <w:separator/>
      </w:r>
    </w:p>
  </w:footnote>
  <w:footnote w:type="continuationSeparator" w:id="0">
    <w:p w14:paraId="07042B24" w14:textId="77777777" w:rsidR="00DB7502" w:rsidRDefault="00DB7502" w:rsidP="000A6D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D15FD"/>
    <w:multiLevelType w:val="hybridMultilevel"/>
    <w:tmpl w:val="9EA22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D09CA"/>
    <w:multiLevelType w:val="hybridMultilevel"/>
    <w:tmpl w:val="8F9C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23757"/>
    <w:multiLevelType w:val="hybridMultilevel"/>
    <w:tmpl w:val="7A00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196682"/>
    <w:multiLevelType w:val="hybridMultilevel"/>
    <w:tmpl w:val="9544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B37"/>
    <w:rsid w:val="000A6D5D"/>
    <w:rsid w:val="0018372B"/>
    <w:rsid w:val="0019091A"/>
    <w:rsid w:val="003B246E"/>
    <w:rsid w:val="005742E9"/>
    <w:rsid w:val="005A59C2"/>
    <w:rsid w:val="005D1B96"/>
    <w:rsid w:val="006C4CB5"/>
    <w:rsid w:val="007A5AA8"/>
    <w:rsid w:val="0088246F"/>
    <w:rsid w:val="008C0E3F"/>
    <w:rsid w:val="008D793E"/>
    <w:rsid w:val="009D3BF1"/>
    <w:rsid w:val="00AD60B4"/>
    <w:rsid w:val="00B2118F"/>
    <w:rsid w:val="00B73C50"/>
    <w:rsid w:val="00BE6B37"/>
    <w:rsid w:val="00CA029B"/>
    <w:rsid w:val="00DB7502"/>
    <w:rsid w:val="00EE0506"/>
    <w:rsid w:val="00F519F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60F46"/>
  <w15:chartTrackingRefBased/>
  <w15:docId w15:val="{A32318B0-4809-4BD0-B3AF-21506AE8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B37"/>
    <w:pPr>
      <w:spacing w:after="200" w:line="276" w:lineRule="auto"/>
    </w:pPr>
  </w:style>
  <w:style w:type="paragraph" w:styleId="Heading1">
    <w:name w:val="heading 1"/>
    <w:basedOn w:val="Normal"/>
    <w:next w:val="Normal"/>
    <w:link w:val="Heading1Char"/>
    <w:autoRedefine/>
    <w:uiPriority w:val="9"/>
    <w:qFormat/>
    <w:rsid w:val="008C0E3F"/>
    <w:pPr>
      <w:keepNext/>
      <w:keepLines/>
      <w:spacing w:before="480" w:after="0" w:line="480" w:lineRule="auto"/>
      <w:outlineLvl w:val="0"/>
    </w:pPr>
    <w:rPr>
      <w:rFonts w:ascii="Arial" w:eastAsia="Times New Roman" w:hAnsi="Arial" w:cs="Arial"/>
      <w:b/>
      <w:bCs/>
      <w:sz w:val="24"/>
      <w:szCs w:val="24"/>
    </w:rPr>
  </w:style>
  <w:style w:type="paragraph" w:styleId="Heading2">
    <w:name w:val="heading 2"/>
    <w:basedOn w:val="Normal"/>
    <w:next w:val="Normal"/>
    <w:link w:val="Heading2Char"/>
    <w:uiPriority w:val="9"/>
    <w:unhideWhenUsed/>
    <w:qFormat/>
    <w:rsid w:val="00BE6B37"/>
    <w:pPr>
      <w:keepNext/>
      <w:keepLines/>
      <w:spacing w:before="320" w:after="120"/>
      <w:outlineLvl w:val="1"/>
    </w:pPr>
    <w:rPr>
      <w:rFonts w:ascii="Arial" w:eastAsiaTheme="majorEastAsia" w:hAnsi="Arial"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E3F"/>
    <w:rPr>
      <w:rFonts w:ascii="Arial" w:eastAsia="Times New Roman" w:hAnsi="Arial" w:cs="Arial"/>
      <w:b/>
      <w:bCs/>
      <w:sz w:val="24"/>
      <w:szCs w:val="24"/>
    </w:rPr>
  </w:style>
  <w:style w:type="character" w:customStyle="1" w:styleId="Heading2Char">
    <w:name w:val="Heading 2 Char"/>
    <w:basedOn w:val="DefaultParagraphFont"/>
    <w:link w:val="Heading2"/>
    <w:uiPriority w:val="9"/>
    <w:rsid w:val="00BE6B37"/>
    <w:rPr>
      <w:rFonts w:ascii="Arial" w:eastAsiaTheme="majorEastAsia" w:hAnsi="Arial" w:cstheme="majorBidi"/>
      <w:b/>
      <w:bCs/>
      <w:sz w:val="24"/>
      <w:szCs w:val="26"/>
    </w:rPr>
  </w:style>
  <w:style w:type="paragraph" w:styleId="ListParagraph">
    <w:name w:val="List Paragraph"/>
    <w:basedOn w:val="Normal"/>
    <w:uiPriority w:val="34"/>
    <w:qFormat/>
    <w:rsid w:val="00BE6B37"/>
    <w:pPr>
      <w:spacing w:after="160" w:line="256"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F519F6"/>
    <w:rPr>
      <w:sz w:val="16"/>
      <w:szCs w:val="16"/>
    </w:rPr>
  </w:style>
  <w:style w:type="paragraph" w:styleId="CommentText">
    <w:name w:val="annotation text"/>
    <w:basedOn w:val="Normal"/>
    <w:link w:val="CommentTextChar"/>
    <w:uiPriority w:val="99"/>
    <w:semiHidden/>
    <w:unhideWhenUsed/>
    <w:rsid w:val="00F519F6"/>
    <w:pPr>
      <w:spacing w:line="240" w:lineRule="auto"/>
    </w:pPr>
    <w:rPr>
      <w:sz w:val="20"/>
      <w:szCs w:val="20"/>
    </w:rPr>
  </w:style>
  <w:style w:type="character" w:customStyle="1" w:styleId="CommentTextChar">
    <w:name w:val="Comment Text Char"/>
    <w:basedOn w:val="DefaultParagraphFont"/>
    <w:link w:val="CommentText"/>
    <w:uiPriority w:val="99"/>
    <w:semiHidden/>
    <w:rsid w:val="00F519F6"/>
    <w:rPr>
      <w:sz w:val="20"/>
      <w:szCs w:val="20"/>
    </w:rPr>
  </w:style>
  <w:style w:type="paragraph" w:styleId="CommentSubject">
    <w:name w:val="annotation subject"/>
    <w:basedOn w:val="CommentText"/>
    <w:next w:val="CommentText"/>
    <w:link w:val="CommentSubjectChar"/>
    <w:uiPriority w:val="99"/>
    <w:semiHidden/>
    <w:unhideWhenUsed/>
    <w:rsid w:val="00F519F6"/>
    <w:rPr>
      <w:b/>
      <w:bCs/>
    </w:rPr>
  </w:style>
  <w:style w:type="character" w:customStyle="1" w:styleId="CommentSubjectChar">
    <w:name w:val="Comment Subject Char"/>
    <w:basedOn w:val="CommentTextChar"/>
    <w:link w:val="CommentSubject"/>
    <w:uiPriority w:val="99"/>
    <w:semiHidden/>
    <w:rsid w:val="00F519F6"/>
    <w:rPr>
      <w:b/>
      <w:bCs/>
      <w:sz w:val="20"/>
      <w:szCs w:val="20"/>
    </w:rPr>
  </w:style>
  <w:style w:type="paragraph" w:styleId="BalloonText">
    <w:name w:val="Balloon Text"/>
    <w:basedOn w:val="Normal"/>
    <w:link w:val="BalloonTextChar"/>
    <w:uiPriority w:val="99"/>
    <w:semiHidden/>
    <w:unhideWhenUsed/>
    <w:rsid w:val="00F5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9F6"/>
    <w:rPr>
      <w:rFonts w:ascii="Segoe UI" w:hAnsi="Segoe UI" w:cs="Segoe UI"/>
      <w:sz w:val="18"/>
      <w:szCs w:val="18"/>
    </w:rPr>
  </w:style>
  <w:style w:type="paragraph" w:customStyle="1" w:styleId="EndNoteBibliography">
    <w:name w:val="EndNote Bibliography"/>
    <w:basedOn w:val="Normal"/>
    <w:link w:val="EndNoteBibliographyChar"/>
    <w:rsid w:val="00F519F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519F6"/>
    <w:rPr>
      <w:rFonts w:ascii="Calibri" w:hAnsi="Calibri" w:cs="Calibri"/>
      <w:noProof/>
    </w:rPr>
  </w:style>
  <w:style w:type="character" w:styleId="Hyperlink">
    <w:name w:val="Hyperlink"/>
    <w:basedOn w:val="DefaultParagraphFont"/>
    <w:uiPriority w:val="99"/>
    <w:unhideWhenUsed/>
    <w:rsid w:val="00F519F6"/>
    <w:rPr>
      <w:color w:val="0563C1" w:themeColor="hyperlink"/>
      <w:u w:val="single"/>
    </w:rPr>
  </w:style>
  <w:style w:type="paragraph" w:styleId="Footer">
    <w:name w:val="footer"/>
    <w:basedOn w:val="Normal"/>
    <w:link w:val="FooterChar"/>
    <w:uiPriority w:val="99"/>
    <w:unhideWhenUsed/>
    <w:rsid w:val="000A6D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D5D"/>
  </w:style>
  <w:style w:type="character" w:styleId="PageNumber">
    <w:name w:val="page number"/>
    <w:basedOn w:val="DefaultParagraphFont"/>
    <w:uiPriority w:val="99"/>
    <w:semiHidden/>
    <w:unhideWhenUsed/>
    <w:rsid w:val="000A6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3123</Words>
  <Characters>20488</Characters>
  <Application>Microsoft Office Word</Application>
  <DocSecurity>0</DocSecurity>
  <Lines>315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 BOB</dc:creator>
  <cp:keywords/>
  <dc:description/>
  <cp:lastModifiedBy>Katie Murphy</cp:lastModifiedBy>
  <cp:revision>2</cp:revision>
  <dcterms:created xsi:type="dcterms:W3CDTF">2019-09-27T17:51:00Z</dcterms:created>
  <dcterms:modified xsi:type="dcterms:W3CDTF">2019-09-27T17:51:00Z</dcterms:modified>
</cp:coreProperties>
</file>