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509DA" w14:textId="2678FA38" w:rsidR="00267868" w:rsidRPr="00F33AFA" w:rsidRDefault="00267868" w:rsidP="00267868">
      <w:pPr>
        <w:pStyle w:val="ListParagraph"/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S1. Spearman Correlation Coefficients Between Lyso-Gb</w:t>
      </w:r>
      <w:r w:rsidRPr="001F46D9"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rFonts w:ascii="Arial" w:hAnsi="Arial" w:cs="Arial"/>
          <w:b/>
          <w:sz w:val="24"/>
          <w:szCs w:val="24"/>
        </w:rPr>
        <w:t xml:space="preserve"> and LVMi, eGFR, and Pain at Baseline</w:t>
      </w:r>
      <w:r w:rsidR="00F33AFA">
        <w:rPr>
          <w:rFonts w:ascii="Arial" w:hAnsi="Arial" w:cs="Arial"/>
          <w:b/>
          <w:sz w:val="24"/>
          <w:szCs w:val="24"/>
        </w:rPr>
        <w:t>.</w:t>
      </w:r>
      <w:r w:rsidR="00F33AFA" w:rsidRPr="00F33AFA">
        <w:rPr>
          <w:rFonts w:ascii="Arial" w:hAnsi="Arial" w:cs="Arial"/>
          <w:bCs/>
          <w:sz w:val="24"/>
          <w:szCs w:val="24"/>
        </w:rPr>
        <w:t xml:space="preserve"> This table presents Spearman correlation coefficients between lyso-Gb</w:t>
      </w:r>
      <w:r w:rsidR="00F33AFA" w:rsidRPr="00F33AFA">
        <w:rPr>
          <w:rFonts w:ascii="Arial" w:hAnsi="Arial" w:cs="Arial"/>
          <w:bCs/>
          <w:sz w:val="24"/>
          <w:szCs w:val="24"/>
          <w:vertAlign w:val="subscript"/>
        </w:rPr>
        <w:t>3</w:t>
      </w:r>
      <w:r w:rsidR="00F33AFA" w:rsidRPr="00F33AFA">
        <w:rPr>
          <w:rFonts w:ascii="Arial" w:hAnsi="Arial" w:cs="Arial"/>
          <w:bCs/>
          <w:sz w:val="24"/>
          <w:szCs w:val="24"/>
        </w:rPr>
        <w:t xml:space="preserve"> and LVMi, eGFR, and </w:t>
      </w:r>
      <w:r w:rsidR="000567E2">
        <w:rPr>
          <w:rFonts w:ascii="Arial" w:hAnsi="Arial" w:cs="Arial"/>
          <w:bCs/>
          <w:sz w:val="24"/>
          <w:szCs w:val="24"/>
        </w:rPr>
        <w:t>p</w:t>
      </w:r>
      <w:r w:rsidR="00F33AFA" w:rsidRPr="00F33AFA">
        <w:rPr>
          <w:rFonts w:ascii="Arial" w:hAnsi="Arial" w:cs="Arial"/>
          <w:bCs/>
          <w:sz w:val="24"/>
          <w:szCs w:val="24"/>
        </w:rPr>
        <w:t xml:space="preserve">ain at </w:t>
      </w:r>
      <w:r w:rsidR="00F33AFA">
        <w:rPr>
          <w:rFonts w:ascii="Arial" w:hAnsi="Arial" w:cs="Arial"/>
          <w:bCs/>
          <w:sz w:val="24"/>
          <w:szCs w:val="24"/>
        </w:rPr>
        <w:t>b</w:t>
      </w:r>
      <w:r w:rsidR="00F33AFA" w:rsidRPr="00F33AFA">
        <w:rPr>
          <w:rFonts w:ascii="Arial" w:hAnsi="Arial" w:cs="Arial"/>
          <w:bCs/>
          <w:sz w:val="24"/>
          <w:szCs w:val="24"/>
        </w:rPr>
        <w:t xml:space="preserve">aseline to assess </w:t>
      </w:r>
      <w:r w:rsidR="000567E2">
        <w:rPr>
          <w:rFonts w:ascii="Arial" w:hAnsi="Arial" w:cs="Arial"/>
          <w:bCs/>
          <w:sz w:val="24"/>
          <w:szCs w:val="24"/>
        </w:rPr>
        <w:t xml:space="preserve">the </w:t>
      </w:r>
      <w:r w:rsidR="00F33AFA" w:rsidRPr="00F33AFA">
        <w:rPr>
          <w:rFonts w:ascii="Arial" w:hAnsi="Arial" w:cs="Arial"/>
          <w:bCs/>
          <w:sz w:val="24"/>
          <w:szCs w:val="24"/>
        </w:rPr>
        <w:t xml:space="preserve">relationship between baseline </w:t>
      </w:r>
      <w:r w:rsidR="000567E2">
        <w:rPr>
          <w:rFonts w:ascii="Arial" w:hAnsi="Arial" w:cs="Arial"/>
          <w:bCs/>
          <w:sz w:val="24"/>
          <w:szCs w:val="24"/>
        </w:rPr>
        <w:t xml:space="preserve">values of </w:t>
      </w:r>
      <w:r w:rsidR="00F33AFA" w:rsidRPr="00F33AFA">
        <w:rPr>
          <w:rFonts w:ascii="Arial" w:hAnsi="Arial" w:cs="Arial"/>
          <w:bCs/>
          <w:sz w:val="24"/>
          <w:szCs w:val="24"/>
        </w:rPr>
        <w:t>lyso-Gb</w:t>
      </w:r>
      <w:r w:rsidR="00F33AFA" w:rsidRPr="00F33AFA">
        <w:rPr>
          <w:rFonts w:ascii="Arial" w:hAnsi="Arial" w:cs="Arial"/>
          <w:bCs/>
          <w:sz w:val="24"/>
          <w:szCs w:val="24"/>
          <w:vertAlign w:val="subscript"/>
        </w:rPr>
        <w:t xml:space="preserve">3 </w:t>
      </w:r>
      <w:r w:rsidR="00F33AFA" w:rsidRPr="00F33AFA">
        <w:rPr>
          <w:rFonts w:ascii="Arial" w:hAnsi="Arial" w:cs="Arial"/>
          <w:bCs/>
          <w:sz w:val="24"/>
          <w:szCs w:val="24"/>
        </w:rPr>
        <w:t xml:space="preserve">and </w:t>
      </w:r>
      <w:r w:rsidR="000567E2" w:rsidRPr="00F33AFA">
        <w:rPr>
          <w:rFonts w:ascii="Arial" w:hAnsi="Arial" w:cs="Arial"/>
          <w:bCs/>
          <w:sz w:val="24"/>
          <w:szCs w:val="24"/>
        </w:rPr>
        <w:t xml:space="preserve">LVMi, eGFR, and </w:t>
      </w:r>
      <w:r w:rsidR="000567E2">
        <w:rPr>
          <w:rFonts w:ascii="Arial" w:hAnsi="Arial" w:cs="Arial"/>
          <w:bCs/>
          <w:sz w:val="24"/>
          <w:szCs w:val="24"/>
        </w:rPr>
        <w:t>p</w:t>
      </w:r>
      <w:r w:rsidR="000567E2" w:rsidRPr="00F33AFA">
        <w:rPr>
          <w:rFonts w:ascii="Arial" w:hAnsi="Arial" w:cs="Arial"/>
          <w:bCs/>
          <w:sz w:val="24"/>
          <w:szCs w:val="24"/>
        </w:rPr>
        <w:t xml:space="preserve">ain </w:t>
      </w:r>
      <w:r w:rsidR="00F33AFA" w:rsidRPr="00F33AFA">
        <w:rPr>
          <w:rFonts w:ascii="Arial" w:hAnsi="Arial" w:cs="Arial"/>
          <w:bCs/>
          <w:sz w:val="24"/>
          <w:szCs w:val="24"/>
        </w:rPr>
        <w:t>in patients with Fabry disease.</w:t>
      </w:r>
    </w:p>
    <w:tbl>
      <w:tblPr>
        <w:tblW w:w="13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7"/>
        <w:gridCol w:w="862"/>
        <w:gridCol w:w="871"/>
        <w:gridCol w:w="7"/>
        <w:gridCol w:w="863"/>
        <w:gridCol w:w="871"/>
        <w:gridCol w:w="7"/>
        <w:gridCol w:w="862"/>
        <w:gridCol w:w="871"/>
        <w:gridCol w:w="7"/>
        <w:gridCol w:w="863"/>
        <w:gridCol w:w="870"/>
        <w:gridCol w:w="7"/>
        <w:gridCol w:w="863"/>
        <w:gridCol w:w="871"/>
        <w:gridCol w:w="7"/>
        <w:gridCol w:w="863"/>
        <w:gridCol w:w="871"/>
        <w:gridCol w:w="7"/>
        <w:gridCol w:w="863"/>
        <w:gridCol w:w="844"/>
      </w:tblGrid>
      <w:tr w:rsidR="00267868" w14:paraId="54738252" w14:textId="77777777" w:rsidTr="00360972">
        <w:trPr>
          <w:cantSplit/>
          <w:trHeight w:val="1468"/>
          <w:tblHeader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2657CD7C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72C6FF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Overall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97)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B48D9E8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ERT-naive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48)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DC9F1B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ERT-experienced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49)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D0922C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Males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37)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8460C6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Females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60)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hideMark/>
          </w:tcPr>
          <w:p w14:paraId="5B816E02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Age ≤40 years</w:t>
            </w:r>
          </w:p>
          <w:p w14:paraId="0F663A17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31)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BBBB"/>
            <w:hideMark/>
          </w:tcPr>
          <w:p w14:paraId="5FCF4564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Age &gt;40 years</w:t>
            </w:r>
          </w:p>
          <w:p w14:paraId="2DA600A5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= 66)</w:t>
            </w:r>
          </w:p>
        </w:tc>
      </w:tr>
      <w:tr w:rsidR="00267868" w14:paraId="5259F748" w14:textId="77777777" w:rsidTr="00360972">
        <w:trPr>
          <w:cantSplit/>
          <w:trHeight w:val="494"/>
          <w:tblHeader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5B6F75" w14:textId="77777777" w:rsidR="00267868" w:rsidRDefault="00267868" w:rsidP="00360972">
            <w:pPr>
              <w:keepNext/>
              <w:adjustRightInd w:val="0"/>
              <w:spacing w:after="0" w:line="48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CFDC61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465F42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value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C16801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BFC01C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value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39D287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4E7582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value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FEEECC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1BB12C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value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68AD25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C72BD8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value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hideMark/>
          </w:tcPr>
          <w:p w14:paraId="3AEA01A5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hideMark/>
          </w:tcPr>
          <w:p w14:paraId="3E4DDA4D" w14:textId="7525C25A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value</w:t>
            </w:r>
            <w:r w:rsidR="00690CC2" w:rsidRPr="00D812AC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BBB"/>
            <w:hideMark/>
          </w:tcPr>
          <w:p w14:paraId="4BBCA120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BBBBBB"/>
            <w:hideMark/>
          </w:tcPr>
          <w:p w14:paraId="1E7E2AB5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693932AD" w14:textId="77777777" w:rsidR="00267868" w:rsidRDefault="00267868" w:rsidP="00360972">
            <w:pPr>
              <w:keepNext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value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267868" w14:paraId="129D7CE7" w14:textId="77777777" w:rsidTr="00360972">
        <w:trPr>
          <w:cantSplit/>
          <w:trHeight w:val="49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70563A" w14:textId="77777777" w:rsidR="00267868" w:rsidRDefault="00267868" w:rsidP="00360972">
            <w:pPr>
              <w:adjustRightInd w:val="0"/>
              <w:spacing w:after="0"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LVMi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A8DD70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4400E1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0.0001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E2A6DB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2807C8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0.0002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BF76E5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4116F8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1AF185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B07BD2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0.1605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8AEE8B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EE40BB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0.0905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36380D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1116B4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0.0007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A0B1E9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4D60C2A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0.0003</w:t>
            </w:r>
          </w:p>
        </w:tc>
      </w:tr>
      <w:tr w:rsidR="00267868" w14:paraId="72C5BBB4" w14:textId="77777777" w:rsidTr="00360972">
        <w:trPr>
          <w:cantSplit/>
          <w:trHeight w:val="49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CD74FF" w14:textId="77777777" w:rsidR="00267868" w:rsidRDefault="00267868" w:rsidP="00360972">
            <w:pPr>
              <w:adjustRightInd w:val="0"/>
              <w:spacing w:after="0"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eGFR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0E34A0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05BDBC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0.4371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4CA672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9A3264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0.9245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8BEB0B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C4A7C4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0.5554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64C879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6B7B42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0.1751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6480BE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ABFD32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0.9160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1D50E3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B4F9B1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0.9005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DBE46D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6FD72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0.8359</w:t>
            </w:r>
          </w:p>
        </w:tc>
      </w:tr>
      <w:tr w:rsidR="00267868" w14:paraId="1B6F7581" w14:textId="77777777" w:rsidTr="00360972">
        <w:trPr>
          <w:cantSplit/>
          <w:trHeight w:val="49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BED88F" w14:textId="77777777" w:rsidR="00267868" w:rsidRDefault="00267868" w:rsidP="00360972">
            <w:pPr>
              <w:adjustRightInd w:val="0"/>
              <w:spacing w:after="0"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Pain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86BCA5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FFBF7D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0.0204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61E512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9DB906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0.1115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CFEF67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1FFC31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0.2172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1A9900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6C6D7E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0.0038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B1421A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1DCA6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0.2510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BABA26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842896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0.3854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15C1BB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60877" w14:textId="77777777" w:rsidR="00267868" w:rsidRDefault="00267868" w:rsidP="00360972">
            <w:pPr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0.0555</w:t>
            </w:r>
          </w:p>
        </w:tc>
      </w:tr>
    </w:tbl>
    <w:p w14:paraId="1DFB9927" w14:textId="77777777" w:rsidR="00267868" w:rsidRDefault="00267868" w:rsidP="00267868">
      <w:pPr>
        <w:pStyle w:val="ListParagraph"/>
        <w:spacing w:line="480" w:lineRule="auto"/>
        <w:ind w:left="0"/>
        <w:rPr>
          <w:rFonts w:ascii="Arial" w:hAnsi="Arial" w:cs="Arial"/>
          <w:b/>
          <w:sz w:val="24"/>
          <w:szCs w:val="24"/>
        </w:rPr>
      </w:pPr>
    </w:p>
    <w:p w14:paraId="582F24FD" w14:textId="77777777" w:rsidR="00267868" w:rsidRPr="00E63982" w:rsidRDefault="00267868" w:rsidP="0026786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eGFR</w:t>
      </w:r>
      <w:r>
        <w:rPr>
          <w:rFonts w:ascii="Arial" w:hAnsi="Arial" w:cs="Arial"/>
          <w:sz w:val="24"/>
          <w:szCs w:val="24"/>
        </w:rPr>
        <w:t xml:space="preserve"> estimated glomerular filtration rate, </w:t>
      </w:r>
      <w:r>
        <w:rPr>
          <w:rFonts w:ascii="Arial" w:hAnsi="Arial" w:cs="Arial"/>
          <w:i/>
          <w:iCs/>
          <w:sz w:val="24"/>
          <w:szCs w:val="24"/>
        </w:rPr>
        <w:t>ERT</w:t>
      </w:r>
      <w:r>
        <w:rPr>
          <w:rFonts w:ascii="Arial" w:hAnsi="Arial" w:cs="Arial"/>
          <w:sz w:val="24"/>
          <w:szCs w:val="24"/>
        </w:rPr>
        <w:t xml:space="preserve"> enzyme replacement therapy, </w:t>
      </w:r>
      <w:r>
        <w:rPr>
          <w:rFonts w:ascii="Arial" w:hAnsi="Arial" w:cs="Arial"/>
          <w:i/>
          <w:iCs/>
          <w:sz w:val="24"/>
          <w:szCs w:val="24"/>
        </w:rPr>
        <w:t>LVMi</w:t>
      </w:r>
      <w:r>
        <w:rPr>
          <w:rFonts w:ascii="Arial" w:hAnsi="Arial" w:cs="Arial"/>
          <w:sz w:val="24"/>
          <w:szCs w:val="24"/>
        </w:rPr>
        <w:t xml:space="preserve"> left ventricular mass index, </w:t>
      </w:r>
      <w:r>
        <w:rPr>
          <w:rFonts w:ascii="Arial" w:hAnsi="Arial" w:cs="Arial"/>
          <w:i/>
          <w:iCs/>
          <w:sz w:val="24"/>
          <w:szCs w:val="24"/>
        </w:rPr>
        <w:t>lyso-Gb</w:t>
      </w:r>
      <w:r>
        <w:rPr>
          <w:rFonts w:ascii="Arial" w:hAnsi="Arial" w:cs="Arial"/>
          <w:i/>
          <w:iCs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 xml:space="preserve"> globotriaosylsphingosine.</w:t>
      </w:r>
    </w:p>
    <w:p w14:paraId="23AAE41D" w14:textId="77777777" w:rsidR="00267868" w:rsidRDefault="00267868" w:rsidP="0026786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a</w:t>
      </w:r>
      <w:r>
        <w:rPr>
          <w:rFonts w:ascii="Arial" w:hAnsi="Arial" w:cs="Arial"/>
          <w:sz w:val="24"/>
          <w:szCs w:val="24"/>
        </w:rPr>
        <w:t>n indicates number of patients with values for both lyso-Gb</w:t>
      </w:r>
      <w:r>
        <w:rPr>
          <w:rFonts w:ascii="Arial" w:hAnsi="Arial" w:cs="Arial"/>
          <w:sz w:val="24"/>
          <w:szCs w:val="24"/>
          <w:vertAlign w:val="subscript"/>
        </w:rPr>
        <w:t xml:space="preserve">3 </w:t>
      </w:r>
      <w:r>
        <w:rPr>
          <w:rFonts w:ascii="Arial" w:hAnsi="Arial" w:cs="Arial"/>
          <w:sz w:val="24"/>
          <w:szCs w:val="24"/>
        </w:rPr>
        <w:t>and the other assessment at baseline.</w:t>
      </w:r>
    </w:p>
    <w:p w14:paraId="6DFDFD15" w14:textId="77777777" w:rsidR="00267868" w:rsidRPr="000750F5" w:rsidRDefault="00267868" w:rsidP="00267868">
      <w:pPr>
        <w:spacing w:line="480" w:lineRule="auto"/>
        <w:rPr>
          <w:rFonts w:ascii="Arial" w:hAnsi="Arial" w:cs="Arial"/>
          <w:sz w:val="24"/>
          <w:szCs w:val="24"/>
        </w:rPr>
        <w:sectPr w:rsidR="00267868" w:rsidRPr="000750F5" w:rsidSect="000750F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  <w:vertAlign w:val="superscript"/>
        </w:rPr>
        <w:t>b</w:t>
      </w:r>
      <w:r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 values represent Spearman correlations.</w:t>
      </w:r>
    </w:p>
    <w:p w14:paraId="2535CEC6" w14:textId="3BC41F98" w:rsidR="00AB5FCB" w:rsidRPr="00AB5FCB" w:rsidRDefault="00AB5FCB" w:rsidP="00AB5FCB">
      <w:pPr>
        <w:rPr>
          <w:rFonts w:ascii="Arial" w:hAnsi="Arial" w:cs="Arial"/>
          <w:b/>
          <w:sz w:val="24"/>
          <w:szCs w:val="24"/>
        </w:rPr>
      </w:pPr>
      <w:r w:rsidRPr="007126DD">
        <w:rPr>
          <w:rFonts w:ascii="Arial" w:hAnsi="Arial" w:cs="Arial"/>
          <w:b/>
          <w:sz w:val="24"/>
          <w:szCs w:val="24"/>
        </w:rPr>
        <w:lastRenderedPageBreak/>
        <w:t>Supplemental Figure 1. Study Design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This figure presents the study designs of the phase 3 FACETS and ATTRACT studies that assessed the efficacy and safety of migalastat in ERT-naive and ERT-experienced patients, respectively. Patients completing each study had the option of enrolling in an open-label extension study for up to 5 years.</w:t>
      </w:r>
    </w:p>
    <w:p w14:paraId="36D7D23B" w14:textId="2E565713" w:rsidR="00D23DF3" w:rsidRDefault="009B53AD">
      <w:r>
        <w:rPr>
          <w:noProof/>
        </w:rPr>
        <w:drawing>
          <wp:inline distT="0" distB="0" distL="0" distR="0" wp14:anchorId="01ECF387" wp14:editId="202DD9B2">
            <wp:extent cx="5943600" cy="288036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0104890_FIGS1_v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B65F" w14:textId="449DDAA6" w:rsidR="00690CC2" w:rsidRDefault="00690CC2" w:rsidP="008B5454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ERT </w:t>
      </w:r>
      <w:r>
        <w:rPr>
          <w:rFonts w:ascii="Arial" w:hAnsi="Arial" w:cs="Arial"/>
          <w:sz w:val="24"/>
          <w:szCs w:val="24"/>
        </w:rPr>
        <w:t xml:space="preserve">enzyme replacement therapy, </w:t>
      </w:r>
      <w:r w:rsidRPr="00686BE6">
        <w:rPr>
          <w:rFonts w:ascii="Arial" w:hAnsi="Arial" w:cs="Arial"/>
          <w:i/>
          <w:iCs/>
          <w:sz w:val="24"/>
          <w:szCs w:val="24"/>
        </w:rPr>
        <w:t>OLE</w:t>
      </w:r>
      <w:r>
        <w:rPr>
          <w:rFonts w:ascii="Arial" w:hAnsi="Arial" w:cs="Arial"/>
          <w:sz w:val="24"/>
          <w:szCs w:val="24"/>
        </w:rPr>
        <w:t xml:space="preserve"> open-label extension,</w:t>
      </w:r>
      <w:r>
        <w:rPr>
          <w:rFonts w:ascii="Arial" w:hAnsi="Arial" w:cs="Arial"/>
          <w:i/>
          <w:iCs/>
          <w:sz w:val="24"/>
          <w:szCs w:val="24"/>
        </w:rPr>
        <w:t xml:space="preserve"> QOD</w:t>
      </w:r>
      <w:r>
        <w:rPr>
          <w:rFonts w:ascii="Arial" w:hAnsi="Arial" w:cs="Arial"/>
          <w:sz w:val="24"/>
          <w:szCs w:val="24"/>
        </w:rPr>
        <w:t xml:space="preserve"> every other day.</w:t>
      </w:r>
      <w:r w:rsidR="00275C36">
        <w:rPr>
          <w:rFonts w:ascii="Arial" w:hAnsi="Arial" w:cs="Arial"/>
          <w:sz w:val="24"/>
          <w:szCs w:val="24"/>
          <w:vertAlign w:val="superscript"/>
        </w:rPr>
        <w:br/>
      </w:r>
      <w:proofErr w:type="spellStart"/>
      <w:r w:rsidR="008B5454">
        <w:rPr>
          <w:rFonts w:ascii="Arial" w:hAnsi="Arial" w:cs="Arial"/>
          <w:sz w:val="24"/>
          <w:szCs w:val="24"/>
          <w:vertAlign w:val="superscript"/>
        </w:rPr>
        <w:t>a</w:t>
      </w:r>
      <w:r w:rsidR="008B5454">
        <w:rPr>
          <w:rFonts w:ascii="Arial" w:hAnsi="Arial" w:cs="Arial"/>
          <w:sz w:val="24"/>
          <w:szCs w:val="24"/>
        </w:rPr>
        <w:t>Patients</w:t>
      </w:r>
      <w:proofErr w:type="spellEnd"/>
      <w:r w:rsidR="008B5454">
        <w:rPr>
          <w:rFonts w:ascii="Arial" w:hAnsi="Arial" w:cs="Arial"/>
          <w:sz w:val="24"/>
          <w:szCs w:val="24"/>
        </w:rPr>
        <w:t xml:space="preserve"> were ERT naive or had not received ERT for ≥6 months prescreening.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D812AC">
        <w:rPr>
          <w:rFonts w:ascii="Arial" w:hAnsi="Arial" w:cs="Arial"/>
          <w:sz w:val="24"/>
          <w:szCs w:val="24"/>
          <w:vertAlign w:val="superscript"/>
        </w:rPr>
        <w:t>b</w:t>
      </w:r>
      <w:r w:rsidRPr="00690CC2">
        <w:rPr>
          <w:rFonts w:ascii="Arial" w:hAnsi="Arial" w:cs="Arial" w:hint="eastAsia"/>
          <w:sz w:val="24"/>
          <w:szCs w:val="24"/>
        </w:rPr>
        <w:t>Patients</w:t>
      </w:r>
      <w:proofErr w:type="spellEnd"/>
      <w:r w:rsidRPr="00690CC2">
        <w:rPr>
          <w:rFonts w:ascii="Arial" w:hAnsi="Arial" w:cs="Arial" w:hint="eastAsia"/>
          <w:sz w:val="24"/>
          <w:szCs w:val="24"/>
        </w:rPr>
        <w:t xml:space="preserve"> had received ERT for </w:t>
      </w:r>
      <w:r w:rsidR="00275C36">
        <w:rPr>
          <w:rFonts w:ascii="Arial" w:hAnsi="Arial" w:cs="Arial"/>
          <w:sz w:val="24"/>
          <w:szCs w:val="24"/>
        </w:rPr>
        <w:t>≥</w:t>
      </w:r>
      <w:r w:rsidRPr="00690CC2">
        <w:rPr>
          <w:rFonts w:ascii="Arial" w:hAnsi="Arial" w:cs="Arial" w:hint="eastAsia"/>
          <w:sz w:val="24"/>
          <w:szCs w:val="24"/>
        </w:rPr>
        <w:t>12 months prescreening.</w:t>
      </w:r>
    </w:p>
    <w:p w14:paraId="41572D39" w14:textId="77777777" w:rsidR="008B5454" w:rsidRDefault="008B5454"/>
    <w:sectPr w:rsidR="008B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CB"/>
    <w:rsid w:val="000567E2"/>
    <w:rsid w:val="000750F5"/>
    <w:rsid w:val="00267868"/>
    <w:rsid w:val="00275C36"/>
    <w:rsid w:val="004D1DF8"/>
    <w:rsid w:val="00690CC2"/>
    <w:rsid w:val="008B5454"/>
    <w:rsid w:val="009B53AD"/>
    <w:rsid w:val="00AB5FCB"/>
    <w:rsid w:val="00D23DF3"/>
    <w:rsid w:val="00D812AC"/>
    <w:rsid w:val="00E3048B"/>
    <w:rsid w:val="00F3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96EF"/>
  <w15:chartTrackingRefBased/>
  <w15:docId w15:val="{AA8ABC54-272E-4C26-AE39-3AE82D77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CB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3AD"/>
    <w:rPr>
      <w:rFonts w:ascii="Segoe UI" w:eastAsia="SimSun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0750F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750F5"/>
    <w:rPr>
      <w:rFonts w:eastAsia="SimSun"/>
    </w:rPr>
  </w:style>
  <w:style w:type="paragraph" w:styleId="Revision">
    <w:name w:val="Revision"/>
    <w:hidden/>
    <w:uiPriority w:val="99"/>
    <w:semiHidden/>
    <w:rsid w:val="00267868"/>
    <w:pPr>
      <w:spacing w:after="0" w:line="240" w:lineRule="auto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Gittens</dc:creator>
  <cp:keywords/>
  <dc:description/>
  <cp:lastModifiedBy>Colin Gittens</cp:lastModifiedBy>
  <cp:revision>2</cp:revision>
  <dcterms:created xsi:type="dcterms:W3CDTF">2020-09-22T21:48:00Z</dcterms:created>
  <dcterms:modified xsi:type="dcterms:W3CDTF">2020-09-22T21:48:00Z</dcterms:modified>
</cp:coreProperties>
</file>