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798" w:rsidRDefault="00323798" w:rsidP="00323798">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Figure S6. Response curves for climate variables included in final ENM model. To determine the settings for optimal model complexity given our occurrence data, background extent, and chosen predictor variables, we ran a suite of models with different parameter combinations (feature classes that allow for more complexity and regularization multipliers that penalize complexity), and evaluated each using cross-validation with spatial partitions using the “block” method in the R package </w:t>
      </w:r>
      <w:proofErr w:type="spellStart"/>
      <w:r>
        <w:rPr>
          <w:rFonts w:ascii="Times New Roman" w:hAnsi="Times New Roman" w:cs="Times New Roman"/>
          <w:sz w:val="24"/>
          <w:szCs w:val="24"/>
          <w:lang w:val="en"/>
        </w:rPr>
        <w:t>ENMeval</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Muscarella</w:t>
      </w:r>
      <w:proofErr w:type="spellEnd"/>
      <w:r>
        <w:rPr>
          <w:rFonts w:ascii="Times New Roman" w:hAnsi="Times New Roman" w:cs="Times New Roman"/>
          <w:sz w:val="24"/>
          <w:szCs w:val="24"/>
          <w:lang w:val="en"/>
        </w:rPr>
        <w:t xml:space="preserve"> </w:t>
      </w:r>
      <w:r>
        <w:rPr>
          <w:rFonts w:ascii="Times New Roman" w:hAnsi="Times New Roman" w:cs="Times New Roman"/>
          <w:i/>
          <w:iCs/>
          <w:sz w:val="24"/>
          <w:szCs w:val="24"/>
          <w:lang w:val="en"/>
        </w:rPr>
        <w:t>et al.</w:t>
      </w:r>
      <w:r>
        <w:rPr>
          <w:rFonts w:ascii="Times New Roman" w:hAnsi="Times New Roman" w:cs="Times New Roman"/>
          <w:sz w:val="24"/>
          <w:szCs w:val="24"/>
          <w:lang w:val="en"/>
        </w:rPr>
        <w:t xml:space="preserve"> 2014). Models were evaluated based on their performance on the following means calculated across all partitions for each parameter combination: 1) the area under the curve of the receiver operating characteristic (AUC) for test data, 2) AUC calculated on an independent occurrence dataset (</w:t>
      </w:r>
      <w:proofErr w:type="spellStart"/>
      <w:r>
        <w:rPr>
          <w:rFonts w:ascii="Times New Roman" w:hAnsi="Times New Roman" w:cs="Times New Roman"/>
          <w:sz w:val="24"/>
          <w:szCs w:val="24"/>
          <w:lang w:val="en"/>
        </w:rPr>
        <w:t>HerpMapper</w:t>
      </w:r>
      <w:proofErr w:type="spellEnd"/>
      <w:r>
        <w:rPr>
          <w:rFonts w:ascii="Times New Roman" w:hAnsi="Times New Roman" w:cs="Times New Roman"/>
          <w:sz w:val="24"/>
          <w:szCs w:val="24"/>
          <w:lang w:val="en"/>
        </w:rPr>
        <w:t xml:space="preserve">, downloaded April 2014), and two omission rates reported by </w:t>
      </w:r>
      <w:proofErr w:type="spellStart"/>
      <w:r>
        <w:rPr>
          <w:rFonts w:ascii="Times New Roman" w:hAnsi="Times New Roman" w:cs="Times New Roman"/>
          <w:sz w:val="24"/>
          <w:szCs w:val="24"/>
          <w:lang w:val="en"/>
        </w:rPr>
        <w:t>ENMeval</w:t>
      </w:r>
      <w:proofErr w:type="spellEnd"/>
      <w:r>
        <w:rPr>
          <w:rFonts w:ascii="Times New Roman" w:hAnsi="Times New Roman" w:cs="Times New Roman"/>
          <w:sz w:val="24"/>
          <w:szCs w:val="24"/>
          <w:lang w:val="en"/>
        </w:rPr>
        <w:t xml:space="preserve">—3) minimum training presence and 4) 10% training presence. After choosing optimal settings, we then added the independent </w:t>
      </w:r>
      <w:proofErr w:type="spellStart"/>
      <w:r>
        <w:rPr>
          <w:rFonts w:ascii="Times New Roman" w:hAnsi="Times New Roman" w:cs="Times New Roman"/>
          <w:sz w:val="24"/>
          <w:szCs w:val="24"/>
          <w:lang w:val="en"/>
        </w:rPr>
        <w:t>Herpmapper</w:t>
      </w:r>
      <w:proofErr w:type="spellEnd"/>
      <w:r>
        <w:rPr>
          <w:rFonts w:ascii="Times New Roman" w:hAnsi="Times New Roman" w:cs="Times New Roman"/>
          <w:sz w:val="24"/>
          <w:szCs w:val="24"/>
          <w:lang w:val="en"/>
        </w:rPr>
        <w:t xml:space="preserve"> occurrence data, spatially thinned by the same distance, and ran another suite of models with varying regularization multipliers for the highest performing feature class combination from the previous round. We evaluated these models using the same criteria as the previous round, with the addition of qualitative observations of both model predictions and response curves.</w:t>
      </w:r>
    </w:p>
    <w:p w:rsidR="00323798" w:rsidRDefault="00323798" w:rsidP="00323798">
      <w:pPr>
        <w:autoSpaceDE w:val="0"/>
        <w:autoSpaceDN w:val="0"/>
        <w:adjustRightInd w:val="0"/>
        <w:spacing w:after="0" w:line="240" w:lineRule="auto"/>
        <w:rPr>
          <w:rFonts w:ascii="Times New Roman" w:hAnsi="Times New Roman" w:cs="Times New Roman"/>
          <w:sz w:val="24"/>
          <w:szCs w:val="24"/>
          <w:lang w:val="en"/>
        </w:rPr>
      </w:pPr>
    </w:p>
    <w:p w:rsidR="00323798" w:rsidRDefault="00323798" w:rsidP="00323798">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 xml:space="preserve">The concatenated occurrence dataset from GBIF and </w:t>
      </w:r>
      <w:proofErr w:type="spellStart"/>
      <w:r>
        <w:rPr>
          <w:rFonts w:ascii="Times New Roman" w:hAnsi="Times New Roman" w:cs="Times New Roman"/>
          <w:sz w:val="24"/>
          <w:szCs w:val="24"/>
          <w:lang w:val="en"/>
        </w:rPr>
        <w:t>VertNet</w:t>
      </w:r>
      <w:proofErr w:type="spellEnd"/>
      <w:r>
        <w:rPr>
          <w:rFonts w:ascii="Times New Roman" w:hAnsi="Times New Roman" w:cs="Times New Roman"/>
          <w:sz w:val="24"/>
          <w:szCs w:val="24"/>
          <w:lang w:val="en"/>
        </w:rPr>
        <w:t xml:space="preserve"> resulted in 3315 unique localities with coordinates, and removing those that did not intersect with the IUCN range polygon resulted in 3097 localities. Finally, spatial thinning by 10 km reduced this number to 1472 localities. The </w:t>
      </w:r>
      <w:proofErr w:type="spellStart"/>
      <w:r>
        <w:rPr>
          <w:rFonts w:ascii="Times New Roman" w:hAnsi="Times New Roman" w:cs="Times New Roman"/>
          <w:sz w:val="24"/>
          <w:szCs w:val="24"/>
          <w:lang w:val="en"/>
        </w:rPr>
        <w:t>HerpMapper</w:t>
      </w:r>
      <w:proofErr w:type="spellEnd"/>
      <w:r>
        <w:rPr>
          <w:rFonts w:ascii="Times New Roman" w:hAnsi="Times New Roman" w:cs="Times New Roman"/>
          <w:sz w:val="24"/>
          <w:szCs w:val="24"/>
          <w:lang w:val="en"/>
        </w:rPr>
        <w:t xml:space="preserve"> occurrence localities (N = 800) were spatially thinned to 339 localities. We used 30,826 background points to sample every cell in the study extent. Of all the feature class combinations we tested, linear/quadratic models performed the best on test AUC (0.778 – 0.779), and besides the linear models were lowest for omission rates (minimum OR: 0.014 – 0.017; 10 percent OR: 0.171 – 0.174). More complex models (those with hinge and threshold features) had comparable test AUC values (0.761 – 0.775), but had poorer omission rates (minimum OR: 0.015 – 0.047; 10 percent OR: 0.220 – 0.290). Both the complex (0.797 – 0.808) and linear/quadratic models (0.790 – 0.792) performed better than linear models (0.739 – 0.740) for </w:t>
      </w:r>
      <w:proofErr w:type="spellStart"/>
      <w:r>
        <w:rPr>
          <w:rFonts w:ascii="Times New Roman" w:hAnsi="Times New Roman" w:cs="Times New Roman"/>
          <w:sz w:val="24"/>
          <w:szCs w:val="24"/>
          <w:lang w:val="en"/>
        </w:rPr>
        <w:t>HerpMapper</w:t>
      </w:r>
      <w:proofErr w:type="spellEnd"/>
      <w:r>
        <w:rPr>
          <w:rFonts w:ascii="Times New Roman" w:hAnsi="Times New Roman" w:cs="Times New Roman"/>
          <w:sz w:val="24"/>
          <w:szCs w:val="24"/>
          <w:lang w:val="en"/>
        </w:rPr>
        <w:t xml:space="preserve"> AUC. The response curves for the complex models included many with a combination of jagged and flat lines, while the simpler models (linear and linear/quadratic) had smoother, more ecologically plausible responses (Figure S8). We chose linear/quadratic as the optimal feature classes, and tested the same range of regularization multipliers again after adding the </w:t>
      </w:r>
      <w:proofErr w:type="spellStart"/>
      <w:r>
        <w:rPr>
          <w:rFonts w:ascii="Times New Roman" w:hAnsi="Times New Roman" w:cs="Times New Roman"/>
          <w:sz w:val="24"/>
          <w:szCs w:val="24"/>
          <w:lang w:val="en"/>
        </w:rPr>
        <w:t>HerpMapper</w:t>
      </w:r>
      <w:proofErr w:type="spellEnd"/>
      <w:r>
        <w:rPr>
          <w:rFonts w:ascii="Times New Roman" w:hAnsi="Times New Roman" w:cs="Times New Roman"/>
          <w:sz w:val="24"/>
          <w:szCs w:val="24"/>
          <w:lang w:val="en"/>
        </w:rPr>
        <w:t xml:space="preserve"> data and thinning once more by 10 km (N = 1701). The models with regularization higher than 2.5 had slightly lower test AUC and slightly higher omission rates, so we chose the least complex model with the best evaluation statistics, LQ2.5 (test AUC = 0.783; minimum OR = 0.011; 10 percent OR = 0.146). This model used 19 total parameters (9 quadratic terms) that represented 13 of the 19 bioclimatic variables (shown in Figure S5). The most important contributors (Maxent permutation importance) were Annual Mean Temperature (21%), Minimum Temperature of Coldest Month (15%), Maximum Temperature of Warmest Month (12%), and Precipitation of Warmest Quarter (12%).</w:t>
      </w:r>
    </w:p>
    <w:p w:rsidR="00323798" w:rsidRDefault="00323798" w:rsidP="00323798">
      <w:r>
        <w:rPr>
          <w:rFonts w:ascii="Calibri" w:hAnsi="Calibri" w:cs="Calibri"/>
          <w:noProof/>
          <w:lang w:val="en"/>
        </w:rPr>
        <w:lastRenderedPageBreak/>
        <w:drawing>
          <wp:inline distT="0" distB="0" distL="0" distR="0">
            <wp:extent cx="8061960" cy="6671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77439" cy="6684455"/>
                    </a:xfrm>
                    <a:prstGeom prst="rect">
                      <a:avLst/>
                    </a:prstGeom>
                    <a:noFill/>
                    <a:ln>
                      <a:noFill/>
                    </a:ln>
                  </pic:spPr>
                </pic:pic>
              </a:graphicData>
            </a:graphic>
          </wp:inline>
        </w:drawing>
      </w:r>
      <w:bookmarkStart w:id="0" w:name="_GoBack"/>
      <w:bookmarkEnd w:id="0"/>
    </w:p>
    <w:sectPr w:rsidR="00323798" w:rsidSect="00671A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798"/>
    <w:rsid w:val="00323798"/>
    <w:rsid w:val="0067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F69D0-86E5-4438-AFFE-7F94F6F0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Brendan</dc:creator>
  <cp:keywords/>
  <dc:description/>
  <cp:lastModifiedBy>Reid, Brendan</cp:lastModifiedBy>
  <cp:revision>2</cp:revision>
  <dcterms:created xsi:type="dcterms:W3CDTF">2018-03-06T09:03:00Z</dcterms:created>
  <dcterms:modified xsi:type="dcterms:W3CDTF">2018-05-27T01:48:00Z</dcterms:modified>
</cp:coreProperties>
</file>