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268" w:rsidRDefault="00F07268" w:rsidP="00F07268">
      <w:pPr>
        <w:pStyle w:val="Heading1"/>
      </w:pPr>
      <w:r>
        <w:t>SUPPORTING INFORMATION</w:t>
      </w:r>
    </w:p>
    <w:p w:rsidR="007927D2" w:rsidRPr="007927D2" w:rsidRDefault="001E5888" w:rsidP="007927D2">
      <w:pPr>
        <w:rPr>
          <w:i/>
          <w:u w:val="single"/>
        </w:rPr>
      </w:pPr>
      <w:r>
        <w:rPr>
          <w:i/>
          <w:u w:val="single"/>
        </w:rPr>
        <w:t>Section (</w:t>
      </w:r>
      <w:r w:rsidR="00B31104">
        <w:rPr>
          <w:i/>
          <w:u w:val="single"/>
        </w:rPr>
        <w:t xml:space="preserve">a) </w:t>
      </w:r>
      <w:r w:rsidR="007927D2" w:rsidRPr="007927D2">
        <w:rPr>
          <w:i/>
          <w:u w:val="single"/>
        </w:rPr>
        <w:t>Linkage map construction, extended materials and methods</w:t>
      </w:r>
    </w:p>
    <w:p w:rsidR="007927D2" w:rsidRDefault="007927D2" w:rsidP="007927D2">
      <w:r>
        <w:t xml:space="preserve">The genetic linkage map was built using a combination of modules from both LepMAP2 </w:t>
      </w:r>
      <w:r>
        <w:fldChar w:fldCharType="begin" w:fldLock="1"/>
      </w:r>
      <w:r>
        <w:instrText>ADDIN CSL_CITATION { "citationItems" : [ { "id" : "ITEM-1", "itemData" : { "DOI" : "10.1093/gbe/evv250", "ISSN" : "1759-6653", "PMID" : "26668116", "abstract" : "High-density linkage maps are important tools for genome biology and evolutionary genetics by quantifying the extent of recombination, linkage disequilibrium, and chromosomal rearrangements across chromosomes, sexes, and populations. They provide one of the best ways to validate and refine de novo genome assemblies, with the power to identify errors in assemblies increasing with marker density. However, assembly of high-density linkage maps is still challenging due to software limitations. We describe Lep-MAP2, a software for ultradense genome-wide linkage map construction. Lep-MAP2 can handle various family structures and can account for achiasmatic meiosis to gain linkage map accuracy. Simulations show that Lep-MAP2 outperforms other available mapping software both in computational efficiency and accuracy. When applied to two large F2-generation recombinant crosses between two nine-spined stickleback (Pungitius pungitius) populations, it produced two high-density (\u223c6 markers/cM) linkage maps containing 18,691 and 20,054 single nucleotide polymorphisms. The two maps showed a high degree of synteny, but female maps were 1.5-2 times longer than male maps in all linkage groups, suggesting genome-wide recombination suppression in males. Comparison with the genome sequence of the three-spined stickleback (Gasterosteus aculeatus) revealed a high degree of interspecific synteny with a low frequency (&lt;5%) of interchromosomal rearrangements. However, a fairly large (ca. 10 Mb) translocation from autosome to sex chromosome was detected in both maps. These results illustrate the utility and novel features of Lep-MAP2 in assembling high-density linkage maps, and their usefulness in revealing evolutionarily interesting properties of genomes, such as strong genome-wide sex bias in recombination rates.", "author" : [ { "dropping-particle" : "", "family" : "Rastas", "given" : "Pasi", "non-dropping-particle" : "", "parse-names" : false, "suffix" : "" }, { "dropping-particle" : "", "family" : "Calboli", "given" : "Federico C F", "non-dropping-particle" : "", "parse-names" : false, "suffix" : "" }, { "dropping-particle" : "", "family" : "Guo", "given" : "Baocheng", "non-dropping-particle" : "", "parse-names" : false, "suffix" : "" }, { "dropping-particle" : "", "family" : "Shikano", "given" : "Takahito", "non-dropping-particle" : "", "parse-names" : false, "suffix" : "" }, { "dropping-particle" : "", "family" : "Meril\u00e4", "given" : "Juha", "non-dropping-particle" : "", "parse-names" : false, "suffix" : "" } ], "container-title" : "Genome biology and evolution", "id" : "ITEM-1", "issue" : "1", "issued" : { "date-parts" : [ [ "2016" ] ] }, "page" : "78-93", "title" : "Construction of Ultradense Linkage Maps with Lep-MAP2: Stickleback F2 Recombinant Crosses as an Example.", "type" : "article-journal", "volume" : "8" }, "uris" : [ "http://www.mendeley.com/documents/?uuid=2083e927-e619-44a6-b46d-8002338cd01c" ] } ], "mendeley" : { "formattedCitation" : "(Rastas &lt;i&gt;et al.&lt;/i&gt; 2016)", "plainTextFormattedCitation" : "(Rastas et al. 2016)", "previouslyFormattedCitation" : "(Rastas &lt;i&gt;et al.&lt;/i&gt; 2016)" }, "properties" : { "noteIndex" : 0 }, "schema" : "https://github.com/citation-style-language/schema/raw/master/csl-citation.json" }</w:instrText>
      </w:r>
      <w:r>
        <w:fldChar w:fldCharType="separate"/>
      </w:r>
      <w:r w:rsidRPr="00C97FA5">
        <w:rPr>
          <w:noProof/>
        </w:rPr>
        <w:t xml:space="preserve">(Rastas </w:t>
      </w:r>
      <w:r w:rsidRPr="00C97FA5">
        <w:rPr>
          <w:i/>
          <w:noProof/>
        </w:rPr>
        <w:t>et al.</w:t>
      </w:r>
      <w:r w:rsidRPr="00C97FA5">
        <w:rPr>
          <w:noProof/>
        </w:rPr>
        <w:t xml:space="preserve"> 2016)</w:t>
      </w:r>
      <w:r>
        <w:fldChar w:fldCharType="end"/>
      </w:r>
      <w:r>
        <w:t xml:space="preserve"> and LepMAP3 (</w:t>
      </w:r>
      <w:hyperlink r:id="rId6" w:history="1">
        <w:r w:rsidRPr="00BF3288">
          <w:rPr>
            <w:rStyle w:val="Hyperlink"/>
          </w:rPr>
          <w:t>https://sourceforge.net/projects/lep-map3/</w:t>
        </w:r>
      </w:hyperlink>
      <w:r>
        <w:t xml:space="preserve">) . The filtered VCF file was converted to a posteriors file and then a linkage file, using scripts bundled with the </w:t>
      </w:r>
      <w:proofErr w:type="spellStart"/>
      <w:r>
        <w:t>LepMAP</w:t>
      </w:r>
      <w:proofErr w:type="spellEnd"/>
      <w:r>
        <w:t xml:space="preserve"> programs. A pedigree was then added and checked by calculating identity by descent (IBD) between samples using plink1.9 (</w:t>
      </w:r>
      <w:r w:rsidRPr="00964FA9">
        <w:t>https://www.cog-genomics.org/plink2</w:t>
      </w:r>
      <w:r>
        <w:t xml:space="preserve">; </w:t>
      </w:r>
      <w:r>
        <w:fldChar w:fldCharType="begin" w:fldLock="1"/>
      </w:r>
      <w:r>
        <w:instrText>ADDIN CSL_CITATION { "citationItems" : [ { "id" : "ITEM-1", "itemData" : { "DOI" : "10.1186/s13742-015-0047-8", "ISBN" : "10.1186/s13742-015-0047-8", "ISSN" : "2047-217X", "PMID" : "25722852", "abstract" : "PLINK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1\u2019s primary data format. To address these issues, we are developing a second-generation codebase for PLINK. The first major release from this codebase, PLINK 1.9, introduces extensive use of bit-level parallelism, \\n                    \\n                      \\n                    \\n                    \\n                      \\n                        O\\n                        \\n                          \\n                            \\n                              \\n                                n\\n                              \\n                            \\n                          \\n                        \\n                      \\n                    \\n                    \\n\\t\\t\\t\\t\\t\\t\\t$O\\left (\\sqrt {n}\\right)$\\n\\t\\t\\t\\t\\t\\t\\n                  -time/constant-space Hardy-Weinberg equilibrium and Fisher\u2019s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 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 "author" : [ { "dropping-particle" : "", "family" : "Chang", "given" : "Christopher C", "non-dropping-particle" : "", "parse-names" : false, "suffix" : "" }, { "dropping-particle" : "", "family" : "Chow", "given" : "Carson C", "non-dropping-particle" : "", "parse-names" : false, "suffix" : "" }, { "dropping-particle" : "", "family" : "Tellier", "given" : "Laurent CAM", "non-dropping-particle" : "", "parse-names" : false, "suffix" : "" }, { "dropping-particle" : "", "family" : "Vattikuti", "given" : "Shashaank", "non-dropping-particle" : "", "parse-names" : false, "suffix" : "" }, { "dropping-particle" : "", "family" : "Purcell", "given" : "Shaun M", "non-dropping-particle" : "", "parse-names" : false, "suffix" : "" }, { "dropping-particle" : "", "family" : "Lee", "given" : "James J", "non-dropping-particle" : "", "parse-names" : false, "suffix" : "" }, { "dropping-particle" : "", "family" : "Purcell", "given" : "S", "non-dropping-particle" : "", "parse-names" : false, "suffix" : "" }, { "dropping-particle" : "", "family" : "Neale", "given" : "B", "non-dropping-particle" : "", "parse-names" : false, "suffix" : "" }, { "dropping-particle" : "", "family" : "Todd-Brown", "given" : "K", "non-dropping-particle" : "", "parse-names" : false, "suffix" : "" }, { "dropping-particle" : "", "family" : "Thomas", "given" : "L", "non-dropping-particle" : "", "parse-names" : false, "suffix" : "" }, { "dropping-particle" : "", "family" : "Ferreira", "given" : "M", "non-dropping-particle" : "", "parse-names" : false, "suffix" : "" }, { "dropping-particle" : "", "family" : "Bender", "given" : "D", "non-dropping-particle" : "", "parse-names" : false, "suffix" : "" }, { "dropping-particle" : "", "family" : "Browning", "given" : "B", "non-dropping-particle" : "", "parse-names" : false, "suffix" : "" }, { "dropping-particle" : "", "family" : "Browning", "given" : "S", "non-dropping-particle" : "", "parse-names" : false, "suffix" : "" }, { "dropping-particle" : "", "family" : "Howie", "given" : "B", "non-dropping-particle" : "", "parse-names" : false, "suffix" : "" }, { "dropping-particle" : "", "family" : "Donnelly", "given" : "P", "non-dropping-particle" : "", "parse-names" : false, "suffix" : "" }, { "dropping-particle" : "", "family" : "Marchini", "given" : "J", "non-dropping-particle" : "", "parse-names" : false, "suffix" : "" }, { "dropping-particle" : "", "family" : "McKenna", "given" : "A", "non-dropping-particle" : "", "parse-names" : false, "suffix" : "" }, { "dropping-particle" : "", "family" : "Hanna", "given" : "M", "non-dropping-particle" : "", "parse-names" : false, "suffix" : "" }, { "dropping-particle" : "", "family" : "Banks", "given" : "E", "non-dropping-particle" : "", "parse-names" : false, "suffix" : "" }, { "dropping-particle" : "", "family" : "Sivachenko", "given" : "A", "non-dropping-particle" : "", "parse-names" : false, "suffix" : "" }, { "dropping-particle" : "", "family" : "Cibulskis", "given" : "K", "non-dropping-particle" : "", "parse-names" : false, "suffix" : "" }, { "dropping-particle" : "", "family" : "Kernytsky", "given" : "A", "non-dropping-particle" : "", "parse-names" : false, "suffix" : "" }, { "dropping-particle" : "", "family" : "Danecek", "given" : "P", "non-dropping-particle" : "", "parse-names" : false, "suffix" : "" }, { "dropping-particle" : "", "family" : "Auton", "given" : "A", "non-dropping-particle" : "", "parse-names" : false, "suffix" : "" }, { "dropping-particle" : "", "family" : "Abecasis", "given" : "G", "non-dropping-particle" : "", "parse-names" : false, "suffix" : "" }, { "dropping-particle" : "", "family" : "Albers", "given" : "C", "non-dropping-particle" : "", "parse-names" : false, "suffix" : "" }, { "dropping-particle" : "", "family" : "Banks", "given" : "E", "non-dropping-particle" : "", "parse-names" : false, "suffix" : "" }, { "dropping-particle" : "", "family" : "DePristo", "given" : "M", "non-dropping-particle" : "", "parse-names" : false, "suffix" : "" }, { "dropping-particle" : "", "family" : "Li", "given" : "H", "non-dropping-particle" : "", "parse-names" : false, "suffix" : "" }, { "dropping-particle" : "", "family" : "Handsaker", "given" : "B", "non-dropping-particle" : "", "parse-names" : false, "suffix" : "" }, { "dropping-particle" : "", "family" : "Wysoker", "given" : "A", "non-dropping-particle" : "", "parse-names" : false, "suffix" : "" }, { "dropping-particle" : "", "family" : "Fennell", "given" : "T", "non-dropping-particle" : "", "parse-names" : false, "suffix" : "" }, { "dropping-particle" : "", "family" : "Ruan", "given" : "J", "non-dropping-particle" : "", "parse-names" : false, "suffix" : "" }, { "dropping-particle" : "", "family" : "Homer", "given" : "N", "non-dropping-particle" : "", "parse-names" : false, "suffix" : "" }, { "dropping-particle" : "", "family" : "Yang", "given" : "J", "non-dropping-particle" : "", "parse-names" : false, "suffix" : "" }, { "dropping-particle" : "", "family" : "Lee", "given" : "S", "non-dropping-particle" : "", "parse-names" : false, "suffix" : "" }, { "dropping-particle" : "", "family" : "Goddard", "given" : "M", "non-dropping-particle" : "", "parse-names" : false, "suffix" : "" }, { "dropping-particle" : "", "family" : "Visscher", "given" : "P", "non-dropping-particle" : "", "parse-names" : false, "suffix" : "" }, { "dropping-particle" : "", "family" : "Lee", "given" : "V", "non-dropping-particle" : "", "parse-names" : false, "suffix" : "" }, { "dropping-particle" : "", "family" : "Kim", "given" : "C", "non-dropping-particle" : "", "parse-names" : false, "suffix" : "" }, { "dropping-particle" : "", "family" : "Chhugani", "given" : "J", "non-dropping-particle" : "", "parse-names" : false, "suffix" : "" }, { "dropping-particle" : "", "family" : "Deisher", "given" : "M", "non-dropping-particle" : "", "parse-names" : false, "suffix" : "" }, { "dropping-particle" : "", "family" : "Kim", "given" : "D", "non-dropping-particle" : "", "parse-names" : false, "suffix" : "" }, { "dropping-particle" : "", "family" : "Nguyen", "given" : "A", "non-dropping-particle" : "", "parse-names" : false, "suffix" : "" }, { "dropping-particle" : "", "family" : "Haque", "given" : "I", "non-dropping-particle" : "", "parse-names" : false, "suffix" : "" }, { "dropping-particle" : "", "family" : "Pande", "given" : "V", "non-dropping-particle" : "", "parse-names" : false, "suffix" : "" }, { "dropping-particle" : "", "family" : "Walters", "given" : "W", "non-dropping-particle" : "", "parse-names" : false, "suffix" : "" }, { "dropping-particle" : "", "family" : "Hardy", "given" : "H", "non-dropping-particle" : "", "parse-names" : false, "suffix" : "" }, { "dropping-particle" : "", "family" : "Wigginton", "given" : "J", "non-dropping-particle" : "", "parse-names" : false, "suffix" : "" }, { "dropping-particle" : "", "family" : "Cutler", "given" : "D", "non-dropping-particle" : "", "parse-names" : false, "suffix" : "" }, { "dropping-particle" : "", "family" : "Abecasis", "given" : "G", "non-dropping-particle" : "", "parse-names" : false, "suffix" : "" }, { "dropping-particle" : "", "family" : "Guo", "given" : "S", "non-dropping-particle" : "", "parse-names" : false, "suffix" : "" }, { "dropping-particle" : "", "family" : "Thompson", "given" : "E", "non-dropping-particle" : "", "parse-names" : false, "suffix" : "" }, { "dropping-particle" : "", "family" : "Mehta", "given" : "C", "non-dropping-particle" : "", "parse-names" : false, "suffix" : "" }, { "dropping-particle" : "", "family" : "Patel", "given" : "N", "non-dropping-particle" : "", "parse-names" : false, "suffix" : "" }, { "dropping-particle" : "", "family" : "Clarkson", "given" : "D", "non-dropping-particle" : "", "parse-names" : false, "suffix" : "" }, { "dropping-particle" : "", "family" : "Fan", "given" : "Y", "non-dropping-particle" : "", "parse-names" : false, "suffix" : "" }, { "dropping-particle" : "", "family" : "Joe", "given" : "H", "non-dropping-particle" : "", "parse-names" : false, "suffix" : "" }, { "dropping-particle" : "", "family" : "Requena", "given" : "F", "non-dropping-particle" : "", "parse-names" : false, "suffix" : "" }, { "dropping-particle" : "", "family" : "Ciudad", "given" : "N Mart\u00edn", "non-dropping-particle" : "", "parse-names" : false, "suffix" : "" }, { "dropping-particle" : "", "family" : "Lydersen", "given" : "S", "non-dropping-particle" : "", "parse-names" : false, "suffix" : "" }, { "dropping-particle" : "", "family" : "Fagerland", "given" : "M", "non-dropping-particle" : "", "parse-names" : false, "suffix" : "" }, { "dropping-particle" : "", "family" : "Laake", "given" : "P", "non-dropping-particle" : "", "parse-names" : false, "suffix" : "" }, { "dropping-particle" : "", "family" : "Graffelman", "given" : "J", "non-dropping-particle" : "", "parse-names" : false, "suffix" : "" }, { "dropping-particle" : "", "family" : "Moreno", "given" : "V", "non-dropping-particle" : "", "parse-names" : false, "suffix" : "" }, { "dropping-particle" : "", "family" : "Wall", "given" : "J", "non-dropping-particle" : "", "parse-names" : false, "suffix" : "" }, { "dropping-particle" : "", "family" : "Pritchard", "given" : "J", "non-dropping-particle" : "", "parse-names" : false, "suffix" : "" }, { "dropping-particle" : "", "family" : "Gabriel", "given" : "S", "non-dropping-particle" : "", "parse-names" : false, "suffix" : "" }, { "dropping-particle" : "", "family" : "Schaffner", "given" : "S", "non-dropping-particle" : "", "parse-names" : false, "suffix" : "" }, { "dropping-particle" : "", "family" : "Nguyen", "given" : "H", "non-dropping-particle" : "", "parse-names" : false, "suffix" : "" }, { "dropping-particle" : "", "family" : "Moore", "given" : "J", "non-dropping-particle" : "", "parse-names" : false, "suffix" : "" }, { "dropping-particle" : "", "family" : "Roy", "given" : "J", "non-dropping-particle" : "", "parse-names" : false, "suffix" : "" }, { "dropping-particle" : "", "family" : "Blumenstiel", "given" : "B", "non-dropping-particle" : "", "parse-names" : false, "suffix" : "" }, { "dropping-particle" : "", "family" : "Barrett", "given" : "J", "non-dropping-particle" : "", "parse-names" : false, "suffix" : "" }, { "dropping-particle" : "", "family" : "Fry", "given" : "B", "non-dropping-particle" : "", "parse-names" : false, "suffix" : "" }, { "dropping-particle" : "", "family" : "Maller", "given" : "J", "non-dropping-particle" : "", "parse-names" : false, "suffix" : "" }, { "dropping-particle" : "", "family" : "Daly", "given" : "M", "non-dropping-particle" : "", "parse-names" : false, "suffix" : "" }, { "dropping-particle" : "", "family" : "Hill", "given" : "W", "non-dropping-particle" : "", "parse-names" : false, "suffix" : "" }, { "dropping-particle" : "", "family" : "Gaunt", "given" : "T", "non-dropping-particle" : "", "parse-names" : false, "suffix" : "" }, { "dropping-particle" : "", "family" : "Rodr\u00edguez", "given" : "S", "non-dropping-particle" : "", "parse-names" : false, "suffix" : "" }, { "dropping-particle" : "", "family" : "Day", "given" : "I", "non-dropping-particle" : "", "parse-names" : false, "suffix" : "" }, { "dropping-particle" : "", "family" : "Taliun", "given" : "D", "non-dropping-particle" : "", "parse-names" : false, "suffix" : "" }, { "dropping-particle" : "", "family" : "Gamper", "given" : "J", "non-dropping-particle" : "", "parse-names" : false, "suffix" : "" }, { "dropping-particle" : "", "family" : "Pattaro", "given" : "C", "non-dropping-particle" : "", "parse-names" : false, "suffix" : "" }, { "dropping-particle" : "", "family" : "Friedman", "given" : "J", "non-dropping-particle" : "", "parse-names" : false, "suffix" : "" }, { "dropping-particle" : "", "family" : "Hastie", "given" : "T", "non-dropping-particle" : "", "parse-names" : false, "suffix" : "" }, { "dropping-particle" : "", "family" : "H\u00f6fling", "given" : "H", "non-dropping-particle" : "", "parse-names" : false, "suffix" : "" }, { "dropping-particle" : "", "family" : "Tibshirani", "given" : "R", "non-dropping-particle" : "", "parse-names" : false, "suffix" : "" }, { "dropping-particle" : "", "family" : "Vattikuti", "given" : "S", "non-dropping-particle" : "", "parse-names" : false, "suffix" : "" }, { "dropping-particle" : "", "family" : "Lee", "given" : "J", "non-dropping-particle" : "", "parse-names" : false, "suffix" : "" }, { "dropping-particle" : "", "family" : "Chang", "given" : "C", "non-dropping-particle" : "", "parse-names" : false, "suffix" : "" }, { "dropping-particle" : "", "family" : "Hsu", "given" : "S", "non-dropping-particle" : "", "parse-names" : false, "suffix" : "" }, { "dropping-particle" : "", "family" : "Chow", "given" : "C", "non-dropping-particle" : "", "parse-names" : false, "suffix" : "" }, { "dropping-particle" : "", "family" : "Stei\u00df", "given" : "V", "non-dropping-particle" : "", "parse-names" : false, "suffix" : "" }, { "dropping-particle" : "", "family" : "Letschert", "given" : "T", "non-dropping-particle" : "", "parse-names" : false, "suffix" : "" }, { "dropping-particle" : "", "family" : "Sch\u00e4fer", "given" : "H", "non-dropping-particle" : "", "parse-names" : false, "suffix" : "" }, { "dropping-particle" : "", "family" : "Pahl", "given" : "R", "non-dropping-particle" : "", "parse-names" : false, "suffix" : "" }, { "dropping-particle" : "", "family" : "Wan", "given" : "X", "non-dropping-particle" : "", "parse-names" : false, "suffix" : "" }, { "dropping-particle" : "", "family" : "Yang", "given" : "C", "non-dropping-particle" : "", "parse-names" : false, "suffix" : "" }, { "dropping-particle" : "", "family" : "Yang", "given" : "Q", "non-dropping-particle" : "", "parse-names" : false, "suffix" : "" }, { "dropping-particle" : "", "family" : "Xue", "given" : "H", "non-dropping-particle" : "", "parse-names" : false, "suffix" : "" }, { "dropping-particle" : "", "family" : "Fan", "given" : "X", "non-dropping-particle" : "", "parse-names" : false, "suffix" : "" }, { "dropping-particle" : "", "family" : "Tang", "given" : "N", "non-dropping-particle" : "", "parse-names" : false, "suffix" : "" }, { "dropping-particle" : "", "family" : "Ueki", "given" : "M", "non-dropping-particle" : "", "parse-names" : false, "suffix" : "" }, { "dropping-particle" : "", "family" : "Cordell", "given" : "H", "non-dropping-particle" : "", "parse-names" : false, "suffix" : "" }, { "dropping-particle" : "", "family" : "Abecasis", "given" : "G", "non-dropping-particle" : "", "parse-names" : false, "suffix" : "" }, { "dropping-particle" : "", "family" : "Cardon", "given" : "L", "non-dropping-particle" : "", "parse-names" : false, "suffix" : "" }, { "dropping-particle" : "", "family" : "Cookson", "given" : "W", "non-dropping-particle" : "", "parse-names" : false, "suffix" : "" }, { "dropping-particle" : "", "family" : "Ewens", "given" : "W", "non-dropping-particle" : "", "parse-names" : false, "suffix" : "" }, { "dropping-particle" : "", "family" : "Li", "given" : "M", "non-dropping-particle" : "", "parse-names" : false, "suffix" : "" }, { "dropping-particle" : "", "family" : "Spielman", "given" : "R", "non-dropping-particle" : "", "parse-names" : false, "suffix" : "" }, { "dropping-particle" : "", "family" : "Su", "given" : "Z", "non-dropping-particle" : "", "parse-names" : false, "suffix" : "" }, { "dropping-particle" : "", "family" : "Marchini", "given" : "J", "non-dropping-particle" : "", "parse-names" : false, "suffix" : "" }, { "dropping-particle" : "", "family" : "Donnelly", "given" : "P", "non-dropping-particle" : "", "parse-names" : false, "suffix" : "" }, { "dropping-particle" : "", "family" : "Xu", "given" : "Y", "non-dropping-particle" : "", "parse-names" : false, "suffix" : "" }, { "dropping-particle" : "", "family" : "Wu", "given" : "Y", "non-dropping-particle" : "", "parse-names" : false, "suffix" : "" }, { "dropping-particle" : "", "family" : "Song", "given" : "C", "non-dropping-particle" : "", "parse-names" : false, "suffix" : "" }, { "dropping-particle" : "", "family" : "Zhang", "given" : "H", "non-dropping-particle" : "", "parse-names" : false, "suffix" : "" }, { "dropping-particle" : "", "family" : "Defays", "given" : "D", "non-dropping-particle" : "", "parse-names" : false, "suffix" : "" }, { "dropping-particle" : "", "family" : "Browning", "given" : "B", "non-dropping-particle" : "", "parse-names" : false, "suffix" : "" }, { "dropping-particle" : "", "family" : "Browning", "given" : "S", "non-dropping-particle" : "", "parse-names" : false, "suffix" : "" }, { "dropping-particle" : "", "family" : "Browning", "given" : "B", "non-dropping-particle" : "", "parse-names" : false, "suffix" : "" }, { "dropping-particle" : "", "family" : "Loh", "given" : "P", "non-dropping-particle" : "", "parse-names" : false, "suffix" : "" }, { "dropping-particle" : "", "family" : "Baym", "given" : "M", "non-dropping-particle" : "", "parse-names" : false, "suffix" : "" }, { "dropping-particle" : "", "family" : "Berger", "given" : "B", "non-dropping-particle" : "", "parse-names" : false, "suffix" : "" }, { "dropping-particle" : "", "family" : "Sambo", "given" : "F", "non-dropping-particle" : "", "parse-names" : false, "suffix" : "" }, { "dropping-particle" : "Di", "family" : "Camillo", "given" : "B", "non-dropping-particle" : "", "parse-names" : false, "suffix" : "" }, { "dropping-particle" : "", "family" : "Toffolo", "given" : "G", "non-dropping-particle" : "", "parse-names" : false, "suffix" : "" }, { "dropping-particle" : "", "family" : "Cobelli", "given" : "C", "non-dropping-particle" : "", "parse-names" : false, "suffix" : "" } ], "container-title" : "GigaScience", "id" : "ITEM-1", "issue" : "1", "issued" : { "date-parts" : [ [ "2015" ] ] }, "page" : "7", "title" : "Second-generation PLINK: rising to the challenge of larger and richer datasets", "type" : "article-journal", "volume" : "4" }, "uris" : [ "http://www.mendeley.com/documents/?uuid=a423a56e-3089-4f24-a08d-90bafb2726d2" ] }, { "id" : "ITEM-2", "itemData" : { "DOI" : "10.1086/519795", "ISBN" : "00029297", "ISSN" : "00029297", "PMID" : "17701901", "abstract" : "Whole-genome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"author" : [ { "dropping-particle" : "", "family" : "Purcell", "given" : "S", "non-dropping-particle" : "", "parse-names" : false, "suffix" : "" }, { "dropping-particle" : "", "family" : "Neale", "given" : "B", "non-dropping-particle" : "", "parse-names" : false, "suffix" : "" }, { "dropping-particle" : "", "family" : "Todd-Brown", "given" : "K", "non-dropping-particle" : "", "parse-names" : false, "suffix" : "" }, { "dropping-particle" : "", "family" : "Thomas", "given" : "L", "non-dropping-particle" : "", "parse-names" : false, "suffix" : "" }, { "dropping-particle" : "", "family" : "Ferreira", "given" : "M A R", "non-dropping-particle" : "", "parse-names" : false, "suffix" : "" }, { "dropping-particle" : "", "family" : "Bender", "given" : "D", "non-dropping-particle" : "", "parse-names" : false, "suffix" : "" }, { "dropping-particle" : "", "family" : "Maller", "given" : "J", "non-dropping-particle" : "", "parse-names" : false, "suffix" : "" }, { "dropping-particle" : "", "family" : "Sklar", "given" : "P", "non-dropping-particle" : "", "parse-names" : false, "suffix" : "" }, { "dropping-particle" : "", "family" : "Bakker", "given" : "P I W", "non-dropping-particle" : "de", "parse-names" : false, "suffix" : "" }, { "dropping-particle" : "", "family" : "Daly", "given" : "M J", "non-dropping-particle" : "", "parse-names" : false, "suffix" : "" }, { "dropping-particle" : "", "family" : "Sham", "given" : "P C", "non-dropping-particle" : "", "parse-names" : false, "suffix" : "" } ], "container-title" : "American Journal of Human Genetics", "id" : "ITEM-2", "issue" : "3", "issued" : { "date-parts" : [ [ "2007" ] ] }, "page" : "559-575", "title" : "PLINK: A tool set for whole-genome association and population-based linkage analyses", "type" : "article-journal", "volume" : "81" }, "uris" : [ "http://www.mendeley.com/documents/?uuid=6a3d8cc2-a70d-4f44-a2a8-58715476c818" ] } ], "mendeley" : { "formattedCitation" : "(Purcell &lt;i&gt;et al.&lt;/i&gt; 2007; Chang &lt;i&gt;et al.&lt;/i&gt; 2015)", "manualFormatting" : "Purcell et al., 2007; Chang et al., 2015)", "plainTextFormattedCitation" : "(Purcell et al. 2007; Chang et al. 2015)", "previouslyFormattedCitation" : "(Purcell &lt;i&gt;et al.&lt;/i&gt; 2007; Chang &lt;i&gt;et al.&lt;/i&gt; 2015)" }, "properties" : { "noteIndex" : 0 }, "schema" : "https://github.com/citation-style-language/schema/raw/master/csl-citation.json" }</w:instrText>
      </w:r>
      <w:r>
        <w:fldChar w:fldCharType="separate"/>
      </w:r>
      <w:r w:rsidRPr="00964FA9">
        <w:rPr>
          <w:noProof/>
        </w:rPr>
        <w:t xml:space="preserve">Purcell </w:t>
      </w:r>
      <w:r w:rsidRPr="00964FA9">
        <w:rPr>
          <w:i/>
          <w:noProof/>
        </w:rPr>
        <w:t>et al.</w:t>
      </w:r>
      <w:r w:rsidRPr="00964FA9">
        <w:rPr>
          <w:noProof/>
        </w:rPr>
        <w:t xml:space="preserve">, 2007; Chang </w:t>
      </w:r>
      <w:r w:rsidRPr="00964FA9">
        <w:rPr>
          <w:i/>
          <w:noProof/>
        </w:rPr>
        <w:t>et al.</w:t>
      </w:r>
      <w:r w:rsidRPr="00964FA9">
        <w:rPr>
          <w:noProof/>
        </w:rPr>
        <w:t>, 2015)</w:t>
      </w:r>
      <w:r>
        <w:fldChar w:fldCharType="end"/>
      </w:r>
      <w:r>
        <w:t>. Three progeny showing a lower than expected Pi score when compared to their parents, these</w:t>
      </w:r>
      <w:r w:rsidRPr="007F20E9">
        <w:t xml:space="preserve"> </w:t>
      </w:r>
      <w:r>
        <w:t>were removed at this stage, as they likely had been incorrectly assigned.</w:t>
      </w:r>
    </w:p>
    <w:p w:rsidR="007927D2" w:rsidRDefault="007927D2" w:rsidP="007927D2">
      <w:r>
        <w:t xml:space="preserve">Parental genotypes were called and corrected using the </w:t>
      </w:r>
      <w:proofErr w:type="spellStart"/>
      <w:r>
        <w:t>ParentCall</w:t>
      </w:r>
      <w:proofErr w:type="spellEnd"/>
      <w:r>
        <w:t xml:space="preserve"> module from Lep-MAP2, with non-informative markers set to be removed, and the </w:t>
      </w:r>
      <w:proofErr w:type="spellStart"/>
      <w:r>
        <w:t>Zlimit</w:t>
      </w:r>
      <w:proofErr w:type="spellEnd"/>
      <w:r>
        <w:t xml:space="preserve"> set to 5. Markers were filtered using the Filtering2 module from Lep-MAP3, with </w:t>
      </w:r>
      <w:proofErr w:type="spellStart"/>
      <w:r>
        <w:t>dataTolerance</w:t>
      </w:r>
      <w:proofErr w:type="spellEnd"/>
      <w:r>
        <w:t xml:space="preserve"> of 0.01. Mapping families were then split into separate files so that the module </w:t>
      </w:r>
      <w:proofErr w:type="spellStart"/>
      <w:r w:rsidRPr="001615C3">
        <w:t>SeparateIdenticals</w:t>
      </w:r>
      <w:proofErr w:type="spellEnd"/>
      <w:r>
        <w:t xml:space="preserve"> could be run. </w:t>
      </w:r>
      <w:proofErr w:type="spellStart"/>
      <w:r w:rsidRPr="001615C3">
        <w:t>lodLimit</w:t>
      </w:r>
      <w:proofErr w:type="spellEnd"/>
      <w:r w:rsidRPr="001615C3">
        <w:t xml:space="preserve"> options </w:t>
      </w:r>
      <w:r>
        <w:t xml:space="preserve">were set </w:t>
      </w:r>
      <w:r w:rsidRPr="001615C3">
        <w:t xml:space="preserve">to 20 for maternal markers, </w:t>
      </w:r>
      <w:r>
        <w:t>log10</w:t>
      </w:r>
      <w:r w:rsidRPr="001615C3">
        <w:t xml:space="preserve"> 2^(n-</w:t>
      </w:r>
      <w:r>
        <w:t>(n/10)</w:t>
      </w:r>
      <w:r w:rsidRPr="001615C3">
        <w:t xml:space="preserve">) for paternal markers and </w:t>
      </w:r>
      <w:r>
        <w:t>log10</w:t>
      </w:r>
      <w:r w:rsidRPr="001615C3">
        <w:t xml:space="preserve"> 3^(n-</w:t>
      </w:r>
      <w:r>
        <w:t>(n/10)</w:t>
      </w:r>
      <w:r w:rsidRPr="001615C3">
        <w:t xml:space="preserve">) for </w:t>
      </w:r>
      <w:proofErr w:type="spellStart"/>
      <w:r w:rsidRPr="001615C3">
        <w:t>intercross</w:t>
      </w:r>
      <w:proofErr w:type="spellEnd"/>
      <w:r w:rsidRPr="001615C3">
        <w:t xml:space="preserve"> markers (n = number of individuals in the cross; calculation based on 2 possible genotypes for paternal markers, 3 for </w:t>
      </w:r>
      <w:proofErr w:type="spellStart"/>
      <w:r w:rsidRPr="001615C3">
        <w:t>intercross</w:t>
      </w:r>
      <w:proofErr w:type="spellEnd"/>
      <w:r w:rsidRPr="001615C3">
        <w:t xml:space="preserve"> markers, and allowing for </w:t>
      </w:r>
      <w:r>
        <w:t>10%</w:t>
      </w:r>
      <w:r w:rsidRPr="001615C3">
        <w:t xml:space="preserve"> missing individuals)</w:t>
      </w:r>
      <w:r>
        <w:t xml:space="preserve">. In addition, </w:t>
      </w:r>
      <w:proofErr w:type="spellStart"/>
      <w:r>
        <w:t>b</w:t>
      </w:r>
      <w:r w:rsidRPr="00BF525E">
        <w:t>etweenSameType</w:t>
      </w:r>
      <w:proofErr w:type="spellEnd"/>
      <w:r>
        <w:t xml:space="preserve"> was set to </w:t>
      </w:r>
      <w:r w:rsidRPr="00BF525E">
        <w:t>1</w:t>
      </w:r>
      <w:r>
        <w:t xml:space="preserve">, lod3Mode to </w:t>
      </w:r>
      <w:r w:rsidRPr="00BF525E">
        <w:t>2</w:t>
      </w:r>
      <w:r>
        <w:t xml:space="preserve"> and </w:t>
      </w:r>
      <w:proofErr w:type="spellStart"/>
      <w:r>
        <w:t>keepRate</w:t>
      </w:r>
      <w:proofErr w:type="spellEnd"/>
      <w:r>
        <w:t xml:space="preserve"> to </w:t>
      </w:r>
      <w:r w:rsidRPr="00BF525E">
        <w:t>1</w:t>
      </w:r>
      <w:r>
        <w:t xml:space="preserve">. </w:t>
      </w:r>
    </w:p>
    <w:p w:rsidR="007927D2" w:rsidRDefault="007927D2" w:rsidP="007927D2">
      <w:r>
        <w:t xml:space="preserve">The Lep-MAP3 module </w:t>
      </w:r>
      <w:proofErr w:type="spellStart"/>
      <w:r>
        <w:t>OutputData</w:t>
      </w:r>
      <w:proofErr w:type="spellEnd"/>
      <w:r>
        <w:t xml:space="preserve"> was then used to adjust the genotype posteriors file, so that identical markers were set to have exactly matching segregation, again </w:t>
      </w:r>
      <w:r w:rsidRPr="00BF525E">
        <w:t>lod3Mode</w:t>
      </w:r>
      <w:r>
        <w:t xml:space="preserve"> was set to </w:t>
      </w:r>
      <w:r w:rsidRPr="00BF525E">
        <w:t>2</w:t>
      </w:r>
      <w:r>
        <w:t xml:space="preserve"> while </w:t>
      </w:r>
      <w:proofErr w:type="spellStart"/>
      <w:r>
        <w:t>sizeLimit</w:t>
      </w:r>
      <w:proofErr w:type="spellEnd"/>
      <w:r>
        <w:t xml:space="preserve"> was set to </w:t>
      </w:r>
      <w:r w:rsidRPr="00BF525E">
        <w:t>3</w:t>
      </w:r>
      <w:r>
        <w:t xml:space="preserve">. These posterior files for each mapping family were then combined, so that the Lep-MAP3 module </w:t>
      </w:r>
      <w:r w:rsidRPr="00BE654E">
        <w:t>SeparateChromosomes2</w:t>
      </w:r>
      <w:r>
        <w:t xml:space="preserve"> could be run. </w:t>
      </w:r>
      <w:proofErr w:type="spellStart"/>
      <w:r>
        <w:t>LodLims</w:t>
      </w:r>
      <w:proofErr w:type="spellEnd"/>
      <w:r>
        <w:t xml:space="preserve"> between 5 and 15 were tested empirically, with a </w:t>
      </w:r>
      <w:proofErr w:type="spellStart"/>
      <w:r w:rsidRPr="00BE654E">
        <w:t>lodLimit</w:t>
      </w:r>
      <w:proofErr w:type="spellEnd"/>
      <w:r>
        <w:t xml:space="preserve"> of </w:t>
      </w:r>
      <w:r w:rsidRPr="00BE654E">
        <w:t>10</w:t>
      </w:r>
      <w:r>
        <w:t xml:space="preserve"> and </w:t>
      </w:r>
      <w:proofErr w:type="spellStart"/>
      <w:r>
        <w:t>sizeLimit</w:t>
      </w:r>
      <w:proofErr w:type="spellEnd"/>
      <w:r>
        <w:t xml:space="preserve"> of 200 eventually chosen. This process recovered each of the 21 chromosomes as a single linkage group (LG).</w:t>
      </w:r>
    </w:p>
    <w:p w:rsidR="007927D2" w:rsidRDefault="007927D2" w:rsidP="007927D2">
      <w:r>
        <w:t xml:space="preserve">These linkage assigned markers were then ordered with the Lep-MAP2 module </w:t>
      </w:r>
      <w:proofErr w:type="spellStart"/>
      <w:r>
        <w:t>OrderMarkers</w:t>
      </w:r>
      <w:proofErr w:type="spellEnd"/>
      <w:r>
        <w:t xml:space="preserve">, with initial recombination set to 0.05 for males and 0 for females to reflect </w:t>
      </w:r>
      <w:proofErr w:type="spellStart"/>
      <w:r>
        <w:t>achiasmatic</w:t>
      </w:r>
      <w:proofErr w:type="spellEnd"/>
      <w:r>
        <w:t xml:space="preserve"> recombination in Lepidoptera. Only male informative markers (heterozygote in the father) and </w:t>
      </w:r>
      <w:proofErr w:type="spellStart"/>
      <w:r>
        <w:t>intercross</w:t>
      </w:r>
      <w:proofErr w:type="spellEnd"/>
      <w:r>
        <w:t xml:space="preserve"> markers were used (heterozygote in the father and mother) by setting </w:t>
      </w:r>
      <w:proofErr w:type="spellStart"/>
      <w:r>
        <w:t>informativeMask</w:t>
      </w:r>
      <w:proofErr w:type="spellEnd"/>
      <w:r>
        <w:t xml:space="preserve"> to 1 and 3. Markers with error score &gt; 0.1 were then removed from the linkage map</w:t>
      </w:r>
      <w:r w:rsidRPr="00B72740">
        <w:rPr>
          <w:color w:val="FF0000"/>
        </w:rPr>
        <w:t xml:space="preserve"> </w:t>
      </w:r>
      <w:r w:rsidRPr="00B72740">
        <w:rPr>
          <w:color w:val="000000" w:themeColor="text1"/>
        </w:rPr>
        <w:t xml:space="preserve">using a </w:t>
      </w:r>
      <w:r>
        <w:rPr>
          <w:color w:val="000000" w:themeColor="text1"/>
        </w:rPr>
        <w:t xml:space="preserve">custom </w:t>
      </w:r>
      <w:proofErr w:type="spellStart"/>
      <w:r w:rsidRPr="00B72740">
        <w:rPr>
          <w:color w:val="000000" w:themeColor="text1"/>
        </w:rPr>
        <w:t>perl</w:t>
      </w:r>
      <w:proofErr w:type="spellEnd"/>
      <w:r w:rsidRPr="00B72740">
        <w:rPr>
          <w:color w:val="000000" w:themeColor="text1"/>
        </w:rPr>
        <w:t xml:space="preserve"> script, </w:t>
      </w:r>
      <w:r>
        <w:t xml:space="preserve">along with the manual removal of any markers producing large gaps in linkage groups. This gave a linkage map constructed from a small number of high quality markers. In order to extend coverage across each linkage group the Lep-MAP3 module JoinSingles2 was used, with </w:t>
      </w:r>
      <w:proofErr w:type="spellStart"/>
      <w:r>
        <w:t>lodLimit</w:t>
      </w:r>
      <w:proofErr w:type="spellEnd"/>
      <w:r>
        <w:t xml:space="preserve"> set to 40 and </w:t>
      </w:r>
      <w:proofErr w:type="spellStart"/>
      <w:r>
        <w:t>lodDifference</w:t>
      </w:r>
      <w:proofErr w:type="spellEnd"/>
      <w:r>
        <w:t xml:space="preserve"> set to 10. Again, </w:t>
      </w:r>
      <w:proofErr w:type="spellStart"/>
      <w:r>
        <w:t>informativeMask</w:t>
      </w:r>
      <w:proofErr w:type="spellEnd"/>
      <w:r>
        <w:t xml:space="preserve"> was set to 1 and 3, while lod3Mode was set to </w:t>
      </w:r>
      <w:r w:rsidRPr="00E31241">
        <w:t>3</w:t>
      </w:r>
      <w:r>
        <w:t>.</w:t>
      </w:r>
    </w:p>
    <w:p w:rsidR="007927D2" w:rsidRDefault="007927D2" w:rsidP="007927D2">
      <w:proofErr w:type="spellStart"/>
      <w:r>
        <w:t>OrderMarkers</w:t>
      </w:r>
      <w:proofErr w:type="spellEnd"/>
      <w:r>
        <w:t xml:space="preserve"> was then run again with the same initial recombination parameters, but with </w:t>
      </w:r>
      <w:proofErr w:type="spellStart"/>
      <w:r>
        <w:t>informativeMask</w:t>
      </w:r>
      <w:proofErr w:type="spellEnd"/>
      <w:r>
        <w:t xml:space="preserve"> set to 1 for most linkage groups, so that only paternally informative markers were included. Minimum error was set to 0.01. However, for Hmel2 chromosome 4 and 14 </w:t>
      </w:r>
      <w:proofErr w:type="spellStart"/>
      <w:r>
        <w:t>informativeMask</w:t>
      </w:r>
      <w:proofErr w:type="spellEnd"/>
      <w:r>
        <w:t xml:space="preserve"> was set to 1 and 3 due to a paucity of markers. Markers were removed using custom </w:t>
      </w:r>
      <w:proofErr w:type="spellStart"/>
      <w:r>
        <w:t>perl</w:t>
      </w:r>
      <w:proofErr w:type="spellEnd"/>
      <w:r>
        <w:t xml:space="preserve"> scripts as well as manual curation for three possible reasons; </w:t>
      </w:r>
      <w:proofErr w:type="spellStart"/>
      <w:r>
        <w:t>i</w:t>
      </w:r>
      <w:proofErr w:type="spellEnd"/>
      <w:r>
        <w:t xml:space="preserve">) if their error rate was greater than 0.02, ii) if they were found to have long gaps to the nearest markers, or iii) if they belonged to a Hmel2 chromosome different to that of the majority of markers on that linkage group. </w:t>
      </w:r>
      <w:r>
        <w:lastRenderedPageBreak/>
        <w:t xml:space="preserve">With these markers removed the marker order was re-evaluated with </w:t>
      </w:r>
      <w:proofErr w:type="spellStart"/>
      <w:r>
        <w:t>OrderMarkers</w:t>
      </w:r>
      <w:proofErr w:type="spellEnd"/>
      <w:r>
        <w:t xml:space="preserve"> with improve order set to 1. </w:t>
      </w:r>
    </w:p>
    <w:p w:rsidR="007927D2" w:rsidRDefault="007927D2" w:rsidP="007927D2">
      <w:r>
        <w:t xml:space="preserve">All markers informative in both mapping families were then used as a basis for the final map. For some linkage groups this alone was sufficient. However, if these markers did not cover parts of a linkage group, markers paternally informative in one mapping family but not the other were also included in the maps. Markers were also discarded if there placement did not make sense given the placement of other markers and the expected Hmel2 genome order. The </w:t>
      </w:r>
      <w:proofErr w:type="spellStart"/>
      <w:r>
        <w:t>AchiasmaticMeiosis</w:t>
      </w:r>
      <w:proofErr w:type="spellEnd"/>
      <w:r>
        <w:t xml:space="preserve"> module from Lep-Map2 was then used to convert all markers into paternally informative markers. Again, marker order was re-evaluated with </w:t>
      </w:r>
      <w:proofErr w:type="spellStart"/>
      <w:r>
        <w:t>OrderMarkers</w:t>
      </w:r>
      <w:proofErr w:type="spellEnd"/>
      <w:r>
        <w:t xml:space="preserve"> with improve order set to 1, and </w:t>
      </w:r>
      <w:proofErr w:type="spellStart"/>
      <w:r>
        <w:t>InformativeMask</w:t>
      </w:r>
      <w:proofErr w:type="spellEnd"/>
      <w:r>
        <w:t xml:space="preserve"> set to 1. Markers that had been paternally informative only in one mapping family and </w:t>
      </w:r>
      <w:proofErr w:type="spellStart"/>
      <w:r>
        <w:t>intercross</w:t>
      </w:r>
      <w:proofErr w:type="spellEnd"/>
      <w:r>
        <w:t xml:space="preserve"> in the other, were now seen to be paternally informative in both, and ordered accordingly, these gave the final 21 linkage groups for QTL analysis. Marker nomenclature gives </w:t>
      </w:r>
      <w:r w:rsidRPr="00411C3E">
        <w:t>Hmel</w:t>
      </w:r>
      <w:r>
        <w:t>2 genome scaffold followed by position.</w:t>
      </w:r>
    </w:p>
    <w:p w:rsidR="00277A04" w:rsidRPr="00235FE8" w:rsidRDefault="001E5888" w:rsidP="00277A04">
      <w:pPr>
        <w:rPr>
          <w:i/>
          <w:u w:val="single"/>
        </w:rPr>
      </w:pPr>
      <w:r>
        <w:rPr>
          <w:i/>
          <w:u w:val="single"/>
        </w:rPr>
        <w:t>Section (</w:t>
      </w:r>
      <w:r w:rsidR="00B31104">
        <w:rPr>
          <w:u w:val="single"/>
        </w:rPr>
        <w:t xml:space="preserve">b) </w:t>
      </w:r>
      <w:r w:rsidR="00277A04" w:rsidRPr="00B87248">
        <w:rPr>
          <w:u w:val="single"/>
        </w:rPr>
        <w:t>Optix</w:t>
      </w:r>
      <w:r w:rsidR="00277A04">
        <w:rPr>
          <w:i/>
          <w:u w:val="single"/>
        </w:rPr>
        <w:t xml:space="preserve"> - H</w:t>
      </w:r>
      <w:r w:rsidR="00277A04" w:rsidRPr="00235FE8">
        <w:rPr>
          <w:i/>
          <w:u w:val="single"/>
        </w:rPr>
        <w:t>indwing rays</w:t>
      </w:r>
    </w:p>
    <w:p w:rsidR="00277A04" w:rsidRDefault="00277A04" w:rsidP="00277A04">
      <w:r w:rsidRPr="00D35DD9">
        <w:t xml:space="preserve">There was no significant deviation in segregation </w:t>
      </w:r>
      <w:r>
        <w:t xml:space="preserve">of presence-absence of hindwing rays </w:t>
      </w:r>
      <w:r w:rsidRPr="004C0B8F">
        <w:t>in any of the five families</w:t>
      </w:r>
      <w:r>
        <w:t xml:space="preserve"> (Fig. 2a) from the </w:t>
      </w:r>
      <w:r w:rsidRPr="00B26F48">
        <w:t>expected ratio (3:1 for F2 cross; 1:1 for backcross) for a phenotype (</w:t>
      </w:r>
      <w:proofErr w:type="spellStart"/>
      <w:r w:rsidRPr="00B26F48">
        <w:t>rays</w:t>
      </w:r>
      <w:proofErr w:type="gramStart"/>
      <w:r w:rsidRPr="00B26F48">
        <w:t>:no</w:t>
      </w:r>
      <w:proofErr w:type="gramEnd"/>
      <w:r w:rsidRPr="00B26F48">
        <w:t>-rays</w:t>
      </w:r>
      <w:proofErr w:type="spellEnd"/>
      <w:r w:rsidRPr="00B26F48">
        <w:t xml:space="preserve">) controlled by a single Mendelian locus </w:t>
      </w:r>
      <w:r w:rsidRPr="00D35DD9">
        <w:t>(</w:t>
      </w:r>
      <w:r>
        <w:t>see Table</w:t>
      </w:r>
      <w:r w:rsidRPr="00D63BD6">
        <w:t xml:space="preserve"> </w:t>
      </w:r>
      <w:r>
        <w:t>S6</w:t>
      </w:r>
      <w:r w:rsidRPr="00D35DD9">
        <w:t xml:space="preserve">). </w:t>
      </w:r>
      <w:r>
        <w:t>82</w:t>
      </w:r>
      <w:r w:rsidRPr="00D35DD9">
        <w:t xml:space="preserve"> F2 individuals and 136 backcross individuals were </w:t>
      </w:r>
      <w:r>
        <w:t xml:space="preserve">both </w:t>
      </w:r>
      <w:proofErr w:type="spellStart"/>
      <w:r w:rsidRPr="00D35DD9">
        <w:t>phenotyped</w:t>
      </w:r>
      <w:proofErr w:type="spellEnd"/>
      <w:r w:rsidRPr="00D35DD9">
        <w:t xml:space="preserve"> and genotyped respectively</w:t>
      </w:r>
      <w:r>
        <w:t xml:space="preserve"> </w:t>
      </w:r>
      <w:r w:rsidRPr="00D35DD9">
        <w:t xml:space="preserve">from </w:t>
      </w:r>
      <w:r>
        <w:t xml:space="preserve">the two mapping </w:t>
      </w:r>
      <w:r w:rsidRPr="00D35DD9">
        <w:t>families B10 and B14</w:t>
      </w:r>
      <w:r>
        <w:t xml:space="preserve">. In both families a </w:t>
      </w:r>
      <w:r w:rsidRPr="00B464CB">
        <w:t xml:space="preserve">single QTL </w:t>
      </w:r>
      <w:r>
        <w:t>on chromosome 18 was identified (Fig. 2b).</w:t>
      </w:r>
      <w:r w:rsidRPr="00B464CB">
        <w:t xml:space="preserve"> </w:t>
      </w:r>
      <w:r>
        <w:t xml:space="preserve">The nearest markers to the LOD peaks at this QTL were </w:t>
      </w:r>
      <w:r w:rsidRPr="001E65F2">
        <w:t>Hmel218003_1098794</w:t>
      </w:r>
      <w:r>
        <w:t xml:space="preserve"> in </w:t>
      </w:r>
      <w:r w:rsidRPr="00B464CB">
        <w:t xml:space="preserve">B10 (LOD </w:t>
      </w:r>
      <w:r w:rsidRPr="001E65F2">
        <w:t>16.9</w:t>
      </w:r>
      <w:r>
        <w:t>4</w:t>
      </w:r>
      <w:r w:rsidRPr="00B464CB">
        <w:t>, P &lt; 0.004</w:t>
      </w:r>
      <w:r>
        <w:t xml:space="preserve">) </w:t>
      </w:r>
      <w:r w:rsidRPr="00D35DD9">
        <w:t>and Hmel218003_957111</w:t>
      </w:r>
      <w:r>
        <w:t xml:space="preserve"> in </w:t>
      </w:r>
      <w:r w:rsidRPr="00D35DD9">
        <w:t>B14 (LOD 40.</w:t>
      </w:r>
      <w:r>
        <w:t>65</w:t>
      </w:r>
      <w:r w:rsidRPr="00D35DD9">
        <w:t>, P &lt; 0.004</w:t>
      </w:r>
      <w:r>
        <w:t xml:space="preserve">) (see Tables S7 and S8 for </w:t>
      </w:r>
      <w:proofErr w:type="spellStart"/>
      <w:r>
        <w:t>cM</w:t>
      </w:r>
      <w:proofErr w:type="spellEnd"/>
      <w:r>
        <w:t xml:space="preserve"> positions and 95% Bayesian credible intervals)</w:t>
      </w:r>
      <w:r w:rsidRPr="00F45310">
        <w:t xml:space="preserve"> </w:t>
      </w:r>
      <w:r>
        <w:t xml:space="preserve">both of these are located near the gene </w:t>
      </w:r>
      <w:r w:rsidRPr="003334D1">
        <w:rPr>
          <w:i/>
        </w:rPr>
        <w:t>opti</w:t>
      </w:r>
      <w:r>
        <w:rPr>
          <w:i/>
        </w:rPr>
        <w:t>x</w:t>
      </w:r>
      <w:r>
        <w:t>, as expected,</w:t>
      </w:r>
      <w:r>
        <w:rPr>
          <w:i/>
        </w:rPr>
        <w:t xml:space="preserve"> </w:t>
      </w:r>
      <w:r>
        <w:t>(</w:t>
      </w:r>
      <w:r w:rsidRPr="003334D1">
        <w:t>705,604</w:t>
      </w:r>
      <w:r>
        <w:t xml:space="preserve"> </w:t>
      </w:r>
      <w:r w:rsidRPr="003334D1">
        <w:t>-</w:t>
      </w:r>
      <w:r>
        <w:t xml:space="preserve"> </w:t>
      </w:r>
      <w:r w:rsidRPr="003334D1">
        <w:t>706,407</w:t>
      </w:r>
      <w:r>
        <w:t xml:space="preserve">bp on scaffold </w:t>
      </w:r>
      <w:r w:rsidRPr="00BC4AFA">
        <w:t>Hmel218003</w:t>
      </w:r>
      <w:r>
        <w:t xml:space="preserve">) in the </w:t>
      </w:r>
      <w:r w:rsidRPr="000B3333">
        <w:rPr>
          <w:i/>
        </w:rPr>
        <w:t>H. melpomene</w:t>
      </w:r>
      <w:r>
        <w:t xml:space="preserve"> v2 genome</w:t>
      </w:r>
      <w:r>
        <w:rPr>
          <w:i/>
        </w:rPr>
        <w:t>,</w:t>
      </w:r>
      <w:r w:rsidRPr="00F45310">
        <w:t xml:space="preserve"> with </w:t>
      </w:r>
      <w:r w:rsidRPr="00D35DD9">
        <w:t>Hmel218003_957111</w:t>
      </w:r>
      <w:r>
        <w:t xml:space="preserve"> in fact the closest marker in our linkage map to </w:t>
      </w:r>
      <w:r w:rsidRPr="004D05A0">
        <w:rPr>
          <w:i/>
        </w:rPr>
        <w:t>optix</w:t>
      </w:r>
      <w:r>
        <w:t xml:space="preserve">. </w:t>
      </w:r>
      <w:r w:rsidRPr="00D35DD9">
        <w:t>Th</w:t>
      </w:r>
      <w:r>
        <w:t>e</w:t>
      </w:r>
      <w:r w:rsidRPr="00D35DD9">
        <w:t xml:space="preserve"> </w:t>
      </w:r>
      <w:r>
        <w:t>QTL</w:t>
      </w:r>
      <w:r w:rsidRPr="00D35DD9">
        <w:t xml:space="preserve"> </w:t>
      </w:r>
      <w:r>
        <w:t xml:space="preserve">at these markers </w:t>
      </w:r>
      <w:r w:rsidRPr="00D35DD9">
        <w:t xml:space="preserve">explained 61.4% and 74.8% of the variation in </w:t>
      </w:r>
      <w:r>
        <w:t xml:space="preserve">the </w:t>
      </w:r>
      <w:r w:rsidRPr="00D35DD9">
        <w:t>ray phenotype in B10 and B14 respectively</w:t>
      </w:r>
      <w:r>
        <w:t xml:space="preserve">. The close correspondence between our ray QTL in both mapping families and the known location of the rays module as defined by recombination break points (774300bp – 808500bp) on scaffold </w:t>
      </w:r>
      <w:r w:rsidRPr="00BC4AFA">
        <w:t>Hmel218003</w:t>
      </w:r>
      <w:r>
        <w:t xml:space="preserve"> </w:t>
      </w:r>
      <w:r>
        <w:fldChar w:fldCharType="begin" w:fldLock="1"/>
      </w:r>
      <w:r>
        <w:instrText>ADDIN CSL_CITATION { "citationItems" : [ { "id" : "ITEM-1", "itemData" : { "DOI" : "10.1371/journal.pbio.1002353", "ISSN" : "1545-7885", "PMID" : "26771987", "abstract" : "This is the author accepted manuscript. It is currently embargoed pending publication.", "author" : [ { "dropping-particle" : "", "family" : "Wallbank", "given" : "Richard W. R.", "non-dropping-particle" : "", "parse-names" : false, "suffix" : "" }, { "dropping-particle" : "", "family" : "Baxter", "given" : "Simon W.", "non-dropping-particle" : "", "parse-names" : false, "suffix" : "" }, { "dropping-particle" : "", "family" : "Pardo-Diaz", "given" : "Carolina", "non-dropping-particle" : "", "parse-names" : false, "suffix" : "" }, { "dropping-particle" : "", "family" : "Hanly", "given" : "Joseph J.", "non-dropping-particle" : "", "parse-names" : false, "suffix" : "" }, { "dropping-particle" : "", "family" : "Martin", "given" : "Simon H.", "non-dropping-particle" : "", "parse-names" : false, "suffix" : "" }, { "dropping-particle" : "", "family" : "Mallet", "given" : "James", "non-dropping-particle" : "", "parse-names" : false, "suffix" : "" }, { "dropping-particle" : "", "family" : "Dasmahapatra", "given" : "Kanchon K.", "non-dropping-particle" : "", "parse-names" : false, "suffix" : "" }, { "dropping-particle" : "", "family" : "Salazar", "given" : "Camilo", "non-dropping-particle" : "", "parse-names" : false, "suffix" : "" }, { "dropping-particle" : "", "family" : "Joron", "given" : "Mathieu", "non-dropping-particle" : "", "parse-names" : false, "suffix" : "" }, { "dropping-particle" : "", "family" : "Nadeau", "given" : "Nicola", "non-dropping-particle" : "", "parse-names" : false, "suffix" : "" }, { "dropping-particle" : "", "family" : "McMillan", "given" : "W. Owen", "non-dropping-particle" : "", "parse-names" : false, "suffix" : "" }, { "dropping-particle" : "", "family" : "Jiggins", "given" : "Chris D.", "non-dropping-particle" : "", "parse-names" : false, "suffix" : "" } ], "container-title" : "PLOS Biology", "editor" : [ { "dropping-particle" : "", "family" : "Barton", "given" : "Nick H.", "non-dropping-particle" : "", "parse-names" : false, "suffix" : "" } ], "id" : "ITEM-1", "issue" : "1", "issued" : { "date-parts" : [ [ "2016", "1", "15" ] ] }, "page" : "e1002353", "title" : "Evolutionary Novelty in a Butterfly Wing Pattern through Enhancer Shuffling", "type" : "article-journal", "volume" : "14" }, "uris" : [ "http://www.mendeley.com/documents/?uuid=5e9fde23-164c-4f03-897b-551b1ca61308" ] } ], "mendeley" : { "formattedCitation" : "(Wallbank &lt;i&gt;et al.&lt;/i&gt;, 2016)", "plainTextFormattedCitation" : "(Wallbank et al., 2016)", "previouslyFormattedCitation" : "(Wallbank &lt;i&gt;et al.&lt;/i&gt;, 2016)" }, "properties" : { "noteIndex" : 0 }, "schema" : "https://github.com/citation-style-language/schema/raw/master/csl-citation.json" }</w:instrText>
      </w:r>
      <w:r>
        <w:fldChar w:fldCharType="separate"/>
      </w:r>
      <w:r w:rsidRPr="001474A7">
        <w:rPr>
          <w:noProof/>
        </w:rPr>
        <w:t xml:space="preserve">(Wallbank </w:t>
      </w:r>
      <w:r w:rsidRPr="001474A7">
        <w:rPr>
          <w:i/>
          <w:noProof/>
        </w:rPr>
        <w:t>et al.</w:t>
      </w:r>
      <w:r w:rsidRPr="001474A7">
        <w:rPr>
          <w:noProof/>
        </w:rPr>
        <w:t>, 2016)</w:t>
      </w:r>
      <w:r>
        <w:fldChar w:fldCharType="end"/>
      </w:r>
      <w:r>
        <w:t xml:space="preserve"> confirms the quality of our linkage map and the reliability of QTLs we identify in the analyses</w:t>
      </w:r>
      <w:r w:rsidRPr="00177C11">
        <w:t xml:space="preserve"> </w:t>
      </w:r>
      <w:r>
        <w:t>of previously unmapped traits.</w:t>
      </w:r>
      <w:r w:rsidRPr="00546674">
        <w:t xml:space="preserve"> </w:t>
      </w:r>
    </w:p>
    <w:p w:rsidR="005C5703" w:rsidRPr="00567D77" w:rsidRDefault="001E5888" w:rsidP="005C5703">
      <w:pPr>
        <w:rPr>
          <w:i/>
          <w:u w:val="single"/>
        </w:rPr>
      </w:pPr>
      <w:r>
        <w:rPr>
          <w:i/>
          <w:u w:val="single"/>
        </w:rPr>
        <w:t>Section (</w:t>
      </w:r>
      <w:r w:rsidR="00B31104">
        <w:rPr>
          <w:i/>
          <w:u w:val="single"/>
        </w:rPr>
        <w:t xml:space="preserve">C) </w:t>
      </w:r>
      <w:r w:rsidR="005C5703" w:rsidRPr="00567D77">
        <w:rPr>
          <w:i/>
          <w:u w:val="single"/>
        </w:rPr>
        <w:t>Independence among phenotypes and sex</w:t>
      </w:r>
    </w:p>
    <w:p w:rsidR="005C5703" w:rsidRDefault="00EC7812" w:rsidP="005C5703">
      <w:r w:rsidRPr="00EC7812">
        <w:t xml:space="preserve">Of the 32 trait combinations in each brood tested, six were significantly correlated in the F2 family B10 and seven in the backcross family B14 (Tables S15-16). </w:t>
      </w:r>
      <w:r w:rsidR="005C5703" w:rsidRPr="00567D77">
        <w:t>However, only two trait combinations showed significant correlations across both broods: sex and quantitative hindwing red patterning, and the broken band and medial band shape. For the former, both PC1 and PC2 were significantly correlated with sex in the F2 brood B10 (r= -0.4 and r= -0.42 respectively), these do however cumulatively only explain 19.9% of the variation in quantitative hindwing red patterning</w:t>
      </w:r>
      <w:r w:rsidR="00F46A91">
        <w:t>.</w:t>
      </w:r>
      <w:r w:rsidR="005C5703" w:rsidRPr="00567D77">
        <w:t xml:space="preserve"> In the backcross brood B14, only PC1 was significantly correlated with sex (r= -0.72), this again only explains 14.2% of the variation in quantitative hindwing red patterning. In addition, sex was significantly correlated with PC1 from the PCA of red-orange pigmentation in the backcross brood B14 (r= -0.41) which explains 60% of the variation in this trait, in this brood. However, the effect of sex was accounted for because it was used as a covariate in the QTL analysis. Sex did not correlate with any other mapped trait. For the broken band and medial band shape, only PC1 was significantly </w:t>
      </w:r>
      <w:r w:rsidR="005C5703" w:rsidRPr="00567D77">
        <w:lastRenderedPageBreak/>
        <w:t xml:space="preserve">correlated with the broken band in the F2 brood B10 (r= -0.65), this single PC explains only 30.3% of the overall variation in medial band shape. For the backcross brood B14, both PC1 and PC2 were significantly correlated with sex (r= -0.84 and r= -0.27 respectively), together explaining 47% of the overall variation in medial band shape. The remaining traits were correlated only in one </w:t>
      </w:r>
      <w:proofErr w:type="gramStart"/>
      <w:r w:rsidR="005C5703" w:rsidRPr="00567D77">
        <w:t>brood,</w:t>
      </w:r>
      <w:proofErr w:type="gramEnd"/>
      <w:r w:rsidR="005C5703" w:rsidRPr="00567D77">
        <w:t xml:space="preserve"> </w:t>
      </w:r>
      <w:r>
        <w:t>see further details in Tables S15-16</w:t>
      </w:r>
      <w:r w:rsidR="005C5703" w:rsidRPr="00567D77">
        <w:t>.</w:t>
      </w:r>
    </w:p>
    <w:p w:rsidR="00B31104" w:rsidRDefault="00B31104" w:rsidP="005C5703"/>
    <w:p w:rsidR="00CB0B69" w:rsidRDefault="00463EB4" w:rsidP="007927D2">
      <w:r>
        <w:rPr>
          <w:noProof/>
          <w:lang w:eastAsia="en-GB"/>
        </w:rPr>
        <w:drawing>
          <wp:inline distT="0" distB="0" distL="0" distR="0">
            <wp:extent cx="5731510" cy="4538283"/>
            <wp:effectExtent l="0" t="0" r="0" b="0"/>
            <wp:docPr id="1" name="Picture 1" descr="C:\Users\Jake Morris\Google Drive\Thesis Papers\Crosses Paper Writeup\Post_PLoS_Gen\Post_PLosGen_Supp_materials\S1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ke Morris\Google Drive\Thesis Papers\Crosses Paper Writeup\Post_PLoS_Gen\Post_PLosGen_Supp_materials\S1_Fi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538283"/>
                    </a:xfrm>
                    <a:prstGeom prst="rect">
                      <a:avLst/>
                    </a:prstGeom>
                    <a:noFill/>
                    <a:ln>
                      <a:noFill/>
                    </a:ln>
                  </pic:spPr>
                </pic:pic>
              </a:graphicData>
            </a:graphic>
          </wp:inline>
        </w:drawing>
      </w:r>
      <w:bookmarkStart w:id="0" w:name="_GoBack"/>
      <w:bookmarkEnd w:id="0"/>
    </w:p>
    <w:p w:rsidR="00CB0B69" w:rsidRDefault="00CB0B69" w:rsidP="00CB0B69">
      <w:pPr>
        <w:pStyle w:val="figureandtabletext"/>
        <w:jc w:val="center"/>
      </w:pPr>
    </w:p>
    <w:p w:rsidR="00CB0B69" w:rsidRPr="009042B2" w:rsidRDefault="00CB0B69" w:rsidP="00CB0B69">
      <w:pPr>
        <w:pStyle w:val="figureandtabletext"/>
      </w:pPr>
      <w:proofErr w:type="gramStart"/>
      <w:r w:rsidRPr="009042B2">
        <w:t>Fig.</w:t>
      </w:r>
      <w:proofErr w:type="gramEnd"/>
      <w:r w:rsidRPr="009042B2">
        <w:t xml:space="preserve"> </w:t>
      </w:r>
      <w:r>
        <w:t xml:space="preserve">S1 </w:t>
      </w:r>
      <w:r w:rsidRPr="009042B2">
        <w:t xml:space="preserve">– Family trees of broods. Note that the mapping families B14 and B10 come from different grand parental (F0) crosses. </w:t>
      </w:r>
    </w:p>
    <w:p w:rsidR="00CB0B69" w:rsidRDefault="00CB0B69" w:rsidP="007927D2"/>
    <w:p w:rsidR="00CB0B69" w:rsidRPr="009042B2" w:rsidRDefault="00CB0B69" w:rsidP="00CB0B69">
      <w:pPr>
        <w:pStyle w:val="figureandtabletext"/>
      </w:pPr>
      <w:r>
        <w:rPr>
          <w:noProof/>
          <w:lang w:eastAsia="en-GB"/>
        </w:rPr>
        <w:lastRenderedPageBreak/>
        <w:drawing>
          <wp:inline distT="0" distB="0" distL="0" distR="0" wp14:anchorId="19A435B7" wp14:editId="4BAD6647">
            <wp:extent cx="4357370" cy="6660515"/>
            <wp:effectExtent l="0" t="0" r="5080" b="6985"/>
            <wp:docPr id="9" name="Picture 9" descr="C:\Users\Jake Morris\Google Drive\Thesis Papers\Crosses Paper Writeup\Post_PLoS_Gen\PLosGen_Supp_materials\S5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 Morris\Google Drive\Thesis Papers\Crosses Paper Writeup\Post_PLoS_Gen\PLosGen_Supp_materials\S5_Fi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7370" cy="6660515"/>
                    </a:xfrm>
                    <a:prstGeom prst="rect">
                      <a:avLst/>
                    </a:prstGeom>
                    <a:noFill/>
                    <a:ln>
                      <a:noFill/>
                    </a:ln>
                  </pic:spPr>
                </pic:pic>
              </a:graphicData>
            </a:graphic>
          </wp:inline>
        </w:drawing>
      </w:r>
    </w:p>
    <w:p w:rsidR="00CB0B69" w:rsidRDefault="00CB0B69" w:rsidP="00CB0B69">
      <w:pPr>
        <w:pStyle w:val="figureandtabletext"/>
      </w:pPr>
      <w:r w:rsidRPr="009042B2">
        <w:t xml:space="preserve">Fig. </w:t>
      </w:r>
      <w:r>
        <w:t>S2</w:t>
      </w:r>
      <w:r w:rsidRPr="009042B2">
        <w:t xml:space="preserve"> – Broken band variation and scoring. Showing scores of 1.0 and 0.5 for both dumbbell and Belem spot.</w:t>
      </w:r>
    </w:p>
    <w:p w:rsidR="00CB0B69" w:rsidRDefault="00CB0B69" w:rsidP="00CB0B69">
      <w:pPr>
        <w:pStyle w:val="figureandtabletext"/>
      </w:pPr>
      <w:r>
        <w:rPr>
          <w:noProof/>
          <w:lang w:eastAsia="en-GB"/>
        </w:rPr>
        <w:lastRenderedPageBreak/>
        <w:drawing>
          <wp:inline distT="0" distB="0" distL="0" distR="0" wp14:anchorId="0AC0DA5D" wp14:editId="2385DC88">
            <wp:extent cx="5396089" cy="3736080"/>
            <wp:effectExtent l="0" t="0" r="0" b="0"/>
            <wp:docPr id="14" name="Picture 14" descr="C:\Users\Jake Morris\Google Drive\Thesis Papers\Crosses Paper Writeup\Post_PLoS_Gen\PLosGen_Supp_materials\S11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ake Morris\Google Drive\Thesis Papers\Crosses Paper Writeup\Post_PLoS_Gen\PLosGen_Supp_materials\S11_Fi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089" cy="3736080"/>
                    </a:xfrm>
                    <a:prstGeom prst="rect">
                      <a:avLst/>
                    </a:prstGeom>
                    <a:noFill/>
                    <a:ln>
                      <a:noFill/>
                    </a:ln>
                  </pic:spPr>
                </pic:pic>
              </a:graphicData>
            </a:graphic>
          </wp:inline>
        </w:drawing>
      </w:r>
    </w:p>
    <w:p w:rsidR="00CB0B69" w:rsidRDefault="00CB0B69" w:rsidP="00CB0B69">
      <w:pPr>
        <w:pStyle w:val="figureandtabletext"/>
      </w:pPr>
      <w:r w:rsidRPr="009042B2">
        <w:t xml:space="preserve">Fig. </w:t>
      </w:r>
      <w:r>
        <w:t>S3</w:t>
      </w:r>
      <w:r w:rsidRPr="009042B2">
        <w:t xml:space="preserve"> – Landmarks for ventral hindwing quantitative red variation.</w:t>
      </w:r>
    </w:p>
    <w:p w:rsidR="008B55F1" w:rsidRDefault="00ED1D4B" w:rsidP="00ED1D4B">
      <w:pPr>
        <w:pStyle w:val="figureandtabletext"/>
        <w:spacing w:after="0"/>
        <w:jc w:val="center"/>
      </w:pPr>
      <w:r>
        <w:rPr>
          <w:noProof/>
          <w:lang w:eastAsia="en-GB"/>
        </w:rPr>
        <w:lastRenderedPageBreak/>
        <w:drawing>
          <wp:inline distT="0" distB="0" distL="0" distR="0">
            <wp:extent cx="5524500" cy="8061541"/>
            <wp:effectExtent l="0" t="0" r="0" b="0"/>
            <wp:docPr id="11" name="Picture 11" descr="C:\Users\Jake Morris\Google Drive\Thesis Papers\Crosses Paper Writeup\Post_PLoS_Gen\Post_PLosGen_Supp_materials\S5_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ke Morris\Google Drive\Thesis Papers\Crosses Paper Writeup\Post_PLoS_Gen\Post_PLosGen_Supp_materials\S5_Fig.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0" cy="8061541"/>
                    </a:xfrm>
                    <a:prstGeom prst="rect">
                      <a:avLst/>
                    </a:prstGeom>
                    <a:noFill/>
                    <a:ln>
                      <a:noFill/>
                    </a:ln>
                  </pic:spPr>
                </pic:pic>
              </a:graphicData>
            </a:graphic>
          </wp:inline>
        </w:drawing>
      </w:r>
    </w:p>
    <w:p w:rsidR="008B55F1" w:rsidRDefault="0085208F" w:rsidP="00173DAE">
      <w:pPr>
        <w:pStyle w:val="figureandtabletext"/>
        <w:spacing w:before="0"/>
      </w:pPr>
      <w:proofErr w:type="gramStart"/>
      <w:r w:rsidRPr="009042B2">
        <w:t>Fig.</w:t>
      </w:r>
      <w:proofErr w:type="gramEnd"/>
      <w:r w:rsidRPr="009042B2">
        <w:t xml:space="preserve"> </w:t>
      </w:r>
      <w:r>
        <w:t xml:space="preserve">S4 – Scree plots showing the proportion of variance explained for each of the first 20 PCs for quantitative hindwing variation, 30 PCs for Medial band shape, and for all six PCs from the red-orange </w:t>
      </w:r>
      <w:proofErr w:type="spellStart"/>
      <w:r>
        <w:t>pigmention</w:t>
      </w:r>
      <w:proofErr w:type="spellEnd"/>
      <w:r>
        <w:t>, from PCA analyses used for QTL mapping in each of the two families.</w:t>
      </w:r>
    </w:p>
    <w:p w:rsidR="008B55F1" w:rsidRDefault="00900AD1" w:rsidP="00900AD1">
      <w:pPr>
        <w:pStyle w:val="figureandtabletext"/>
        <w:jc w:val="center"/>
      </w:pPr>
      <w:r>
        <w:rPr>
          <w:noProof/>
          <w:lang w:eastAsia="en-GB"/>
        </w:rPr>
        <w:lastRenderedPageBreak/>
        <w:drawing>
          <wp:inline distT="0" distB="0" distL="0" distR="0">
            <wp:extent cx="3990975" cy="3162300"/>
            <wp:effectExtent l="0" t="0" r="9525" b="0"/>
            <wp:docPr id="8" name="Picture 8" descr="C:\Users\Jake Morris\Google Drive\Thesis Papers\Crosses Paper Writeup\Post_PLoS_Gen\Post_PLosGen_Supp_materials\RedPat_Goodal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ke Morris\Google Drive\Thesis Papers\Crosses Paper Writeup\Post_PLoS_Gen\Post_PLosGen_Supp_materials\RedPat_Goodall.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90975" cy="3162300"/>
                    </a:xfrm>
                    <a:prstGeom prst="rect">
                      <a:avLst/>
                    </a:prstGeom>
                    <a:noFill/>
                    <a:ln>
                      <a:noFill/>
                    </a:ln>
                  </pic:spPr>
                </pic:pic>
              </a:graphicData>
            </a:graphic>
          </wp:inline>
        </w:drawing>
      </w:r>
    </w:p>
    <w:p w:rsidR="00900AD1" w:rsidRDefault="00900AD1" w:rsidP="00900AD1">
      <w:pPr>
        <w:pStyle w:val="figureandtabletext"/>
      </w:pPr>
      <w:proofErr w:type="gramStart"/>
      <w:r w:rsidRPr="009042B2">
        <w:t>Fig.</w:t>
      </w:r>
      <w:proofErr w:type="gramEnd"/>
      <w:r w:rsidRPr="009042B2">
        <w:t xml:space="preserve"> </w:t>
      </w:r>
      <w:r>
        <w:t xml:space="preserve">S5 – Single locus multivariate QTL scans, using all PCs from S9 showing &gt;1% of the overall variation and using a Goodall test, showing the loci on chromosome 18 and 12 in the F2 family B10 and on chromosome 1 in the backcross family B14. </w:t>
      </w:r>
    </w:p>
    <w:p w:rsidR="008B55F1" w:rsidRDefault="008B55F1" w:rsidP="00900AD1">
      <w:pPr>
        <w:pStyle w:val="figureandtabletext"/>
        <w:spacing w:before="0"/>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552"/>
        <w:gridCol w:w="2268"/>
      </w:tblGrid>
      <w:tr w:rsidR="007927D2" w:rsidTr="00FD7267">
        <w:tc>
          <w:tcPr>
            <w:tcW w:w="2126" w:type="dxa"/>
            <w:tcBorders>
              <w:top w:val="single" w:sz="4" w:space="0" w:color="auto"/>
              <w:bottom w:val="single" w:sz="4" w:space="0" w:color="auto"/>
            </w:tcBorders>
          </w:tcPr>
          <w:p w:rsidR="007927D2" w:rsidRDefault="007927D2" w:rsidP="00FD7267">
            <w:pPr>
              <w:spacing w:before="120" w:line="276" w:lineRule="auto"/>
              <w:jc w:val="center"/>
            </w:pPr>
            <w:r>
              <w:t>Linkage group</w:t>
            </w:r>
          </w:p>
        </w:tc>
        <w:tc>
          <w:tcPr>
            <w:tcW w:w="2552" w:type="dxa"/>
            <w:tcBorders>
              <w:top w:val="single" w:sz="4" w:space="0" w:color="auto"/>
              <w:bottom w:val="single" w:sz="4" w:space="0" w:color="auto"/>
            </w:tcBorders>
          </w:tcPr>
          <w:p w:rsidR="007927D2" w:rsidRDefault="007927D2" w:rsidP="00FD7267">
            <w:pPr>
              <w:spacing w:before="120" w:line="276" w:lineRule="auto"/>
              <w:jc w:val="center"/>
            </w:pPr>
            <w:r>
              <w:t>Number of Markers</w:t>
            </w:r>
          </w:p>
        </w:tc>
        <w:tc>
          <w:tcPr>
            <w:tcW w:w="2268" w:type="dxa"/>
            <w:tcBorders>
              <w:top w:val="single" w:sz="4" w:space="0" w:color="auto"/>
              <w:bottom w:val="single" w:sz="4" w:space="0" w:color="auto"/>
            </w:tcBorders>
          </w:tcPr>
          <w:p w:rsidR="007927D2" w:rsidRDefault="007927D2" w:rsidP="00FD7267">
            <w:pPr>
              <w:spacing w:before="120" w:line="276" w:lineRule="auto"/>
              <w:jc w:val="center"/>
            </w:pPr>
            <w:r>
              <w:t xml:space="preserve">Size </w:t>
            </w:r>
            <w:proofErr w:type="spellStart"/>
            <w:r>
              <w:t>cM</w:t>
            </w:r>
            <w:proofErr w:type="spellEnd"/>
          </w:p>
        </w:tc>
      </w:tr>
      <w:tr w:rsidR="007927D2" w:rsidTr="00FD7267">
        <w:tc>
          <w:tcPr>
            <w:tcW w:w="2126" w:type="dxa"/>
            <w:tcBorders>
              <w:top w:val="single" w:sz="4" w:space="0" w:color="auto"/>
            </w:tcBorders>
          </w:tcPr>
          <w:p w:rsidR="007927D2" w:rsidRDefault="007927D2" w:rsidP="00FD7267">
            <w:pPr>
              <w:spacing w:before="60" w:line="276" w:lineRule="auto"/>
              <w:jc w:val="center"/>
            </w:pPr>
            <w:r>
              <w:t>1</w:t>
            </w:r>
          </w:p>
        </w:tc>
        <w:tc>
          <w:tcPr>
            <w:tcW w:w="2552" w:type="dxa"/>
            <w:tcBorders>
              <w:top w:val="single" w:sz="4" w:space="0" w:color="auto"/>
            </w:tcBorders>
          </w:tcPr>
          <w:p w:rsidR="007927D2" w:rsidRDefault="007927D2" w:rsidP="00FD7267">
            <w:pPr>
              <w:spacing w:before="60" w:line="276" w:lineRule="auto"/>
              <w:jc w:val="center"/>
            </w:pPr>
            <w:r>
              <w:t>369</w:t>
            </w:r>
          </w:p>
        </w:tc>
        <w:tc>
          <w:tcPr>
            <w:tcW w:w="2268" w:type="dxa"/>
            <w:tcBorders>
              <w:top w:val="single" w:sz="4" w:space="0" w:color="auto"/>
            </w:tcBorders>
          </w:tcPr>
          <w:p w:rsidR="007927D2" w:rsidRDefault="007927D2" w:rsidP="00FD7267">
            <w:pPr>
              <w:spacing w:before="60" w:line="276" w:lineRule="auto"/>
              <w:jc w:val="center"/>
            </w:pPr>
            <w:r>
              <w:t>103.371</w:t>
            </w:r>
          </w:p>
        </w:tc>
      </w:tr>
      <w:tr w:rsidR="007927D2" w:rsidTr="00FD7267">
        <w:tc>
          <w:tcPr>
            <w:tcW w:w="2126" w:type="dxa"/>
          </w:tcPr>
          <w:p w:rsidR="007927D2" w:rsidRDefault="007927D2" w:rsidP="00FD7267">
            <w:pPr>
              <w:spacing w:before="20" w:line="276" w:lineRule="auto"/>
              <w:jc w:val="center"/>
            </w:pPr>
            <w:r>
              <w:t>2</w:t>
            </w:r>
          </w:p>
        </w:tc>
        <w:tc>
          <w:tcPr>
            <w:tcW w:w="2552" w:type="dxa"/>
          </w:tcPr>
          <w:p w:rsidR="007927D2" w:rsidRDefault="007927D2" w:rsidP="00FD7267">
            <w:pPr>
              <w:spacing w:before="20" w:line="276" w:lineRule="auto"/>
              <w:jc w:val="center"/>
            </w:pPr>
            <w:r>
              <w:t>78</w:t>
            </w:r>
          </w:p>
        </w:tc>
        <w:tc>
          <w:tcPr>
            <w:tcW w:w="2268" w:type="dxa"/>
          </w:tcPr>
          <w:p w:rsidR="007927D2" w:rsidRDefault="007927D2" w:rsidP="00FD7267">
            <w:pPr>
              <w:spacing w:before="20" w:line="276" w:lineRule="auto"/>
              <w:jc w:val="center"/>
            </w:pPr>
            <w:r>
              <w:t>91.529</w:t>
            </w:r>
          </w:p>
        </w:tc>
      </w:tr>
      <w:tr w:rsidR="007927D2" w:rsidTr="00FD7267">
        <w:tc>
          <w:tcPr>
            <w:tcW w:w="2126" w:type="dxa"/>
          </w:tcPr>
          <w:p w:rsidR="007927D2" w:rsidRDefault="007927D2" w:rsidP="00FD7267">
            <w:pPr>
              <w:spacing w:before="20" w:line="276" w:lineRule="auto"/>
              <w:jc w:val="center"/>
            </w:pPr>
            <w:r>
              <w:t>3</w:t>
            </w:r>
          </w:p>
        </w:tc>
        <w:tc>
          <w:tcPr>
            <w:tcW w:w="2552" w:type="dxa"/>
          </w:tcPr>
          <w:p w:rsidR="007927D2" w:rsidRDefault="007927D2" w:rsidP="00FD7267">
            <w:pPr>
              <w:spacing w:before="20" w:line="276" w:lineRule="auto"/>
              <w:jc w:val="center"/>
            </w:pPr>
            <w:r>
              <w:t>99</w:t>
            </w:r>
          </w:p>
        </w:tc>
        <w:tc>
          <w:tcPr>
            <w:tcW w:w="2268" w:type="dxa"/>
          </w:tcPr>
          <w:p w:rsidR="007927D2" w:rsidRDefault="007927D2" w:rsidP="00FD7267">
            <w:pPr>
              <w:spacing w:before="20" w:line="276" w:lineRule="auto"/>
              <w:jc w:val="center"/>
            </w:pPr>
            <w:r>
              <w:t>67.009</w:t>
            </w:r>
          </w:p>
        </w:tc>
      </w:tr>
      <w:tr w:rsidR="007927D2" w:rsidTr="00FD7267">
        <w:tc>
          <w:tcPr>
            <w:tcW w:w="2126" w:type="dxa"/>
          </w:tcPr>
          <w:p w:rsidR="007927D2" w:rsidRDefault="007927D2" w:rsidP="00FD7267">
            <w:pPr>
              <w:spacing w:before="20" w:line="276" w:lineRule="auto"/>
              <w:jc w:val="center"/>
            </w:pPr>
            <w:r>
              <w:t>4</w:t>
            </w:r>
          </w:p>
        </w:tc>
        <w:tc>
          <w:tcPr>
            <w:tcW w:w="2552" w:type="dxa"/>
          </w:tcPr>
          <w:p w:rsidR="007927D2" w:rsidRDefault="007927D2" w:rsidP="00FD7267">
            <w:pPr>
              <w:spacing w:before="20" w:line="276" w:lineRule="auto"/>
              <w:jc w:val="center"/>
            </w:pPr>
            <w:r>
              <w:t>183</w:t>
            </w:r>
          </w:p>
        </w:tc>
        <w:tc>
          <w:tcPr>
            <w:tcW w:w="2268" w:type="dxa"/>
          </w:tcPr>
          <w:p w:rsidR="007927D2" w:rsidRDefault="007927D2" w:rsidP="00FD7267">
            <w:pPr>
              <w:spacing w:before="20" w:line="276" w:lineRule="auto"/>
              <w:jc w:val="center"/>
            </w:pPr>
            <w:r>
              <w:t>116.477</w:t>
            </w:r>
          </w:p>
        </w:tc>
      </w:tr>
      <w:tr w:rsidR="007927D2" w:rsidTr="00FD7267">
        <w:tc>
          <w:tcPr>
            <w:tcW w:w="2126" w:type="dxa"/>
          </w:tcPr>
          <w:p w:rsidR="007927D2" w:rsidRDefault="007927D2" w:rsidP="00FD7267">
            <w:pPr>
              <w:spacing w:before="20" w:line="276" w:lineRule="auto"/>
              <w:jc w:val="center"/>
            </w:pPr>
            <w:r>
              <w:t>5</w:t>
            </w:r>
          </w:p>
        </w:tc>
        <w:tc>
          <w:tcPr>
            <w:tcW w:w="2552" w:type="dxa"/>
          </w:tcPr>
          <w:p w:rsidR="007927D2" w:rsidRDefault="007927D2" w:rsidP="00FD7267">
            <w:pPr>
              <w:spacing w:before="20" w:line="276" w:lineRule="auto"/>
              <w:jc w:val="center"/>
            </w:pPr>
            <w:r>
              <w:t>113</w:t>
            </w:r>
          </w:p>
        </w:tc>
        <w:tc>
          <w:tcPr>
            <w:tcW w:w="2268" w:type="dxa"/>
          </w:tcPr>
          <w:p w:rsidR="007927D2" w:rsidRDefault="007927D2" w:rsidP="00FD7267">
            <w:pPr>
              <w:spacing w:before="20" w:line="276" w:lineRule="auto"/>
              <w:jc w:val="center"/>
            </w:pPr>
            <w:r>
              <w:t>67.739</w:t>
            </w:r>
          </w:p>
        </w:tc>
      </w:tr>
      <w:tr w:rsidR="007927D2" w:rsidTr="00FD7267">
        <w:tc>
          <w:tcPr>
            <w:tcW w:w="2126" w:type="dxa"/>
          </w:tcPr>
          <w:p w:rsidR="007927D2" w:rsidRDefault="007927D2" w:rsidP="00FD7267">
            <w:pPr>
              <w:spacing w:before="20" w:line="276" w:lineRule="auto"/>
              <w:jc w:val="center"/>
            </w:pPr>
            <w:r>
              <w:t>6</w:t>
            </w:r>
          </w:p>
        </w:tc>
        <w:tc>
          <w:tcPr>
            <w:tcW w:w="2552" w:type="dxa"/>
          </w:tcPr>
          <w:p w:rsidR="007927D2" w:rsidRDefault="007927D2" w:rsidP="00FD7267">
            <w:pPr>
              <w:spacing w:before="20" w:line="276" w:lineRule="auto"/>
              <w:jc w:val="center"/>
            </w:pPr>
            <w:r>
              <w:t>292</w:t>
            </w:r>
          </w:p>
        </w:tc>
        <w:tc>
          <w:tcPr>
            <w:tcW w:w="2268" w:type="dxa"/>
          </w:tcPr>
          <w:p w:rsidR="007927D2" w:rsidRDefault="007927D2" w:rsidP="00FD7267">
            <w:pPr>
              <w:spacing w:before="20" w:line="276" w:lineRule="auto"/>
              <w:jc w:val="center"/>
            </w:pPr>
            <w:r>
              <w:t>79.152</w:t>
            </w:r>
          </w:p>
        </w:tc>
      </w:tr>
      <w:tr w:rsidR="007927D2" w:rsidTr="00FD7267">
        <w:tc>
          <w:tcPr>
            <w:tcW w:w="2126" w:type="dxa"/>
          </w:tcPr>
          <w:p w:rsidR="007927D2" w:rsidRDefault="007927D2" w:rsidP="00FD7267">
            <w:pPr>
              <w:spacing w:before="20" w:line="276" w:lineRule="auto"/>
              <w:jc w:val="center"/>
            </w:pPr>
            <w:r>
              <w:t>7</w:t>
            </w:r>
          </w:p>
        </w:tc>
        <w:tc>
          <w:tcPr>
            <w:tcW w:w="2552" w:type="dxa"/>
          </w:tcPr>
          <w:p w:rsidR="007927D2" w:rsidRDefault="007927D2" w:rsidP="00FD7267">
            <w:pPr>
              <w:spacing w:before="20" w:line="276" w:lineRule="auto"/>
              <w:jc w:val="center"/>
            </w:pPr>
            <w:r>
              <w:t>113</w:t>
            </w:r>
          </w:p>
        </w:tc>
        <w:tc>
          <w:tcPr>
            <w:tcW w:w="2268" w:type="dxa"/>
          </w:tcPr>
          <w:p w:rsidR="007927D2" w:rsidRDefault="007927D2" w:rsidP="00FD7267">
            <w:pPr>
              <w:spacing w:before="20" w:line="276" w:lineRule="auto"/>
              <w:jc w:val="center"/>
            </w:pPr>
            <w:r>
              <w:t>65.528</w:t>
            </w:r>
          </w:p>
        </w:tc>
      </w:tr>
      <w:tr w:rsidR="007927D2" w:rsidTr="00FD7267">
        <w:tc>
          <w:tcPr>
            <w:tcW w:w="2126" w:type="dxa"/>
          </w:tcPr>
          <w:p w:rsidR="007927D2" w:rsidRDefault="007927D2" w:rsidP="00FD7267">
            <w:pPr>
              <w:spacing w:before="20" w:line="276" w:lineRule="auto"/>
              <w:jc w:val="center"/>
            </w:pPr>
            <w:r>
              <w:t>8</w:t>
            </w:r>
          </w:p>
        </w:tc>
        <w:tc>
          <w:tcPr>
            <w:tcW w:w="2552" w:type="dxa"/>
          </w:tcPr>
          <w:p w:rsidR="007927D2" w:rsidRDefault="007927D2" w:rsidP="00FD7267">
            <w:pPr>
              <w:spacing w:before="20" w:line="276" w:lineRule="auto"/>
              <w:jc w:val="center"/>
            </w:pPr>
            <w:r>
              <w:t>131</w:t>
            </w:r>
          </w:p>
        </w:tc>
        <w:tc>
          <w:tcPr>
            <w:tcW w:w="2268" w:type="dxa"/>
          </w:tcPr>
          <w:p w:rsidR="007927D2" w:rsidRDefault="007927D2" w:rsidP="00FD7267">
            <w:pPr>
              <w:spacing w:before="20" w:line="276" w:lineRule="auto"/>
              <w:jc w:val="center"/>
            </w:pPr>
            <w:r>
              <w:t>82.152</w:t>
            </w:r>
          </w:p>
        </w:tc>
      </w:tr>
      <w:tr w:rsidR="007927D2" w:rsidTr="00FD7267">
        <w:tc>
          <w:tcPr>
            <w:tcW w:w="2126" w:type="dxa"/>
          </w:tcPr>
          <w:p w:rsidR="007927D2" w:rsidRDefault="007927D2" w:rsidP="00FD7267">
            <w:pPr>
              <w:spacing w:before="20" w:line="276" w:lineRule="auto"/>
              <w:jc w:val="center"/>
            </w:pPr>
            <w:r>
              <w:t>9</w:t>
            </w:r>
          </w:p>
        </w:tc>
        <w:tc>
          <w:tcPr>
            <w:tcW w:w="2552" w:type="dxa"/>
          </w:tcPr>
          <w:p w:rsidR="007927D2" w:rsidRDefault="007927D2" w:rsidP="00FD7267">
            <w:pPr>
              <w:spacing w:before="20" w:line="276" w:lineRule="auto"/>
              <w:jc w:val="center"/>
            </w:pPr>
            <w:r>
              <w:t>122</w:t>
            </w:r>
          </w:p>
        </w:tc>
        <w:tc>
          <w:tcPr>
            <w:tcW w:w="2268" w:type="dxa"/>
          </w:tcPr>
          <w:p w:rsidR="007927D2" w:rsidRDefault="007927D2" w:rsidP="00FD7267">
            <w:pPr>
              <w:spacing w:before="20" w:line="276" w:lineRule="auto"/>
              <w:jc w:val="center"/>
            </w:pPr>
            <w:r>
              <w:t>70.256</w:t>
            </w:r>
          </w:p>
        </w:tc>
      </w:tr>
      <w:tr w:rsidR="007927D2" w:rsidTr="00FD7267">
        <w:tc>
          <w:tcPr>
            <w:tcW w:w="2126" w:type="dxa"/>
          </w:tcPr>
          <w:p w:rsidR="007927D2" w:rsidRDefault="007927D2" w:rsidP="00FD7267">
            <w:pPr>
              <w:spacing w:before="20" w:line="276" w:lineRule="auto"/>
              <w:jc w:val="center"/>
            </w:pPr>
            <w:r>
              <w:t>10</w:t>
            </w:r>
          </w:p>
        </w:tc>
        <w:tc>
          <w:tcPr>
            <w:tcW w:w="2552" w:type="dxa"/>
          </w:tcPr>
          <w:p w:rsidR="007927D2" w:rsidRDefault="007927D2" w:rsidP="00FD7267">
            <w:pPr>
              <w:spacing w:before="20" w:line="276" w:lineRule="auto"/>
              <w:jc w:val="center"/>
            </w:pPr>
            <w:r>
              <w:t>277</w:t>
            </w:r>
          </w:p>
        </w:tc>
        <w:tc>
          <w:tcPr>
            <w:tcW w:w="2268" w:type="dxa"/>
          </w:tcPr>
          <w:p w:rsidR="007927D2" w:rsidRDefault="007927D2" w:rsidP="00FD7267">
            <w:pPr>
              <w:spacing w:before="20" w:line="276" w:lineRule="auto"/>
              <w:jc w:val="center"/>
            </w:pPr>
            <w:r>
              <w:t>83.258</w:t>
            </w:r>
          </w:p>
        </w:tc>
      </w:tr>
      <w:tr w:rsidR="007927D2" w:rsidTr="00FD7267">
        <w:tc>
          <w:tcPr>
            <w:tcW w:w="2126" w:type="dxa"/>
          </w:tcPr>
          <w:p w:rsidR="007927D2" w:rsidRDefault="007927D2" w:rsidP="00FD7267">
            <w:pPr>
              <w:spacing w:before="20" w:line="276" w:lineRule="auto"/>
              <w:jc w:val="center"/>
            </w:pPr>
            <w:r>
              <w:t>11</w:t>
            </w:r>
          </w:p>
        </w:tc>
        <w:tc>
          <w:tcPr>
            <w:tcW w:w="2552" w:type="dxa"/>
          </w:tcPr>
          <w:p w:rsidR="007927D2" w:rsidRDefault="007927D2" w:rsidP="00FD7267">
            <w:pPr>
              <w:spacing w:before="20" w:line="276" w:lineRule="auto"/>
              <w:jc w:val="center"/>
            </w:pPr>
            <w:r>
              <w:t>244</w:t>
            </w:r>
          </w:p>
        </w:tc>
        <w:tc>
          <w:tcPr>
            <w:tcW w:w="2268" w:type="dxa"/>
          </w:tcPr>
          <w:p w:rsidR="007927D2" w:rsidRDefault="007927D2" w:rsidP="00FD7267">
            <w:pPr>
              <w:spacing w:before="20" w:line="276" w:lineRule="auto"/>
              <w:jc w:val="center"/>
            </w:pPr>
            <w:r>
              <w:t>100.516</w:t>
            </w:r>
          </w:p>
        </w:tc>
      </w:tr>
      <w:tr w:rsidR="007927D2" w:rsidTr="00FD7267">
        <w:tc>
          <w:tcPr>
            <w:tcW w:w="2126" w:type="dxa"/>
          </w:tcPr>
          <w:p w:rsidR="007927D2" w:rsidRDefault="007927D2" w:rsidP="00FD7267">
            <w:pPr>
              <w:spacing w:before="20" w:line="276" w:lineRule="auto"/>
              <w:jc w:val="center"/>
            </w:pPr>
            <w:r>
              <w:t>12</w:t>
            </w:r>
          </w:p>
        </w:tc>
        <w:tc>
          <w:tcPr>
            <w:tcW w:w="2552" w:type="dxa"/>
          </w:tcPr>
          <w:p w:rsidR="007927D2" w:rsidRDefault="007927D2" w:rsidP="00FD7267">
            <w:pPr>
              <w:spacing w:before="20" w:line="276" w:lineRule="auto"/>
              <w:jc w:val="center"/>
            </w:pPr>
            <w:r>
              <w:t>318</w:t>
            </w:r>
          </w:p>
        </w:tc>
        <w:tc>
          <w:tcPr>
            <w:tcW w:w="2268" w:type="dxa"/>
          </w:tcPr>
          <w:p w:rsidR="007927D2" w:rsidRDefault="007927D2" w:rsidP="00FD7267">
            <w:pPr>
              <w:spacing w:before="20" w:line="276" w:lineRule="auto"/>
              <w:jc w:val="center"/>
            </w:pPr>
            <w:r>
              <w:t>93.326</w:t>
            </w:r>
          </w:p>
        </w:tc>
      </w:tr>
      <w:tr w:rsidR="007927D2" w:rsidTr="00FD7267">
        <w:tc>
          <w:tcPr>
            <w:tcW w:w="2126" w:type="dxa"/>
          </w:tcPr>
          <w:p w:rsidR="007927D2" w:rsidRDefault="007927D2" w:rsidP="00FD7267">
            <w:pPr>
              <w:spacing w:before="20" w:line="276" w:lineRule="auto"/>
              <w:jc w:val="center"/>
            </w:pPr>
            <w:r>
              <w:t>13</w:t>
            </w:r>
          </w:p>
        </w:tc>
        <w:tc>
          <w:tcPr>
            <w:tcW w:w="2552" w:type="dxa"/>
          </w:tcPr>
          <w:p w:rsidR="007927D2" w:rsidRDefault="007927D2" w:rsidP="00FD7267">
            <w:pPr>
              <w:spacing w:before="20" w:line="276" w:lineRule="auto"/>
              <w:jc w:val="center"/>
            </w:pPr>
            <w:r>
              <w:t>240</w:t>
            </w:r>
          </w:p>
        </w:tc>
        <w:tc>
          <w:tcPr>
            <w:tcW w:w="2268" w:type="dxa"/>
          </w:tcPr>
          <w:p w:rsidR="007927D2" w:rsidRDefault="007927D2" w:rsidP="00FD7267">
            <w:pPr>
              <w:spacing w:before="20" w:line="276" w:lineRule="auto"/>
              <w:jc w:val="center"/>
            </w:pPr>
            <w:r>
              <w:t>84.959</w:t>
            </w:r>
          </w:p>
        </w:tc>
      </w:tr>
      <w:tr w:rsidR="007927D2" w:rsidTr="00FD7267">
        <w:tc>
          <w:tcPr>
            <w:tcW w:w="2126" w:type="dxa"/>
          </w:tcPr>
          <w:p w:rsidR="007927D2" w:rsidRDefault="007927D2" w:rsidP="00FD7267">
            <w:pPr>
              <w:spacing w:before="20" w:line="276" w:lineRule="auto"/>
              <w:jc w:val="center"/>
            </w:pPr>
            <w:r>
              <w:t>14</w:t>
            </w:r>
          </w:p>
        </w:tc>
        <w:tc>
          <w:tcPr>
            <w:tcW w:w="2552" w:type="dxa"/>
          </w:tcPr>
          <w:p w:rsidR="007927D2" w:rsidRDefault="007927D2" w:rsidP="00FD7267">
            <w:pPr>
              <w:spacing w:before="20" w:line="276" w:lineRule="auto"/>
              <w:jc w:val="center"/>
            </w:pPr>
            <w:r>
              <w:t>232</w:t>
            </w:r>
          </w:p>
        </w:tc>
        <w:tc>
          <w:tcPr>
            <w:tcW w:w="2268" w:type="dxa"/>
          </w:tcPr>
          <w:p w:rsidR="007927D2" w:rsidRDefault="007927D2" w:rsidP="00FD7267">
            <w:pPr>
              <w:spacing w:before="20" w:line="276" w:lineRule="auto"/>
              <w:jc w:val="center"/>
            </w:pPr>
            <w:r>
              <w:t>129.396</w:t>
            </w:r>
          </w:p>
        </w:tc>
      </w:tr>
      <w:tr w:rsidR="007927D2" w:rsidTr="00FD7267">
        <w:tc>
          <w:tcPr>
            <w:tcW w:w="2126" w:type="dxa"/>
          </w:tcPr>
          <w:p w:rsidR="007927D2" w:rsidRDefault="007927D2" w:rsidP="00FD7267">
            <w:pPr>
              <w:spacing w:before="20" w:line="276" w:lineRule="auto"/>
              <w:jc w:val="center"/>
            </w:pPr>
            <w:r>
              <w:t>15</w:t>
            </w:r>
          </w:p>
        </w:tc>
        <w:tc>
          <w:tcPr>
            <w:tcW w:w="2552" w:type="dxa"/>
          </w:tcPr>
          <w:p w:rsidR="007927D2" w:rsidRDefault="007927D2" w:rsidP="00FD7267">
            <w:pPr>
              <w:spacing w:before="20" w:line="276" w:lineRule="auto"/>
              <w:jc w:val="center"/>
            </w:pPr>
            <w:r>
              <w:t>131</w:t>
            </w:r>
          </w:p>
        </w:tc>
        <w:tc>
          <w:tcPr>
            <w:tcW w:w="2268" w:type="dxa"/>
          </w:tcPr>
          <w:p w:rsidR="007927D2" w:rsidRDefault="007927D2" w:rsidP="00FD7267">
            <w:pPr>
              <w:spacing w:before="20" w:line="276" w:lineRule="auto"/>
              <w:jc w:val="center"/>
            </w:pPr>
            <w:r>
              <w:t>65.666</w:t>
            </w:r>
          </w:p>
        </w:tc>
      </w:tr>
      <w:tr w:rsidR="007927D2" w:rsidTr="00FD7267">
        <w:tc>
          <w:tcPr>
            <w:tcW w:w="2126" w:type="dxa"/>
          </w:tcPr>
          <w:p w:rsidR="007927D2" w:rsidRDefault="007927D2" w:rsidP="00FD7267">
            <w:pPr>
              <w:spacing w:before="20" w:line="276" w:lineRule="auto"/>
              <w:jc w:val="center"/>
            </w:pPr>
            <w:r>
              <w:t>16</w:t>
            </w:r>
          </w:p>
        </w:tc>
        <w:tc>
          <w:tcPr>
            <w:tcW w:w="2552" w:type="dxa"/>
          </w:tcPr>
          <w:p w:rsidR="007927D2" w:rsidRDefault="007927D2" w:rsidP="00FD7267">
            <w:pPr>
              <w:spacing w:before="20" w:line="276" w:lineRule="auto"/>
              <w:jc w:val="center"/>
            </w:pPr>
            <w:r>
              <w:t>130</w:t>
            </w:r>
          </w:p>
        </w:tc>
        <w:tc>
          <w:tcPr>
            <w:tcW w:w="2268" w:type="dxa"/>
          </w:tcPr>
          <w:p w:rsidR="007927D2" w:rsidRDefault="007927D2" w:rsidP="00FD7267">
            <w:pPr>
              <w:spacing w:before="20" w:line="276" w:lineRule="auto"/>
              <w:jc w:val="center"/>
            </w:pPr>
            <w:r>
              <w:t>72.134</w:t>
            </w:r>
          </w:p>
        </w:tc>
      </w:tr>
      <w:tr w:rsidR="007927D2" w:rsidTr="00FD7267">
        <w:tc>
          <w:tcPr>
            <w:tcW w:w="2126" w:type="dxa"/>
          </w:tcPr>
          <w:p w:rsidR="007927D2" w:rsidRDefault="007927D2" w:rsidP="00FD7267">
            <w:pPr>
              <w:spacing w:before="20" w:line="276" w:lineRule="auto"/>
              <w:jc w:val="center"/>
            </w:pPr>
            <w:r>
              <w:t>17</w:t>
            </w:r>
          </w:p>
        </w:tc>
        <w:tc>
          <w:tcPr>
            <w:tcW w:w="2552" w:type="dxa"/>
          </w:tcPr>
          <w:p w:rsidR="007927D2" w:rsidRDefault="007927D2" w:rsidP="00FD7267">
            <w:pPr>
              <w:spacing w:before="20" w:line="276" w:lineRule="auto"/>
              <w:jc w:val="center"/>
            </w:pPr>
            <w:r>
              <w:t>185</w:t>
            </w:r>
          </w:p>
        </w:tc>
        <w:tc>
          <w:tcPr>
            <w:tcW w:w="2268" w:type="dxa"/>
          </w:tcPr>
          <w:p w:rsidR="007927D2" w:rsidRDefault="007927D2" w:rsidP="00FD7267">
            <w:pPr>
              <w:spacing w:before="20" w:line="276" w:lineRule="auto"/>
              <w:jc w:val="center"/>
            </w:pPr>
            <w:r>
              <w:t>72.755</w:t>
            </w:r>
          </w:p>
        </w:tc>
      </w:tr>
      <w:tr w:rsidR="007927D2" w:rsidTr="00FD7267">
        <w:tc>
          <w:tcPr>
            <w:tcW w:w="2126" w:type="dxa"/>
          </w:tcPr>
          <w:p w:rsidR="007927D2" w:rsidRDefault="007927D2" w:rsidP="00FD7267">
            <w:pPr>
              <w:spacing w:before="20" w:line="276" w:lineRule="auto"/>
              <w:jc w:val="center"/>
            </w:pPr>
            <w:r>
              <w:lastRenderedPageBreak/>
              <w:t>18</w:t>
            </w:r>
          </w:p>
        </w:tc>
        <w:tc>
          <w:tcPr>
            <w:tcW w:w="2552" w:type="dxa"/>
          </w:tcPr>
          <w:p w:rsidR="007927D2" w:rsidRDefault="007927D2" w:rsidP="00FD7267">
            <w:pPr>
              <w:spacing w:before="20" w:line="276" w:lineRule="auto"/>
              <w:jc w:val="center"/>
            </w:pPr>
            <w:r>
              <w:t>225</w:t>
            </w:r>
          </w:p>
        </w:tc>
        <w:tc>
          <w:tcPr>
            <w:tcW w:w="2268" w:type="dxa"/>
          </w:tcPr>
          <w:p w:rsidR="007927D2" w:rsidRDefault="007927D2" w:rsidP="00FD7267">
            <w:pPr>
              <w:spacing w:before="20" w:line="276" w:lineRule="auto"/>
              <w:jc w:val="center"/>
            </w:pPr>
            <w:r>
              <w:t>105.426</w:t>
            </w:r>
          </w:p>
        </w:tc>
      </w:tr>
      <w:tr w:rsidR="007927D2" w:rsidTr="00FD7267">
        <w:tc>
          <w:tcPr>
            <w:tcW w:w="2126" w:type="dxa"/>
          </w:tcPr>
          <w:p w:rsidR="007927D2" w:rsidRDefault="007927D2" w:rsidP="00FD7267">
            <w:pPr>
              <w:spacing w:before="20" w:line="276" w:lineRule="auto"/>
              <w:jc w:val="center"/>
            </w:pPr>
            <w:r>
              <w:t>19</w:t>
            </w:r>
          </w:p>
        </w:tc>
        <w:tc>
          <w:tcPr>
            <w:tcW w:w="2552" w:type="dxa"/>
          </w:tcPr>
          <w:p w:rsidR="007927D2" w:rsidRDefault="007927D2" w:rsidP="00FD7267">
            <w:pPr>
              <w:spacing w:before="20" w:line="276" w:lineRule="auto"/>
              <w:jc w:val="center"/>
            </w:pPr>
            <w:r>
              <w:t>150</w:t>
            </w:r>
          </w:p>
        </w:tc>
        <w:tc>
          <w:tcPr>
            <w:tcW w:w="2268" w:type="dxa"/>
          </w:tcPr>
          <w:p w:rsidR="007927D2" w:rsidRDefault="007927D2" w:rsidP="00FD7267">
            <w:pPr>
              <w:spacing w:before="20" w:line="276" w:lineRule="auto"/>
              <w:jc w:val="center"/>
            </w:pPr>
            <w:r>
              <w:t>118.259</w:t>
            </w:r>
          </w:p>
        </w:tc>
      </w:tr>
      <w:tr w:rsidR="007927D2" w:rsidTr="00FD7267">
        <w:tc>
          <w:tcPr>
            <w:tcW w:w="2126" w:type="dxa"/>
          </w:tcPr>
          <w:p w:rsidR="007927D2" w:rsidRDefault="007927D2" w:rsidP="00FD7267">
            <w:pPr>
              <w:spacing w:before="20" w:line="276" w:lineRule="auto"/>
              <w:jc w:val="center"/>
            </w:pPr>
            <w:r>
              <w:t>20</w:t>
            </w:r>
          </w:p>
        </w:tc>
        <w:tc>
          <w:tcPr>
            <w:tcW w:w="2552" w:type="dxa"/>
          </w:tcPr>
          <w:p w:rsidR="007927D2" w:rsidRDefault="007927D2" w:rsidP="00FD7267">
            <w:pPr>
              <w:spacing w:before="20" w:line="276" w:lineRule="auto"/>
              <w:jc w:val="center"/>
            </w:pPr>
            <w:r>
              <w:t>67</w:t>
            </w:r>
          </w:p>
        </w:tc>
        <w:tc>
          <w:tcPr>
            <w:tcW w:w="2268" w:type="dxa"/>
          </w:tcPr>
          <w:p w:rsidR="007927D2" w:rsidRDefault="007927D2" w:rsidP="00FD7267">
            <w:pPr>
              <w:spacing w:before="20" w:line="276" w:lineRule="auto"/>
              <w:jc w:val="center"/>
            </w:pPr>
            <w:r>
              <w:t>61.955</w:t>
            </w:r>
          </w:p>
        </w:tc>
      </w:tr>
      <w:tr w:rsidR="007927D2" w:rsidTr="00FD7267">
        <w:tc>
          <w:tcPr>
            <w:tcW w:w="2126" w:type="dxa"/>
          </w:tcPr>
          <w:p w:rsidR="007927D2" w:rsidRDefault="007927D2" w:rsidP="00FD7267">
            <w:pPr>
              <w:spacing w:before="20" w:line="276" w:lineRule="auto"/>
              <w:jc w:val="center"/>
            </w:pPr>
            <w:r>
              <w:t xml:space="preserve">     21(Z)</w:t>
            </w:r>
          </w:p>
        </w:tc>
        <w:tc>
          <w:tcPr>
            <w:tcW w:w="2552" w:type="dxa"/>
          </w:tcPr>
          <w:p w:rsidR="007927D2" w:rsidRDefault="007927D2" w:rsidP="00FD7267">
            <w:pPr>
              <w:spacing w:before="20" w:line="276" w:lineRule="auto"/>
              <w:jc w:val="center"/>
            </w:pPr>
            <w:r>
              <w:t>180</w:t>
            </w:r>
          </w:p>
        </w:tc>
        <w:tc>
          <w:tcPr>
            <w:tcW w:w="2268" w:type="dxa"/>
          </w:tcPr>
          <w:p w:rsidR="007927D2" w:rsidRDefault="007927D2" w:rsidP="00FD7267">
            <w:pPr>
              <w:spacing w:before="20" w:line="276" w:lineRule="auto"/>
              <w:jc w:val="center"/>
            </w:pPr>
            <w:r>
              <w:t>63.341</w:t>
            </w:r>
          </w:p>
        </w:tc>
      </w:tr>
      <w:tr w:rsidR="007927D2" w:rsidTr="00FD7267">
        <w:tc>
          <w:tcPr>
            <w:tcW w:w="2126" w:type="dxa"/>
          </w:tcPr>
          <w:p w:rsidR="007927D2" w:rsidRPr="00DF5D97" w:rsidRDefault="007927D2" w:rsidP="00FD7267">
            <w:pPr>
              <w:spacing w:before="20" w:line="276" w:lineRule="auto"/>
              <w:jc w:val="center"/>
              <w:rPr>
                <w:b/>
              </w:rPr>
            </w:pPr>
            <w:r w:rsidRPr="00DF5D97">
              <w:rPr>
                <w:b/>
              </w:rPr>
              <w:t>Total</w:t>
            </w:r>
          </w:p>
        </w:tc>
        <w:tc>
          <w:tcPr>
            <w:tcW w:w="2552" w:type="dxa"/>
          </w:tcPr>
          <w:p w:rsidR="007927D2" w:rsidRPr="00DF5D97" w:rsidRDefault="007927D2" w:rsidP="00FD7267">
            <w:pPr>
              <w:spacing w:before="20" w:line="276" w:lineRule="auto"/>
              <w:jc w:val="center"/>
              <w:rPr>
                <w:b/>
              </w:rPr>
            </w:pPr>
            <w:r w:rsidRPr="00DF5D97">
              <w:rPr>
                <w:b/>
              </w:rPr>
              <w:t>3879</w:t>
            </w:r>
          </w:p>
        </w:tc>
        <w:tc>
          <w:tcPr>
            <w:tcW w:w="2268" w:type="dxa"/>
          </w:tcPr>
          <w:p w:rsidR="007927D2" w:rsidRPr="00DF5D97" w:rsidRDefault="007927D2" w:rsidP="00FD7267">
            <w:pPr>
              <w:spacing w:before="20" w:line="276" w:lineRule="auto"/>
              <w:jc w:val="center"/>
              <w:rPr>
                <w:b/>
              </w:rPr>
            </w:pPr>
            <w:r w:rsidRPr="00DF5D97">
              <w:rPr>
                <w:b/>
              </w:rPr>
              <w:t>1690.833</w:t>
            </w:r>
          </w:p>
        </w:tc>
      </w:tr>
    </w:tbl>
    <w:p w:rsidR="007927D2" w:rsidRPr="007927D2" w:rsidRDefault="007927D2" w:rsidP="007927D2"/>
    <w:p w:rsidR="00F07268" w:rsidRPr="009042B2" w:rsidRDefault="00CB0B69" w:rsidP="00F07268">
      <w:pPr>
        <w:pStyle w:val="figureandtabletext"/>
      </w:pPr>
      <w:proofErr w:type="gramStart"/>
      <w:r>
        <w:t>S</w:t>
      </w:r>
      <w:r w:rsidR="00900AD1">
        <w:t>6</w:t>
      </w:r>
      <w:r w:rsidR="00F07268" w:rsidRPr="009042B2">
        <w:t xml:space="preserve"> Table – The size in </w:t>
      </w:r>
      <w:proofErr w:type="spellStart"/>
      <w:r w:rsidR="00F07268" w:rsidRPr="009042B2">
        <w:t>centiMorgans</w:t>
      </w:r>
      <w:proofErr w:type="spellEnd"/>
      <w:r w:rsidR="00F07268" w:rsidRPr="009042B2">
        <w:t xml:space="preserve"> (</w:t>
      </w:r>
      <w:proofErr w:type="spellStart"/>
      <w:r w:rsidR="00F07268" w:rsidRPr="009042B2">
        <w:t>cM</w:t>
      </w:r>
      <w:proofErr w:type="spellEnd"/>
      <w:r w:rsidR="00F07268" w:rsidRPr="009042B2">
        <w:t xml:space="preserve">) and the number of markers across each linkage </w:t>
      </w:r>
      <w:proofErr w:type="spellStart"/>
      <w:r w:rsidR="00F07268" w:rsidRPr="009042B2">
        <w:t>goup</w:t>
      </w:r>
      <w:proofErr w:type="spellEnd"/>
      <w:r w:rsidR="00F07268" w:rsidRPr="009042B2">
        <w:t>.</w:t>
      </w:r>
      <w:proofErr w:type="gramEnd"/>
    </w:p>
    <w:p w:rsidR="007927D2" w:rsidRDefault="007927D2" w:rsidP="00F07268">
      <w:pPr>
        <w:pStyle w:val="figureandtabletext"/>
      </w:pPr>
      <w:bookmarkStart w:id="1" w:name="_Ref466914086"/>
    </w:p>
    <w:p w:rsidR="007927D2" w:rsidRDefault="007927D2" w:rsidP="00F07268">
      <w:pPr>
        <w:pStyle w:val="figureandtabletext"/>
      </w:pPr>
      <w:r>
        <w:rPr>
          <w:noProof/>
          <w:lang w:eastAsia="en-GB"/>
        </w:rPr>
        <w:drawing>
          <wp:inline distT="0" distB="0" distL="0" distR="0" wp14:anchorId="569DA3B9" wp14:editId="789EC972">
            <wp:extent cx="5730875" cy="3933825"/>
            <wp:effectExtent l="0" t="0" r="3175" b="9525"/>
            <wp:docPr id="2" name="Picture 2" descr="C:\Users\Jake Morris\Google Drive\Thesis Papers\Crosses Paper Writeup\Post_PLoS_Gen\PLosGen_Supp_materials\S2a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ake Morris\Google Drive\Thesis Papers\Crosses Paper Writeup\Post_PLoS_Gen\PLosGen_Supp_materials\S2a_Fi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933825"/>
                    </a:xfrm>
                    <a:prstGeom prst="rect">
                      <a:avLst/>
                    </a:prstGeom>
                    <a:noFill/>
                    <a:ln>
                      <a:noFill/>
                    </a:ln>
                  </pic:spPr>
                </pic:pic>
              </a:graphicData>
            </a:graphic>
          </wp:inline>
        </w:drawing>
      </w:r>
    </w:p>
    <w:p w:rsidR="00F07268" w:rsidRPr="009042B2" w:rsidRDefault="00F07268" w:rsidP="00F07268">
      <w:pPr>
        <w:pStyle w:val="figureandtabletext"/>
      </w:pPr>
      <w:proofErr w:type="gramStart"/>
      <w:r w:rsidRPr="009042B2">
        <w:t>Fig</w:t>
      </w:r>
      <w:bookmarkEnd w:id="1"/>
      <w:r w:rsidR="007927D2">
        <w:t>.</w:t>
      </w:r>
      <w:proofErr w:type="gramEnd"/>
      <w:r w:rsidR="007927D2">
        <w:t xml:space="preserve"> S</w:t>
      </w:r>
      <w:r w:rsidR="00900AD1">
        <w:t>7</w:t>
      </w:r>
      <w:r w:rsidR="007927D2">
        <w:t>a</w:t>
      </w:r>
      <w:r w:rsidRPr="009042B2">
        <w:t xml:space="preserve"> –</w:t>
      </w:r>
      <w:r w:rsidR="007927D2">
        <w:t>L</w:t>
      </w:r>
      <w:r w:rsidRPr="009042B2">
        <w:t>inkage groups</w:t>
      </w:r>
      <w:r w:rsidR="007927D2">
        <w:t xml:space="preserve"> 1-5</w:t>
      </w:r>
      <w:r w:rsidRPr="009042B2">
        <w:t xml:space="preserve">. Each line represents one marker. Only those markers closest to each 5 </w:t>
      </w:r>
      <w:proofErr w:type="spellStart"/>
      <w:r w:rsidRPr="009042B2">
        <w:t>centiMorgan</w:t>
      </w:r>
      <w:proofErr w:type="spellEnd"/>
      <w:r w:rsidRPr="009042B2">
        <w:t xml:space="preserve"> point are named, with their position given.</w:t>
      </w:r>
    </w:p>
    <w:p w:rsidR="007927D2" w:rsidRDefault="007927D2" w:rsidP="00F07268">
      <w:pPr>
        <w:pStyle w:val="figureandtabletext"/>
      </w:pPr>
      <w:r>
        <w:rPr>
          <w:noProof/>
          <w:lang w:eastAsia="en-GB"/>
        </w:rPr>
        <w:lastRenderedPageBreak/>
        <w:drawing>
          <wp:inline distT="0" distB="0" distL="0" distR="0" wp14:anchorId="7EA30110" wp14:editId="4E6CBD52">
            <wp:extent cx="5734685" cy="2946400"/>
            <wp:effectExtent l="0" t="0" r="0" b="6350"/>
            <wp:docPr id="3" name="Picture 3" descr="C:\Users\Jake Morris\Google Drive\Thesis Papers\Crosses Paper Writeup\Post_PLoS_Gen\PLosGen_Supp_materials\S2b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ke Morris\Google Drive\Thesis Papers\Crosses Paper Writeup\Post_PLoS_Gen\PLosGen_Supp_materials\S2b_Fi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685" cy="2946400"/>
                    </a:xfrm>
                    <a:prstGeom prst="rect">
                      <a:avLst/>
                    </a:prstGeom>
                    <a:noFill/>
                    <a:ln>
                      <a:noFill/>
                    </a:ln>
                  </pic:spPr>
                </pic:pic>
              </a:graphicData>
            </a:graphic>
          </wp:inline>
        </w:drawing>
      </w:r>
      <w:proofErr w:type="gramStart"/>
      <w:r w:rsidRPr="009042B2">
        <w:t>Fig</w:t>
      </w:r>
      <w:r>
        <w:t>.</w:t>
      </w:r>
      <w:proofErr w:type="gramEnd"/>
      <w:r>
        <w:t xml:space="preserve"> S</w:t>
      </w:r>
      <w:r w:rsidR="00900AD1">
        <w:t>7</w:t>
      </w:r>
      <w:r>
        <w:t>b</w:t>
      </w:r>
      <w:r w:rsidRPr="009042B2">
        <w:t xml:space="preserve"> –</w:t>
      </w:r>
      <w:r>
        <w:t>L</w:t>
      </w:r>
      <w:r w:rsidRPr="009042B2">
        <w:t>inkage groups</w:t>
      </w:r>
      <w:r>
        <w:t xml:space="preserve"> 6-10</w:t>
      </w:r>
      <w:r w:rsidRPr="009042B2">
        <w:t xml:space="preserve">. Each line represents one marker. Only those markers closest to each 5 </w:t>
      </w:r>
      <w:proofErr w:type="spellStart"/>
      <w:r w:rsidRPr="009042B2">
        <w:t>centiMorgan</w:t>
      </w:r>
      <w:proofErr w:type="spellEnd"/>
      <w:r w:rsidRPr="009042B2">
        <w:t xml:space="preserve"> point are named, with their position given.</w:t>
      </w:r>
      <w:r>
        <w:rPr>
          <w:noProof/>
          <w:lang w:eastAsia="en-GB"/>
        </w:rPr>
        <w:drawing>
          <wp:inline distT="0" distB="0" distL="0" distR="0" wp14:anchorId="3CA7CC07" wp14:editId="0C4B0F33">
            <wp:extent cx="5734685" cy="4357370"/>
            <wp:effectExtent l="0" t="0" r="0" b="5080"/>
            <wp:docPr id="5" name="Picture 5" descr="C:\Users\Jake Morris\Google Drive\Thesis Papers\Crosses Paper Writeup\Post_PLoS_Gen\PLosGen_Supp_materials\S2c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ke Morris\Google Drive\Thesis Papers\Crosses Paper Writeup\Post_PLoS_Gen\PLosGen_Supp_materials\S2c_Fi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685" cy="4357370"/>
                    </a:xfrm>
                    <a:prstGeom prst="rect">
                      <a:avLst/>
                    </a:prstGeom>
                    <a:noFill/>
                    <a:ln>
                      <a:noFill/>
                    </a:ln>
                  </pic:spPr>
                </pic:pic>
              </a:graphicData>
            </a:graphic>
          </wp:inline>
        </w:drawing>
      </w:r>
      <w:proofErr w:type="gramStart"/>
      <w:r w:rsidRPr="009042B2">
        <w:t>Fig</w:t>
      </w:r>
      <w:r>
        <w:t>.</w:t>
      </w:r>
      <w:proofErr w:type="gramEnd"/>
      <w:r>
        <w:t xml:space="preserve"> S</w:t>
      </w:r>
      <w:r w:rsidR="00900AD1">
        <w:t>7</w:t>
      </w:r>
      <w:r>
        <w:t>c</w:t>
      </w:r>
      <w:r w:rsidRPr="009042B2">
        <w:t xml:space="preserve"> –</w:t>
      </w:r>
      <w:r>
        <w:t>L</w:t>
      </w:r>
      <w:r w:rsidRPr="009042B2">
        <w:t>inkage groups</w:t>
      </w:r>
      <w:r>
        <w:t xml:space="preserve"> 11-15</w:t>
      </w:r>
      <w:r w:rsidRPr="009042B2">
        <w:t xml:space="preserve">. Each line represents one marker. Only those markers closest to each 5 </w:t>
      </w:r>
      <w:proofErr w:type="spellStart"/>
      <w:r w:rsidRPr="009042B2">
        <w:t>centiMorgan</w:t>
      </w:r>
      <w:proofErr w:type="spellEnd"/>
      <w:r w:rsidRPr="009042B2">
        <w:t xml:space="preserve"> point are named, with their position given.</w:t>
      </w:r>
      <w:r>
        <w:rPr>
          <w:noProof/>
          <w:lang w:eastAsia="en-GB"/>
        </w:rPr>
        <w:lastRenderedPageBreak/>
        <w:drawing>
          <wp:inline distT="0" distB="0" distL="0" distR="0" wp14:anchorId="3692C529" wp14:editId="37A28120">
            <wp:extent cx="5723255" cy="3792855"/>
            <wp:effectExtent l="0" t="0" r="0" b="0"/>
            <wp:docPr id="6" name="Picture 6" descr="C:\Users\Jake Morris\Google Drive\Thesis Papers\Crosses Paper Writeup\Post_PLoS_Gen\PLosGen_Supp_materials\S2d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ake Morris\Google Drive\Thesis Papers\Crosses Paper Writeup\Post_PLoS_Gen\PLosGen_Supp_materials\S2d_Fi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3255" cy="3792855"/>
                    </a:xfrm>
                    <a:prstGeom prst="rect">
                      <a:avLst/>
                    </a:prstGeom>
                    <a:noFill/>
                    <a:ln>
                      <a:noFill/>
                    </a:ln>
                  </pic:spPr>
                </pic:pic>
              </a:graphicData>
            </a:graphic>
          </wp:inline>
        </w:drawing>
      </w:r>
      <w:proofErr w:type="gramStart"/>
      <w:r w:rsidRPr="009042B2">
        <w:t>Fig</w:t>
      </w:r>
      <w:r>
        <w:t>.</w:t>
      </w:r>
      <w:proofErr w:type="gramEnd"/>
      <w:r>
        <w:t xml:space="preserve"> S</w:t>
      </w:r>
      <w:r w:rsidR="00900AD1">
        <w:t>7</w:t>
      </w:r>
      <w:r>
        <w:t>d</w:t>
      </w:r>
      <w:r w:rsidRPr="009042B2">
        <w:t xml:space="preserve"> –</w:t>
      </w:r>
      <w:r>
        <w:t>L</w:t>
      </w:r>
      <w:r w:rsidRPr="009042B2">
        <w:t>inkage groups</w:t>
      </w:r>
      <w:r>
        <w:t xml:space="preserve"> 16-21</w:t>
      </w:r>
      <w:r w:rsidRPr="009042B2">
        <w:t xml:space="preserve">. Each line represents one marker. Only those markers closest to each 5 </w:t>
      </w:r>
      <w:proofErr w:type="spellStart"/>
      <w:r w:rsidRPr="009042B2">
        <w:t>centiMorgan</w:t>
      </w:r>
      <w:proofErr w:type="spellEnd"/>
      <w:r w:rsidRPr="009042B2">
        <w:t xml:space="preserve"> point are named, with their position given.</w:t>
      </w:r>
    </w:p>
    <w:p w:rsidR="007927D2" w:rsidRDefault="007927D2" w:rsidP="00F07268">
      <w:pPr>
        <w:pStyle w:val="figureandtabletext"/>
      </w:pPr>
    </w:p>
    <w:tbl>
      <w:tblPr>
        <w:tblStyle w:val="LightShading1"/>
        <w:tblW w:w="6780" w:type="dxa"/>
        <w:jc w:val="center"/>
        <w:tblLook w:val="04A0" w:firstRow="1" w:lastRow="0" w:firstColumn="1" w:lastColumn="0" w:noHBand="0" w:noVBand="1"/>
      </w:tblPr>
      <w:tblGrid>
        <w:gridCol w:w="960"/>
        <w:gridCol w:w="1260"/>
        <w:gridCol w:w="1260"/>
        <w:gridCol w:w="1180"/>
        <w:gridCol w:w="1180"/>
        <w:gridCol w:w="940"/>
      </w:tblGrid>
      <w:tr w:rsidR="00A34A30" w:rsidRPr="00754012" w:rsidTr="00FD726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 </w:t>
            </w:r>
            <w:r>
              <w:rPr>
                <w:rFonts w:ascii="Calibri" w:eastAsia="Times New Roman" w:hAnsi="Calibri" w:cs="Times New Roman"/>
                <w:color w:val="000000"/>
                <w:lang w:eastAsia="en-GB"/>
              </w:rPr>
              <w:t>Family</w:t>
            </w:r>
          </w:p>
        </w:tc>
        <w:tc>
          <w:tcPr>
            <w:tcW w:w="1260" w:type="dxa"/>
            <w:shd w:val="clear" w:color="auto" w:fill="auto"/>
            <w:vAlign w:val="center"/>
          </w:tcPr>
          <w:p w:rsidR="00A34A30" w:rsidRPr="0066255A" w:rsidRDefault="00A34A30" w:rsidP="00A34A30">
            <w:pPr>
              <w:jc w:val="center"/>
              <w:cnfStyle w:val="100000000000" w:firstRow="1" w:lastRow="0" w:firstColumn="0" w:lastColumn="0" w:oddVBand="0" w:evenVBand="0" w:oddHBand="0" w:evenHBand="0" w:firstRowFirstColumn="0" w:firstRowLastColumn="0" w:lastRowFirstColumn="0" w:lastRowLastColumn="0"/>
              <w:rPr>
                <w:lang w:eastAsia="en-GB"/>
              </w:rPr>
            </w:pPr>
            <w:r w:rsidRPr="0066255A">
              <w:rPr>
                <w:lang w:eastAsia="en-GB"/>
              </w:rPr>
              <w:t>Cross type</w:t>
            </w:r>
          </w:p>
        </w:tc>
        <w:tc>
          <w:tcPr>
            <w:tcW w:w="1260" w:type="dxa"/>
            <w:shd w:val="clear" w:color="auto" w:fill="auto"/>
          </w:tcPr>
          <w:p w:rsidR="00A34A30" w:rsidRPr="00754012" w:rsidRDefault="00A34A30" w:rsidP="00A34A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Total</w:t>
            </w:r>
          </w:p>
        </w:tc>
        <w:tc>
          <w:tcPr>
            <w:tcW w:w="1180" w:type="dxa"/>
            <w:shd w:val="clear" w:color="auto" w:fill="auto"/>
          </w:tcPr>
          <w:p w:rsidR="00A34A30" w:rsidRPr="00754012" w:rsidRDefault="00A34A30" w:rsidP="00A34A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Rays</w:t>
            </w:r>
          </w:p>
        </w:tc>
        <w:tc>
          <w:tcPr>
            <w:tcW w:w="1180" w:type="dxa"/>
            <w:shd w:val="clear" w:color="auto" w:fill="auto"/>
          </w:tcPr>
          <w:p w:rsidR="00A34A30" w:rsidRPr="00754012" w:rsidRDefault="00A34A30" w:rsidP="00A34A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No-Rays</w:t>
            </w:r>
          </w:p>
        </w:tc>
        <w:tc>
          <w:tcPr>
            <w:tcW w:w="940" w:type="dxa"/>
            <w:shd w:val="clear" w:color="auto" w:fill="auto"/>
            <w:noWrap/>
            <w:hideMark/>
          </w:tcPr>
          <w:p w:rsidR="00A34A30" w:rsidRPr="00754012" w:rsidRDefault="00A34A30" w:rsidP="00A34A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p-value</w:t>
            </w:r>
          </w:p>
        </w:tc>
      </w:tr>
      <w:tr w:rsidR="00A34A30" w:rsidRPr="00754012" w:rsidTr="00FD72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B5</w:t>
            </w:r>
          </w:p>
        </w:tc>
        <w:tc>
          <w:tcPr>
            <w:tcW w:w="1260" w:type="dxa"/>
            <w:shd w:val="clear" w:color="auto" w:fill="auto"/>
            <w:vAlign w:val="center"/>
          </w:tcPr>
          <w:p w:rsidR="00A34A30" w:rsidRPr="0066255A" w:rsidRDefault="00A34A30" w:rsidP="00A34A30">
            <w:pPr>
              <w:jc w:val="center"/>
              <w:cnfStyle w:val="000000100000" w:firstRow="0" w:lastRow="0" w:firstColumn="0" w:lastColumn="0" w:oddVBand="0" w:evenVBand="0" w:oddHBand="1" w:evenHBand="0" w:firstRowFirstColumn="0" w:firstRowLastColumn="0" w:lastRowFirstColumn="0" w:lastRowLastColumn="0"/>
              <w:rPr>
                <w:lang w:eastAsia="en-GB"/>
              </w:rPr>
            </w:pPr>
            <w:r>
              <w:rPr>
                <w:lang w:eastAsia="en-GB"/>
              </w:rPr>
              <w:t>F2</w:t>
            </w:r>
          </w:p>
        </w:tc>
        <w:tc>
          <w:tcPr>
            <w:tcW w:w="126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35</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24</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11</w:t>
            </w:r>
          </w:p>
        </w:tc>
        <w:tc>
          <w:tcPr>
            <w:tcW w:w="940" w:type="dxa"/>
            <w:shd w:val="clear" w:color="auto" w:fill="auto"/>
            <w:noWrap/>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0.380</w:t>
            </w:r>
          </w:p>
        </w:tc>
      </w:tr>
      <w:tr w:rsidR="00A34A30" w:rsidRPr="00754012" w:rsidTr="00FD726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B11</w:t>
            </w:r>
          </w:p>
        </w:tc>
        <w:tc>
          <w:tcPr>
            <w:tcW w:w="1260" w:type="dxa"/>
            <w:shd w:val="clear" w:color="auto" w:fill="auto"/>
            <w:vAlign w:val="center"/>
          </w:tcPr>
          <w:p w:rsidR="00A34A30" w:rsidRPr="0066255A" w:rsidRDefault="00A34A30" w:rsidP="00A34A30">
            <w:pPr>
              <w:jc w:val="center"/>
              <w:cnfStyle w:val="000000000000" w:firstRow="0" w:lastRow="0" w:firstColumn="0" w:lastColumn="0" w:oddVBand="0" w:evenVBand="0" w:oddHBand="0" w:evenHBand="0" w:firstRowFirstColumn="0" w:firstRowLastColumn="0" w:lastRowFirstColumn="0" w:lastRowLastColumn="0"/>
              <w:rPr>
                <w:lang w:eastAsia="en-GB"/>
              </w:rPr>
            </w:pPr>
            <w:r>
              <w:rPr>
                <w:lang w:eastAsia="en-GB"/>
              </w:rPr>
              <w:t>F2</w:t>
            </w:r>
          </w:p>
        </w:tc>
        <w:tc>
          <w:tcPr>
            <w:tcW w:w="126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49</w:t>
            </w:r>
          </w:p>
        </w:tc>
        <w:tc>
          <w:tcPr>
            <w:tcW w:w="118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38</w:t>
            </w:r>
          </w:p>
        </w:tc>
        <w:tc>
          <w:tcPr>
            <w:tcW w:w="118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11</w:t>
            </w:r>
          </w:p>
        </w:tc>
        <w:tc>
          <w:tcPr>
            <w:tcW w:w="940" w:type="dxa"/>
            <w:shd w:val="clear" w:color="auto" w:fill="auto"/>
            <w:noWrap/>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0.680</w:t>
            </w:r>
          </w:p>
        </w:tc>
      </w:tr>
      <w:tr w:rsidR="00A34A30" w:rsidRPr="00754012" w:rsidTr="00FD72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B12</w:t>
            </w:r>
          </w:p>
        </w:tc>
        <w:tc>
          <w:tcPr>
            <w:tcW w:w="1260" w:type="dxa"/>
            <w:shd w:val="clear" w:color="auto" w:fill="auto"/>
            <w:vAlign w:val="center"/>
          </w:tcPr>
          <w:p w:rsidR="00A34A30" w:rsidRPr="0066255A" w:rsidRDefault="00A34A30" w:rsidP="00A34A30">
            <w:pPr>
              <w:jc w:val="center"/>
              <w:cnfStyle w:val="000000100000" w:firstRow="0" w:lastRow="0" w:firstColumn="0" w:lastColumn="0" w:oddVBand="0" w:evenVBand="0" w:oddHBand="1" w:evenHBand="0" w:firstRowFirstColumn="0" w:firstRowLastColumn="0" w:lastRowFirstColumn="0" w:lastRowLastColumn="0"/>
              <w:rPr>
                <w:lang w:eastAsia="en-GB"/>
              </w:rPr>
            </w:pPr>
            <w:r>
              <w:rPr>
                <w:lang w:eastAsia="en-GB"/>
              </w:rPr>
              <w:t>F2</w:t>
            </w:r>
          </w:p>
        </w:tc>
        <w:tc>
          <w:tcPr>
            <w:tcW w:w="126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66</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49</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17</w:t>
            </w:r>
          </w:p>
        </w:tc>
        <w:tc>
          <w:tcPr>
            <w:tcW w:w="940" w:type="dxa"/>
            <w:shd w:val="clear" w:color="auto" w:fill="auto"/>
            <w:noWrap/>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0.887</w:t>
            </w:r>
          </w:p>
        </w:tc>
      </w:tr>
      <w:tr w:rsidR="00A34A30" w:rsidRPr="00754012" w:rsidTr="00FD7267">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B10</w:t>
            </w:r>
          </w:p>
        </w:tc>
        <w:tc>
          <w:tcPr>
            <w:tcW w:w="1260" w:type="dxa"/>
            <w:shd w:val="clear" w:color="auto" w:fill="auto"/>
            <w:vAlign w:val="center"/>
          </w:tcPr>
          <w:p w:rsidR="00A34A30" w:rsidRPr="0066255A" w:rsidRDefault="00A34A30" w:rsidP="00A34A30">
            <w:pPr>
              <w:jc w:val="center"/>
              <w:cnfStyle w:val="000000000000" w:firstRow="0" w:lastRow="0" w:firstColumn="0" w:lastColumn="0" w:oddVBand="0" w:evenVBand="0" w:oddHBand="0" w:evenHBand="0" w:firstRowFirstColumn="0" w:firstRowLastColumn="0" w:lastRowFirstColumn="0" w:lastRowLastColumn="0"/>
              <w:rPr>
                <w:lang w:eastAsia="en-GB"/>
              </w:rPr>
            </w:pPr>
            <w:r>
              <w:rPr>
                <w:lang w:eastAsia="en-GB"/>
              </w:rPr>
              <w:t>F2</w:t>
            </w:r>
          </w:p>
        </w:tc>
        <w:tc>
          <w:tcPr>
            <w:tcW w:w="126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85</w:t>
            </w:r>
          </w:p>
        </w:tc>
        <w:tc>
          <w:tcPr>
            <w:tcW w:w="118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69</w:t>
            </w:r>
          </w:p>
        </w:tc>
        <w:tc>
          <w:tcPr>
            <w:tcW w:w="118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16</w:t>
            </w:r>
          </w:p>
        </w:tc>
        <w:tc>
          <w:tcPr>
            <w:tcW w:w="940" w:type="dxa"/>
            <w:shd w:val="clear" w:color="auto" w:fill="auto"/>
            <w:noWrap/>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0.188</w:t>
            </w:r>
          </w:p>
        </w:tc>
      </w:tr>
      <w:tr w:rsidR="00A34A30" w:rsidRPr="00754012" w:rsidTr="00FD72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B14</w:t>
            </w:r>
          </w:p>
        </w:tc>
        <w:tc>
          <w:tcPr>
            <w:tcW w:w="1260" w:type="dxa"/>
            <w:shd w:val="clear" w:color="auto" w:fill="auto"/>
            <w:vAlign w:val="center"/>
          </w:tcPr>
          <w:p w:rsidR="00A34A30" w:rsidRPr="0066255A" w:rsidRDefault="00A34A30" w:rsidP="00A34A30">
            <w:pPr>
              <w:jc w:val="center"/>
              <w:cnfStyle w:val="000000100000" w:firstRow="0" w:lastRow="0" w:firstColumn="0" w:lastColumn="0" w:oddVBand="0" w:evenVBand="0" w:oddHBand="1" w:evenHBand="0" w:firstRowFirstColumn="0" w:firstRowLastColumn="0" w:lastRowFirstColumn="0" w:lastRowLastColumn="0"/>
              <w:rPr>
                <w:lang w:eastAsia="en-GB"/>
              </w:rPr>
            </w:pPr>
            <w:r>
              <w:rPr>
                <w:lang w:eastAsia="en-GB"/>
              </w:rPr>
              <w:t>BC</w:t>
            </w:r>
          </w:p>
        </w:tc>
        <w:tc>
          <w:tcPr>
            <w:tcW w:w="126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154</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82</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72</w:t>
            </w:r>
          </w:p>
        </w:tc>
        <w:tc>
          <w:tcPr>
            <w:tcW w:w="940" w:type="dxa"/>
            <w:shd w:val="clear" w:color="auto" w:fill="auto"/>
            <w:noWrap/>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0.420</w:t>
            </w:r>
          </w:p>
        </w:tc>
      </w:tr>
      <w:tr w:rsidR="00A34A30" w:rsidRPr="00754012" w:rsidTr="00FD7267">
        <w:trPr>
          <w:trHeight w:val="315"/>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B8</w:t>
            </w:r>
          </w:p>
        </w:tc>
        <w:tc>
          <w:tcPr>
            <w:tcW w:w="1260" w:type="dxa"/>
            <w:shd w:val="clear" w:color="auto" w:fill="auto"/>
            <w:vAlign w:val="center"/>
          </w:tcPr>
          <w:p w:rsidR="00A34A30" w:rsidRPr="0066255A" w:rsidRDefault="00A34A30" w:rsidP="00A34A30">
            <w:pPr>
              <w:jc w:val="center"/>
              <w:cnfStyle w:val="000000000000" w:firstRow="0" w:lastRow="0" w:firstColumn="0" w:lastColumn="0" w:oddVBand="0" w:evenVBand="0" w:oddHBand="0" w:evenHBand="0" w:firstRowFirstColumn="0" w:firstRowLastColumn="0" w:lastRowFirstColumn="0" w:lastRowLastColumn="0"/>
              <w:rPr>
                <w:lang w:eastAsia="en-GB"/>
              </w:rPr>
            </w:pPr>
            <w:r>
              <w:rPr>
                <w:lang w:eastAsia="en-GB"/>
              </w:rPr>
              <w:t>BC</w:t>
            </w:r>
          </w:p>
        </w:tc>
        <w:tc>
          <w:tcPr>
            <w:tcW w:w="126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112</w:t>
            </w:r>
          </w:p>
        </w:tc>
        <w:tc>
          <w:tcPr>
            <w:tcW w:w="118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61</w:t>
            </w:r>
          </w:p>
        </w:tc>
        <w:tc>
          <w:tcPr>
            <w:tcW w:w="1180" w:type="dxa"/>
            <w:shd w:val="clear" w:color="auto" w:fill="auto"/>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51</w:t>
            </w:r>
          </w:p>
        </w:tc>
        <w:tc>
          <w:tcPr>
            <w:tcW w:w="940" w:type="dxa"/>
            <w:shd w:val="clear" w:color="auto" w:fill="auto"/>
            <w:noWrap/>
          </w:tcPr>
          <w:p w:rsidR="00A34A30" w:rsidRPr="00754012" w:rsidRDefault="00A34A30" w:rsidP="00A34A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0.345</w:t>
            </w:r>
          </w:p>
        </w:tc>
      </w:tr>
      <w:tr w:rsidR="00A34A30" w:rsidRPr="00754012" w:rsidTr="00FD72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noWrap/>
            <w:hideMark/>
          </w:tcPr>
          <w:p w:rsidR="00A34A30" w:rsidRPr="00754012" w:rsidRDefault="00A34A30" w:rsidP="00A34A30">
            <w:pPr>
              <w:jc w:val="center"/>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B13</w:t>
            </w:r>
          </w:p>
        </w:tc>
        <w:tc>
          <w:tcPr>
            <w:tcW w:w="1260" w:type="dxa"/>
            <w:shd w:val="clear" w:color="auto" w:fill="auto"/>
            <w:vAlign w:val="center"/>
          </w:tcPr>
          <w:p w:rsidR="00A34A30" w:rsidRPr="0066255A" w:rsidRDefault="00A34A30" w:rsidP="00A34A30">
            <w:pPr>
              <w:jc w:val="center"/>
              <w:cnfStyle w:val="000000100000" w:firstRow="0" w:lastRow="0" w:firstColumn="0" w:lastColumn="0" w:oddVBand="0" w:evenVBand="0" w:oddHBand="1" w:evenHBand="0" w:firstRowFirstColumn="0" w:firstRowLastColumn="0" w:lastRowFirstColumn="0" w:lastRowLastColumn="0"/>
              <w:rPr>
                <w:lang w:eastAsia="en-GB"/>
              </w:rPr>
            </w:pPr>
            <w:r>
              <w:rPr>
                <w:lang w:eastAsia="en-GB"/>
              </w:rPr>
              <w:t>F2</w:t>
            </w:r>
          </w:p>
        </w:tc>
        <w:tc>
          <w:tcPr>
            <w:tcW w:w="126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56</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42</w:t>
            </w:r>
          </w:p>
        </w:tc>
        <w:tc>
          <w:tcPr>
            <w:tcW w:w="1180" w:type="dxa"/>
            <w:shd w:val="clear" w:color="auto" w:fill="auto"/>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754012">
              <w:rPr>
                <w:rFonts w:ascii="Calibri" w:eastAsia="Times New Roman" w:hAnsi="Calibri" w:cs="Times New Roman"/>
                <w:color w:val="000000"/>
                <w:lang w:eastAsia="en-GB"/>
              </w:rPr>
              <w:t>14</w:t>
            </w:r>
          </w:p>
        </w:tc>
        <w:tc>
          <w:tcPr>
            <w:tcW w:w="940" w:type="dxa"/>
            <w:shd w:val="clear" w:color="auto" w:fill="auto"/>
            <w:noWrap/>
          </w:tcPr>
          <w:p w:rsidR="00A34A30" w:rsidRPr="00754012" w:rsidRDefault="00A34A30" w:rsidP="00A34A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1.0</w:t>
            </w:r>
          </w:p>
        </w:tc>
      </w:tr>
    </w:tbl>
    <w:p w:rsidR="007927D2" w:rsidRDefault="007927D2" w:rsidP="00F07268">
      <w:pPr>
        <w:pStyle w:val="figureandtabletext"/>
      </w:pPr>
    </w:p>
    <w:p w:rsidR="008B55F1" w:rsidRDefault="00F07268" w:rsidP="008B55F1">
      <w:pPr>
        <w:pStyle w:val="figureandtabletext"/>
      </w:pPr>
      <w:r w:rsidRPr="009042B2">
        <w:t xml:space="preserve">Table </w:t>
      </w:r>
      <w:r w:rsidR="00044EAC">
        <w:t>S</w:t>
      </w:r>
      <w:r w:rsidR="00900AD1">
        <w:t>8</w:t>
      </w:r>
      <w:r w:rsidR="007927D2" w:rsidRPr="009042B2">
        <w:t xml:space="preserve"> </w:t>
      </w:r>
      <w:r w:rsidRPr="009042B2">
        <w:t xml:space="preserve">– Proportion of rayed and non-rayed individuals in each family and the </w:t>
      </w:r>
      <w:r w:rsidRPr="009042B2">
        <w:sym w:font="Symbol" w:char="F063"/>
      </w:r>
      <w:r w:rsidR="00E930B4">
        <w:t xml:space="preserve">2 P-value for deviation </w:t>
      </w:r>
      <w:r w:rsidR="00E930B4" w:rsidRPr="002C50E9">
        <w:rPr>
          <w:rStyle w:val="figureandtabletextChar"/>
          <w:b/>
        </w:rPr>
        <w:t xml:space="preserve">from the expected ratio </w:t>
      </w:r>
      <w:r w:rsidR="00E930B4">
        <w:rPr>
          <w:rStyle w:val="figureandtabletextChar"/>
          <w:b/>
        </w:rPr>
        <w:t xml:space="preserve">(3:1 for F2 cross; 1:1 for backcross) </w:t>
      </w:r>
      <w:r w:rsidR="00E930B4" w:rsidRPr="002C50E9">
        <w:rPr>
          <w:rStyle w:val="figureandtabletextChar"/>
          <w:b/>
        </w:rPr>
        <w:t>for a phenotype (</w:t>
      </w:r>
      <w:proofErr w:type="spellStart"/>
      <w:r w:rsidR="00E930B4">
        <w:rPr>
          <w:rStyle w:val="figureandtabletextChar"/>
          <w:b/>
        </w:rPr>
        <w:t>rays</w:t>
      </w:r>
      <w:proofErr w:type="gramStart"/>
      <w:r w:rsidR="00E930B4">
        <w:rPr>
          <w:rStyle w:val="figureandtabletextChar"/>
          <w:b/>
        </w:rPr>
        <w:t>:no</w:t>
      </w:r>
      <w:proofErr w:type="gramEnd"/>
      <w:r w:rsidR="00E930B4">
        <w:rPr>
          <w:rStyle w:val="figureandtabletextChar"/>
          <w:b/>
        </w:rPr>
        <w:t>-rays</w:t>
      </w:r>
      <w:proofErr w:type="spellEnd"/>
      <w:r w:rsidR="00E930B4" w:rsidRPr="002C50E9">
        <w:rPr>
          <w:rStyle w:val="figureandtabletextChar"/>
          <w:b/>
        </w:rPr>
        <w:t>) controlled by a single Mendelian locus</w:t>
      </w:r>
      <w:r w:rsidR="00E930B4">
        <w:rPr>
          <w:rStyle w:val="figureandtabletextChar"/>
          <w:b/>
        </w:rPr>
        <w:t>.</w:t>
      </w:r>
      <w:r w:rsidR="008B55F1" w:rsidRPr="008B55F1">
        <w:t xml:space="preserve"> </w:t>
      </w:r>
    </w:p>
    <w:p w:rsidR="008B55F1" w:rsidRDefault="008B55F1" w:rsidP="008B55F1">
      <w:pPr>
        <w:pStyle w:val="figureandtabletext"/>
      </w:pPr>
    </w:p>
    <w:p w:rsidR="008B55F1" w:rsidRDefault="008B55F1" w:rsidP="008B55F1">
      <w:pPr>
        <w:pStyle w:val="figureandtabletext"/>
      </w:pPr>
    </w:p>
    <w:p w:rsidR="008B55F1" w:rsidRDefault="008B55F1" w:rsidP="008B55F1">
      <w:pPr>
        <w:pStyle w:val="figureandtabletext"/>
      </w:pPr>
      <w:proofErr w:type="gramStart"/>
      <w:r>
        <w:lastRenderedPageBreak/>
        <w:t>Tables S</w:t>
      </w:r>
      <w:r w:rsidR="00900AD1">
        <w:t>9</w:t>
      </w:r>
      <w:r>
        <w:t>a-c (separate file) – Fine interval mapping of our Mendelian traits, the hindwing rays and the broken band.</w:t>
      </w:r>
      <w:proofErr w:type="gramEnd"/>
      <w:r>
        <w:t xml:space="preserve"> Table A): Rays </w:t>
      </w:r>
      <w:r w:rsidRPr="00706593">
        <w:t>GQ20</w:t>
      </w:r>
      <w:r>
        <w:t xml:space="preserve">; B) Rays_GQ30; C) Dumbbell GQ20. Tables show the phenotype for each sample, as well as the genotype at each SNP in the region with diagnostic SNPs. Tables </w:t>
      </w:r>
      <w:proofErr w:type="gramStart"/>
      <w:r>
        <w:t>include</w:t>
      </w:r>
      <w:proofErr w:type="gramEnd"/>
      <w:r>
        <w:t xml:space="preserve"> all diagnostic SNPs as well as those SNPs found between diagnostic SNPs. In the case of </w:t>
      </w:r>
      <w:proofErr w:type="spellStart"/>
      <w:r>
        <w:t>Dumbell</w:t>
      </w:r>
      <w:proofErr w:type="spellEnd"/>
      <w:r>
        <w:t xml:space="preserve">/WntA analysis the table also includes SNPs around those with the diagnostic pattern. Pink shading shows missing genotypes, while yellow shading shows homozygote genotypes. Heterozygote genotypes are left unshaded.   </w:t>
      </w:r>
    </w:p>
    <w:p w:rsidR="0035006C" w:rsidRDefault="0035006C" w:rsidP="00CC2D2D">
      <w:pPr>
        <w:pStyle w:val="figureandtabletext"/>
      </w:pPr>
    </w:p>
    <w:p w:rsidR="008B55F1" w:rsidRPr="009042B2" w:rsidRDefault="008B55F1" w:rsidP="008B55F1">
      <w:pPr>
        <w:pStyle w:val="figureandtabletext"/>
      </w:pPr>
      <w:r>
        <w:rPr>
          <w:noProof/>
          <w:lang w:eastAsia="en-GB"/>
        </w:rPr>
        <w:drawing>
          <wp:inline distT="0" distB="0" distL="0" distR="0" wp14:anchorId="0BBDA913" wp14:editId="060BF760">
            <wp:extent cx="5283200" cy="2449830"/>
            <wp:effectExtent l="0" t="0" r="0" b="7620"/>
            <wp:docPr id="7" name="Picture 7" descr="C:\Users\Jake Morris\Google Drive\Thesis Papers\Crosses Paper Writeup\Post_PLoS_Gen\PLosGen_Supp_materials\S4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ke Morris\Google Drive\Thesis Papers\Crosses Paper Writeup\Post_PLoS_Gen\PLosGen_Supp_materials\S4_Fig.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83200" cy="2449830"/>
                    </a:xfrm>
                    <a:prstGeom prst="rect">
                      <a:avLst/>
                    </a:prstGeom>
                    <a:noFill/>
                    <a:ln>
                      <a:noFill/>
                    </a:ln>
                  </pic:spPr>
                </pic:pic>
              </a:graphicData>
            </a:graphic>
          </wp:inline>
        </w:drawing>
      </w:r>
    </w:p>
    <w:p w:rsidR="008B55F1" w:rsidRDefault="008B55F1" w:rsidP="008B55F1">
      <w:pPr>
        <w:pStyle w:val="figureandtabletext"/>
      </w:pPr>
      <w:proofErr w:type="gramStart"/>
      <w:r w:rsidRPr="009042B2">
        <w:t>Fig.</w:t>
      </w:r>
      <w:proofErr w:type="gramEnd"/>
      <w:r w:rsidRPr="009042B2">
        <w:t xml:space="preserve"> </w:t>
      </w:r>
      <w:r>
        <w:t>S</w:t>
      </w:r>
      <w:r w:rsidR="00900AD1">
        <w:t>10</w:t>
      </w:r>
      <w:r w:rsidRPr="009042B2">
        <w:t xml:space="preserve"> – PCA of quantitative red variation in B10 and B14. </w:t>
      </w:r>
      <w:proofErr w:type="gramStart"/>
      <w:r w:rsidRPr="009042B2">
        <w:t xml:space="preserve">PCs 1 and 2 of quantitative variation in hindwing red from </w:t>
      </w:r>
      <w:proofErr w:type="spellStart"/>
      <w:r w:rsidRPr="009042B2">
        <w:t>Patternize</w:t>
      </w:r>
      <w:proofErr w:type="spellEnd"/>
      <w:r w:rsidRPr="009042B2">
        <w:t xml:space="preserve"> in each family.</w:t>
      </w:r>
      <w:proofErr w:type="gramEnd"/>
      <w:r w:rsidRPr="009042B2">
        <w:t xml:space="preserve"> For B10 PCs 1-5 (respectively explaining 11.1%, 8.8%, 5.3%, 4.5%, 4.3% of overall variation), and PCs 1-4 for B14 (14.2%, 6.3%, 5.1%, 4.1% respectively) were used for QTL analysis.</w:t>
      </w:r>
    </w:p>
    <w:p w:rsidR="008B55F1" w:rsidRDefault="008B55F1" w:rsidP="00CC2D2D">
      <w:pPr>
        <w:pStyle w:val="figureandtabletext"/>
        <w:sectPr w:rsidR="008B55F1">
          <w:pgSz w:w="11906" w:h="16838"/>
          <w:pgMar w:top="1440" w:right="1440" w:bottom="1440" w:left="1440" w:header="708" w:footer="708" w:gutter="0"/>
          <w:cols w:space="708"/>
          <w:docGrid w:linePitch="360"/>
        </w:sectPr>
      </w:pPr>
    </w:p>
    <w:tbl>
      <w:tblPr>
        <w:tblStyle w:val="LightShading1"/>
        <w:tblW w:w="15297" w:type="dxa"/>
        <w:tblLook w:val="04A0" w:firstRow="1" w:lastRow="0" w:firstColumn="1" w:lastColumn="0" w:noHBand="0" w:noVBand="1"/>
      </w:tblPr>
      <w:tblGrid>
        <w:gridCol w:w="885"/>
        <w:gridCol w:w="728"/>
        <w:gridCol w:w="728"/>
        <w:gridCol w:w="1425"/>
        <w:gridCol w:w="643"/>
        <w:gridCol w:w="643"/>
        <w:gridCol w:w="1593"/>
        <w:gridCol w:w="607"/>
        <w:gridCol w:w="718"/>
        <w:gridCol w:w="1604"/>
        <w:gridCol w:w="775"/>
        <w:gridCol w:w="598"/>
        <w:gridCol w:w="1519"/>
        <w:gridCol w:w="607"/>
        <w:gridCol w:w="751"/>
        <w:gridCol w:w="1473"/>
      </w:tblGrid>
      <w:tr w:rsidR="0035006C" w:rsidRPr="002716E8" w:rsidTr="00FD7267">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bottom w:val="single" w:sz="4" w:space="0" w:color="auto"/>
              <w:right w:val="single" w:sz="4" w:space="0" w:color="auto"/>
            </w:tcBorders>
            <w:noWrap/>
            <w:hideMark/>
          </w:tcPr>
          <w:p w:rsidR="0035006C" w:rsidRPr="002716E8" w:rsidRDefault="0035006C" w:rsidP="00FD7267">
            <w:pPr>
              <w:jc w:val="center"/>
              <w:rPr>
                <w:rFonts w:ascii="Calibri" w:eastAsia="Times New Roman" w:hAnsi="Calibri" w:cs="Times New Roman"/>
                <w:color w:val="000000"/>
                <w:lang w:eastAsia="en-GB"/>
              </w:rPr>
            </w:pPr>
            <w:proofErr w:type="spellStart"/>
            <w:r w:rsidRPr="002716E8">
              <w:rPr>
                <w:rFonts w:ascii="Calibri" w:eastAsia="Times New Roman" w:hAnsi="Calibri" w:cs="Times New Roman"/>
                <w:color w:val="000000"/>
                <w:lang w:eastAsia="en-GB"/>
              </w:rPr>
              <w:lastRenderedPageBreak/>
              <w:t>Chrom</w:t>
            </w:r>
            <w:proofErr w:type="spellEnd"/>
            <w:r w:rsidRPr="002716E8">
              <w:rPr>
                <w:rFonts w:ascii="Calibri" w:eastAsia="Times New Roman" w:hAnsi="Calibri" w:cs="Times New Roman"/>
                <w:color w:val="000000"/>
                <w:lang w:eastAsia="en-GB"/>
              </w:rPr>
              <w:t>.</w:t>
            </w:r>
          </w:p>
        </w:tc>
        <w:tc>
          <w:tcPr>
            <w:tcW w:w="2881" w:type="dxa"/>
            <w:gridSpan w:val="3"/>
            <w:tcBorders>
              <w:left w:val="single" w:sz="4" w:space="0" w:color="auto"/>
              <w:bottom w:val="single" w:sz="4" w:space="0" w:color="auto"/>
              <w:right w:val="single" w:sz="4" w:space="0" w:color="auto"/>
            </w:tcBorders>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Rays</w:t>
            </w:r>
          </w:p>
        </w:tc>
        <w:tc>
          <w:tcPr>
            <w:tcW w:w="2879" w:type="dxa"/>
            <w:gridSpan w:val="3"/>
            <w:tcBorders>
              <w:left w:val="single" w:sz="4" w:space="0" w:color="auto"/>
              <w:bottom w:val="single" w:sz="4" w:space="0" w:color="auto"/>
              <w:right w:val="single" w:sz="4" w:space="0" w:color="auto"/>
            </w:tcBorders>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Broken band</w:t>
            </w:r>
          </w:p>
        </w:tc>
        <w:tc>
          <w:tcPr>
            <w:tcW w:w="2929" w:type="dxa"/>
            <w:gridSpan w:val="3"/>
            <w:tcBorders>
              <w:left w:val="single" w:sz="4" w:space="0" w:color="auto"/>
              <w:bottom w:val="single" w:sz="4" w:space="0" w:color="auto"/>
              <w:right w:val="single" w:sz="4" w:space="0" w:color="auto"/>
            </w:tcBorders>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Red-orange pigmentation</w:t>
            </w:r>
          </w:p>
        </w:tc>
        <w:tc>
          <w:tcPr>
            <w:tcW w:w="2892" w:type="dxa"/>
            <w:gridSpan w:val="3"/>
            <w:tcBorders>
              <w:left w:val="single" w:sz="4" w:space="0" w:color="auto"/>
              <w:bottom w:val="single" w:sz="4" w:space="0" w:color="auto"/>
              <w:right w:val="single" w:sz="4" w:space="0" w:color="auto"/>
            </w:tcBorders>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Quantitative Red</w:t>
            </w:r>
          </w:p>
        </w:tc>
        <w:tc>
          <w:tcPr>
            <w:tcW w:w="2831" w:type="dxa"/>
            <w:gridSpan w:val="3"/>
            <w:tcBorders>
              <w:left w:val="single" w:sz="4" w:space="0" w:color="auto"/>
              <w:bottom w:val="single" w:sz="4" w:space="0" w:color="auto"/>
              <w:right w:val="single" w:sz="4" w:space="0" w:color="auto"/>
            </w:tcBorders>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Band shape</w:t>
            </w:r>
          </w:p>
        </w:tc>
      </w:tr>
      <w:tr w:rsidR="00463EB4" w:rsidRPr="002716E8" w:rsidTr="00FD7267">
        <w:tblPrEx>
          <w:tblBorders>
            <w:top w:val="single" w:sz="5" w:space="0" w:color="000000" w:themeColor="text1"/>
            <w:bottom w:val="single" w:sz="5" w:space="0" w:color="000000" w:themeColor="text1"/>
          </w:tblBorders>
          <w:tblCellMar>
            <w:left w:w="69" w:type="dxa"/>
            <w:right w:w="69" w:type="dxa"/>
          </w:tblCellMar>
        </w:tblPrEx>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885" w:type="dxa"/>
            <w:tcBorders>
              <w:top w:val="single" w:sz="2" w:space="0" w:color="auto"/>
              <w:left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rPr>
                <w:rFonts w:ascii="Calibri" w:eastAsia="Times New Roman" w:hAnsi="Calibri" w:cs="Times New Roman"/>
                <w:color w:val="000000"/>
                <w:lang w:eastAsia="en-GB"/>
              </w:rPr>
            </w:pPr>
          </w:p>
        </w:tc>
        <w:tc>
          <w:tcPr>
            <w:tcW w:w="728"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28"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425"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643"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643"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593"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607"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18"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604"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775"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598"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519"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607"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51"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473"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r>
      <w:tr w:rsidR="0035006C" w:rsidRPr="002716E8" w:rsidTr="00FD7267">
        <w:trPr>
          <w:trHeight w:val="265"/>
        </w:trPr>
        <w:tc>
          <w:tcPr>
            <w:cnfStyle w:val="001000000000" w:firstRow="0" w:lastRow="0" w:firstColumn="1" w:lastColumn="0" w:oddVBand="0" w:evenVBand="0" w:oddHBand="0" w:evenHBand="0" w:firstRowFirstColumn="0" w:firstRowLastColumn="0" w:lastRowFirstColumn="0" w:lastRowLastColumn="0"/>
            <w:tcW w:w="885" w:type="dxa"/>
            <w:tcBorders>
              <w:top w:val="single" w:sz="4" w:space="0" w:color="auto"/>
              <w:left w:val="single" w:sz="4" w:space="0" w:color="auto"/>
              <w:right w:val="single" w:sz="4" w:space="0" w:color="auto"/>
            </w:tcBorders>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10</w:t>
            </w:r>
          </w:p>
        </w:tc>
        <w:tc>
          <w:tcPr>
            <w:tcW w:w="728" w:type="dxa"/>
            <w:tcBorders>
              <w:top w:val="single" w:sz="4" w:space="0" w:color="auto"/>
              <w:lef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tcBorders>
              <w:top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5" w:type="dxa"/>
            <w:tcBorders>
              <w:top w:val="single" w:sz="4" w:space="0" w:color="auto"/>
              <w:righ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3" w:type="dxa"/>
            <w:tcBorders>
              <w:top w:val="single" w:sz="4" w:space="0" w:color="auto"/>
              <w:left w:val="single" w:sz="4" w:space="0" w:color="auto"/>
            </w:tcBorders>
            <w:noWrap/>
            <w:hideMark/>
          </w:tcPr>
          <w:p w:rsidR="0035006C" w:rsidRPr="002716E8" w:rsidRDefault="0035006C" w:rsidP="00106DD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8.</w:t>
            </w:r>
            <w:r w:rsidR="00106DD9">
              <w:rPr>
                <w:rFonts w:ascii="Calibri" w:eastAsia="Times New Roman" w:hAnsi="Calibri" w:cs="Times New Roman"/>
                <w:color w:val="000000"/>
                <w:lang w:eastAsia="en-GB"/>
              </w:rPr>
              <w:t>21</w:t>
            </w:r>
          </w:p>
        </w:tc>
        <w:tc>
          <w:tcPr>
            <w:tcW w:w="643" w:type="dxa"/>
            <w:tcBorders>
              <w:top w:val="single" w:sz="4" w:space="0" w:color="auto"/>
            </w:tcBorders>
            <w:noWrap/>
            <w:hideMark/>
          </w:tcPr>
          <w:p w:rsidR="0035006C" w:rsidRPr="002716E8" w:rsidRDefault="00643C2A"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8</w:t>
            </w:r>
          </w:p>
        </w:tc>
        <w:tc>
          <w:tcPr>
            <w:tcW w:w="1593" w:type="dxa"/>
            <w:tcBorders>
              <w:top w:val="single" w:sz="4" w:space="0" w:color="auto"/>
              <w:righ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 – 10.10</w:t>
            </w:r>
          </w:p>
        </w:tc>
        <w:tc>
          <w:tcPr>
            <w:tcW w:w="607" w:type="dxa"/>
            <w:tcBorders>
              <w:top w:val="single" w:sz="4" w:space="0" w:color="auto"/>
              <w:lef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18" w:type="dxa"/>
            <w:tcBorders>
              <w:top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604" w:type="dxa"/>
            <w:tcBorders>
              <w:top w:val="single" w:sz="4" w:space="0" w:color="auto"/>
              <w:righ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75" w:type="dxa"/>
            <w:tcBorders>
              <w:top w:val="single" w:sz="4" w:space="0" w:color="auto"/>
              <w:lef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598" w:type="dxa"/>
            <w:tcBorders>
              <w:top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top w:val="single" w:sz="4" w:space="0" w:color="auto"/>
              <w:righ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top w:val="single" w:sz="4" w:space="0" w:color="auto"/>
              <w:left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6.54</w:t>
            </w:r>
          </w:p>
        </w:tc>
        <w:tc>
          <w:tcPr>
            <w:tcW w:w="751" w:type="dxa"/>
            <w:tcBorders>
              <w:top w:val="single" w:sz="4" w:space="0" w:color="auto"/>
            </w:tcBorders>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6.51</w:t>
            </w:r>
          </w:p>
        </w:tc>
        <w:tc>
          <w:tcPr>
            <w:tcW w:w="1473" w:type="dxa"/>
            <w:tcBorders>
              <w:top w:val="single" w:sz="4" w:space="0" w:color="auto"/>
              <w:right w:val="single" w:sz="4" w:space="0" w:color="auto"/>
            </w:tcBorders>
            <w:noWrap/>
            <w:hideMark/>
          </w:tcPr>
          <w:p w:rsidR="0035006C" w:rsidRPr="002716E8" w:rsidRDefault="001238D6"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6 - 12</w:t>
            </w:r>
          </w:p>
        </w:tc>
      </w:tr>
      <w:tr w:rsidR="00463EB4" w:rsidRPr="002716E8" w:rsidTr="00200CC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right w:val="single" w:sz="4" w:space="0" w:color="auto"/>
            </w:tcBorders>
            <w:shd w:val="clear" w:color="auto" w:fill="F2F2F2" w:themeFill="background1" w:themeFillShade="F2"/>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12</w:t>
            </w:r>
          </w:p>
        </w:tc>
        <w:tc>
          <w:tcPr>
            <w:tcW w:w="728"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5"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3"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3"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3"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1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604"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75" w:type="dxa"/>
            <w:tcBorders>
              <w:left w:val="single" w:sz="4" w:space="0" w:color="auto"/>
            </w:tcBorders>
            <w:shd w:val="clear" w:color="auto" w:fill="F2F2F2" w:themeFill="background1" w:themeFillShade="F2"/>
            <w:noWrap/>
          </w:tcPr>
          <w:p w:rsidR="00FD17D2" w:rsidRPr="00E8425F" w:rsidRDefault="00FD17D2" w:rsidP="00900AD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5.35</w:t>
            </w:r>
          </w:p>
        </w:tc>
        <w:tc>
          <w:tcPr>
            <w:tcW w:w="598" w:type="dxa"/>
            <w:shd w:val="clear" w:color="auto" w:fill="F2F2F2" w:themeFill="background1" w:themeFillShade="F2"/>
            <w:noWrap/>
          </w:tcPr>
          <w:p w:rsidR="00FD17D2" w:rsidRPr="00E8425F" w:rsidRDefault="00FD17D2" w:rsidP="00900AD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37</w:t>
            </w:r>
          </w:p>
        </w:tc>
        <w:tc>
          <w:tcPr>
            <w:tcW w:w="1519" w:type="dxa"/>
            <w:tcBorders>
              <w:right w:val="single" w:sz="4" w:space="0" w:color="auto"/>
            </w:tcBorders>
            <w:shd w:val="clear" w:color="auto" w:fill="F2F2F2" w:themeFill="background1" w:themeFillShade="F2"/>
            <w:noWrap/>
          </w:tcPr>
          <w:p w:rsidR="00FD17D2" w:rsidRPr="00E8425F" w:rsidRDefault="00FD17D2" w:rsidP="00900AD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36.33 - 38</w:t>
            </w:r>
          </w:p>
        </w:tc>
        <w:tc>
          <w:tcPr>
            <w:tcW w:w="607"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51"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73"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r>
      <w:tr w:rsidR="00FD17D2" w:rsidRPr="002716E8" w:rsidTr="00FD7267">
        <w:trPr>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right w:val="single" w:sz="4" w:space="0" w:color="auto"/>
            </w:tcBorders>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13</w:t>
            </w:r>
          </w:p>
        </w:tc>
        <w:tc>
          <w:tcPr>
            <w:tcW w:w="728"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5"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3"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3"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93"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9.52</w:t>
            </w:r>
          </w:p>
        </w:tc>
        <w:tc>
          <w:tcPr>
            <w:tcW w:w="71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49.15</w:t>
            </w:r>
          </w:p>
        </w:tc>
        <w:tc>
          <w:tcPr>
            <w:tcW w:w="1604"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48 - 62</w:t>
            </w:r>
          </w:p>
        </w:tc>
        <w:tc>
          <w:tcPr>
            <w:tcW w:w="775"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59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51"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73"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r>
      <w:tr w:rsidR="00463EB4" w:rsidRPr="002716E8" w:rsidTr="00FD726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right w:val="single" w:sz="4" w:space="0" w:color="auto"/>
            </w:tcBorders>
            <w:shd w:val="clear" w:color="auto" w:fill="F2F2F2" w:themeFill="background1" w:themeFillShade="F2"/>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15</w:t>
            </w:r>
          </w:p>
        </w:tc>
        <w:tc>
          <w:tcPr>
            <w:tcW w:w="728"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5"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3"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3"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3"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4.99</w:t>
            </w:r>
          </w:p>
        </w:tc>
        <w:tc>
          <w:tcPr>
            <w:tcW w:w="71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29.38</w:t>
            </w:r>
          </w:p>
        </w:tc>
        <w:tc>
          <w:tcPr>
            <w:tcW w:w="1604"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15.87 - 47</w:t>
            </w:r>
          </w:p>
        </w:tc>
        <w:tc>
          <w:tcPr>
            <w:tcW w:w="775"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59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5.21</w:t>
            </w:r>
          </w:p>
        </w:tc>
        <w:tc>
          <w:tcPr>
            <w:tcW w:w="751"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37</w:t>
            </w:r>
          </w:p>
        </w:tc>
        <w:tc>
          <w:tcPr>
            <w:tcW w:w="1473"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14.94 - 37</w:t>
            </w:r>
          </w:p>
        </w:tc>
      </w:tr>
      <w:tr w:rsidR="00FD17D2" w:rsidRPr="002716E8" w:rsidTr="00FD7267">
        <w:trPr>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right w:val="single" w:sz="4" w:space="0" w:color="auto"/>
            </w:tcBorders>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17</w:t>
            </w:r>
          </w:p>
        </w:tc>
        <w:tc>
          <w:tcPr>
            <w:tcW w:w="728"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5"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3"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Pr>
                <w:rFonts w:ascii="Calibri" w:eastAsia="Times New Roman" w:hAnsi="Calibri" w:cs="Times New Roman"/>
                <w:color w:val="000000"/>
                <w:lang w:eastAsia="en-GB"/>
              </w:rPr>
              <w:t>4.18</w:t>
            </w:r>
          </w:p>
        </w:tc>
        <w:tc>
          <w:tcPr>
            <w:tcW w:w="643"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51</w:t>
            </w:r>
          </w:p>
        </w:tc>
        <w:tc>
          <w:tcPr>
            <w:tcW w:w="1593"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51 - 71.35</w:t>
            </w:r>
          </w:p>
        </w:tc>
        <w:tc>
          <w:tcPr>
            <w:tcW w:w="607"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5.88</w:t>
            </w:r>
          </w:p>
        </w:tc>
        <w:tc>
          <w:tcPr>
            <w:tcW w:w="71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58.28</w:t>
            </w:r>
          </w:p>
        </w:tc>
        <w:tc>
          <w:tcPr>
            <w:tcW w:w="1604"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33.72 - 61</w:t>
            </w:r>
          </w:p>
        </w:tc>
        <w:tc>
          <w:tcPr>
            <w:tcW w:w="775"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59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5.23</w:t>
            </w:r>
          </w:p>
        </w:tc>
        <w:tc>
          <w:tcPr>
            <w:tcW w:w="751"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54</w:t>
            </w:r>
          </w:p>
        </w:tc>
        <w:tc>
          <w:tcPr>
            <w:tcW w:w="1473"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52 - 65</w:t>
            </w:r>
          </w:p>
        </w:tc>
      </w:tr>
      <w:tr w:rsidR="00463EB4" w:rsidRPr="002716E8" w:rsidTr="00FD7267">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right w:val="single" w:sz="4" w:space="0" w:color="auto"/>
            </w:tcBorders>
            <w:shd w:val="clear" w:color="auto" w:fill="F2F2F2" w:themeFill="background1" w:themeFillShade="F2"/>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18</w:t>
            </w:r>
          </w:p>
        </w:tc>
        <w:tc>
          <w:tcPr>
            <w:tcW w:w="728"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16.94</w:t>
            </w:r>
          </w:p>
        </w:tc>
        <w:tc>
          <w:tcPr>
            <w:tcW w:w="72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98.48</w:t>
            </w:r>
          </w:p>
        </w:tc>
        <w:tc>
          <w:tcPr>
            <w:tcW w:w="1425"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85.87 - 100</w:t>
            </w:r>
          </w:p>
        </w:tc>
        <w:tc>
          <w:tcPr>
            <w:tcW w:w="643"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3"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3"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18"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604"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75" w:type="dxa"/>
            <w:tcBorders>
              <w:left w:val="single" w:sz="4" w:space="0" w:color="auto"/>
            </w:tcBorders>
            <w:shd w:val="clear" w:color="auto" w:fill="F2F2F2" w:themeFill="background1" w:themeFillShade="F2"/>
            <w:noWrap/>
            <w:hideMark/>
          </w:tcPr>
          <w:p w:rsidR="00FD17D2" w:rsidRPr="00E8425F" w:rsidRDefault="00FD17D2" w:rsidP="00900AD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12.44</w:t>
            </w:r>
          </w:p>
        </w:tc>
        <w:tc>
          <w:tcPr>
            <w:tcW w:w="598" w:type="dxa"/>
            <w:shd w:val="clear" w:color="auto" w:fill="F2F2F2" w:themeFill="background1" w:themeFillShade="F2"/>
            <w:noWrap/>
            <w:hideMark/>
          </w:tcPr>
          <w:p w:rsidR="00FD17D2" w:rsidRPr="00E8425F" w:rsidRDefault="00FD17D2" w:rsidP="00900AD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98</w:t>
            </w:r>
          </w:p>
        </w:tc>
        <w:tc>
          <w:tcPr>
            <w:tcW w:w="1519" w:type="dxa"/>
            <w:tcBorders>
              <w:right w:val="single" w:sz="4" w:space="0" w:color="auto"/>
            </w:tcBorders>
            <w:shd w:val="clear" w:color="auto" w:fill="F2F2F2" w:themeFill="background1" w:themeFillShade="F2"/>
            <w:noWrap/>
            <w:hideMark/>
          </w:tcPr>
          <w:p w:rsidR="00FD17D2" w:rsidRPr="00E8425F" w:rsidRDefault="00FD17D2" w:rsidP="00900AD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93 - 103</w:t>
            </w:r>
          </w:p>
        </w:tc>
        <w:tc>
          <w:tcPr>
            <w:tcW w:w="607" w:type="dxa"/>
            <w:tcBorders>
              <w:lef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7.22</w:t>
            </w:r>
          </w:p>
        </w:tc>
        <w:tc>
          <w:tcPr>
            <w:tcW w:w="751" w:type="dxa"/>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54.81</w:t>
            </w:r>
          </w:p>
        </w:tc>
        <w:tc>
          <w:tcPr>
            <w:tcW w:w="1473" w:type="dxa"/>
            <w:tcBorders>
              <w:right w:val="single" w:sz="4" w:space="0" w:color="auto"/>
            </w:tcBorders>
            <w:shd w:val="clear" w:color="auto" w:fill="F2F2F2" w:themeFill="background1" w:themeFillShade="F2"/>
            <w:noWrap/>
            <w:hideMark/>
          </w:tcPr>
          <w:p w:rsidR="00FD17D2" w:rsidRPr="002716E8" w:rsidRDefault="00FD17D2"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19.77 - 57</w:t>
            </w:r>
          </w:p>
        </w:tc>
      </w:tr>
      <w:tr w:rsidR="00FD17D2" w:rsidRPr="002716E8" w:rsidTr="00FD7267">
        <w:trPr>
          <w:trHeight w:val="265"/>
        </w:trPr>
        <w:tc>
          <w:tcPr>
            <w:cnfStyle w:val="001000000000" w:firstRow="0" w:lastRow="0" w:firstColumn="1" w:lastColumn="0" w:oddVBand="0" w:evenVBand="0" w:oddHBand="0" w:evenHBand="0" w:firstRowFirstColumn="0" w:firstRowLastColumn="0" w:lastRowFirstColumn="0" w:lastRowLastColumn="0"/>
            <w:tcW w:w="885" w:type="dxa"/>
            <w:tcBorders>
              <w:left w:val="single" w:sz="4" w:space="0" w:color="auto"/>
              <w:bottom w:val="single" w:sz="8" w:space="0" w:color="000000" w:themeColor="text1"/>
              <w:right w:val="single" w:sz="4" w:space="0" w:color="auto"/>
            </w:tcBorders>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20</w:t>
            </w:r>
          </w:p>
        </w:tc>
        <w:tc>
          <w:tcPr>
            <w:tcW w:w="728" w:type="dxa"/>
            <w:tcBorders>
              <w:lef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5" w:type="dxa"/>
            <w:tcBorders>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3" w:type="dxa"/>
            <w:tcBorders>
              <w:left w:val="single" w:sz="4" w:space="0" w:color="auto"/>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3" w:type="dxa"/>
            <w:tcBorders>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93" w:type="dxa"/>
            <w:tcBorders>
              <w:bottom w:val="single" w:sz="8" w:space="0" w:color="000000" w:themeColor="text1"/>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18" w:type="dxa"/>
            <w:tcBorders>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604" w:type="dxa"/>
            <w:tcBorders>
              <w:bottom w:val="single" w:sz="8" w:space="0" w:color="000000" w:themeColor="text1"/>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75" w:type="dxa"/>
            <w:tcBorders>
              <w:left w:val="single" w:sz="4" w:space="0" w:color="auto"/>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598" w:type="dxa"/>
            <w:tcBorders>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bottom w:val="single" w:sz="8" w:space="0" w:color="000000" w:themeColor="text1"/>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4.12</w:t>
            </w:r>
          </w:p>
        </w:tc>
        <w:tc>
          <w:tcPr>
            <w:tcW w:w="751" w:type="dxa"/>
            <w:tcBorders>
              <w:bottom w:val="single" w:sz="8" w:space="0" w:color="000000" w:themeColor="text1"/>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w:t>
            </w:r>
            <w:r>
              <w:rPr>
                <w:rFonts w:ascii="Calibri" w:eastAsia="Times New Roman" w:hAnsi="Calibri" w:cs="Times New Roman"/>
                <w:color w:val="000000"/>
                <w:lang w:eastAsia="en-GB"/>
              </w:rPr>
              <w:t>2</w:t>
            </w:r>
          </w:p>
        </w:tc>
        <w:tc>
          <w:tcPr>
            <w:tcW w:w="1473" w:type="dxa"/>
            <w:tcBorders>
              <w:bottom w:val="single" w:sz="8" w:space="0" w:color="000000" w:themeColor="text1"/>
              <w:right w:val="single" w:sz="4" w:space="0" w:color="auto"/>
            </w:tcBorders>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5.96 - 61</w:t>
            </w:r>
          </w:p>
        </w:tc>
      </w:tr>
    </w:tbl>
    <w:p w:rsidR="0035006C" w:rsidRDefault="0035006C" w:rsidP="0035006C">
      <w:pPr>
        <w:pStyle w:val="figureandtabletext"/>
      </w:pPr>
      <w:r>
        <w:t>Table S</w:t>
      </w:r>
      <w:r w:rsidR="008B55F1">
        <w:t>1</w:t>
      </w:r>
      <w:r w:rsidR="00900AD1">
        <w:t>1</w:t>
      </w:r>
      <w:r w:rsidR="008B55F1">
        <w:t xml:space="preserve"> </w:t>
      </w:r>
      <w:r w:rsidRPr="00143305">
        <w:rPr>
          <w:rStyle w:val="figureandtabletextChar"/>
        </w:rPr>
        <w:t xml:space="preserve">- </w:t>
      </w:r>
      <w:r w:rsidRPr="007927D2">
        <w:rPr>
          <w:rStyle w:val="CommentReference"/>
          <w:sz w:val="22"/>
          <w:szCs w:val="22"/>
        </w:rPr>
        <w:t xml:space="preserve">QTLs across analyses of the F2 family B10, showing for each QTL; the max LOD score, the position of this max LOD and the 95% Bayesian credible intervals.  </w:t>
      </w:r>
    </w:p>
    <w:tbl>
      <w:tblPr>
        <w:tblStyle w:val="LightShading2"/>
        <w:tblW w:w="15369" w:type="dxa"/>
        <w:tblLook w:val="04A0" w:firstRow="1" w:lastRow="0" w:firstColumn="1" w:lastColumn="0" w:noHBand="0" w:noVBand="1"/>
      </w:tblPr>
      <w:tblGrid>
        <w:gridCol w:w="884"/>
        <w:gridCol w:w="727"/>
        <w:gridCol w:w="728"/>
        <w:gridCol w:w="1426"/>
        <w:gridCol w:w="645"/>
        <w:gridCol w:w="645"/>
        <w:gridCol w:w="1595"/>
        <w:gridCol w:w="729"/>
        <w:gridCol w:w="729"/>
        <w:gridCol w:w="1427"/>
        <w:gridCol w:w="607"/>
        <w:gridCol w:w="776"/>
        <w:gridCol w:w="1519"/>
        <w:gridCol w:w="718"/>
        <w:gridCol w:w="718"/>
        <w:gridCol w:w="1496"/>
      </w:tblGrid>
      <w:tr w:rsidR="0035006C" w:rsidRPr="002716E8" w:rsidTr="00FD17D2">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bottom w:val="single" w:sz="4" w:space="0" w:color="auto"/>
              <w:right w:val="single" w:sz="4" w:space="0" w:color="auto"/>
            </w:tcBorders>
            <w:shd w:val="clear" w:color="auto" w:fill="auto"/>
            <w:noWrap/>
            <w:hideMark/>
          </w:tcPr>
          <w:p w:rsidR="0035006C" w:rsidRPr="002716E8" w:rsidRDefault="0035006C" w:rsidP="00FD7267">
            <w:pPr>
              <w:rPr>
                <w:rFonts w:ascii="Calibri" w:eastAsia="Times New Roman" w:hAnsi="Calibri" w:cs="Times New Roman"/>
                <w:color w:val="000000"/>
                <w:lang w:eastAsia="en-GB"/>
              </w:rPr>
            </w:pPr>
            <w:proofErr w:type="spellStart"/>
            <w:r>
              <w:rPr>
                <w:rFonts w:ascii="Calibri" w:eastAsia="Times New Roman" w:hAnsi="Calibri" w:cs="Times New Roman"/>
                <w:color w:val="000000"/>
                <w:lang w:eastAsia="en-GB"/>
              </w:rPr>
              <w:t>Chrom</w:t>
            </w:r>
            <w:proofErr w:type="spellEnd"/>
          </w:p>
        </w:tc>
        <w:tc>
          <w:tcPr>
            <w:tcW w:w="2881" w:type="dxa"/>
            <w:gridSpan w:val="3"/>
            <w:tcBorders>
              <w:left w:val="single" w:sz="4" w:space="0" w:color="auto"/>
              <w:bottom w:val="single" w:sz="4" w:space="0" w:color="auto"/>
              <w:right w:val="single" w:sz="4" w:space="0" w:color="auto"/>
            </w:tcBorders>
            <w:shd w:val="clear" w:color="auto" w:fill="auto"/>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Rays</w:t>
            </w:r>
          </w:p>
        </w:tc>
        <w:tc>
          <w:tcPr>
            <w:tcW w:w="2885" w:type="dxa"/>
            <w:gridSpan w:val="3"/>
            <w:tcBorders>
              <w:left w:val="single" w:sz="4" w:space="0" w:color="auto"/>
              <w:bottom w:val="single" w:sz="4" w:space="0" w:color="auto"/>
              <w:right w:val="single" w:sz="4" w:space="0" w:color="auto"/>
            </w:tcBorders>
            <w:shd w:val="clear" w:color="auto" w:fill="auto"/>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Broken band</w:t>
            </w:r>
          </w:p>
        </w:tc>
        <w:tc>
          <w:tcPr>
            <w:tcW w:w="2885" w:type="dxa"/>
            <w:gridSpan w:val="3"/>
            <w:tcBorders>
              <w:left w:val="single" w:sz="4" w:space="0" w:color="auto"/>
              <w:bottom w:val="single" w:sz="4" w:space="0" w:color="auto"/>
              <w:right w:val="single" w:sz="4" w:space="0" w:color="auto"/>
            </w:tcBorders>
            <w:shd w:val="clear" w:color="auto" w:fill="auto"/>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Red-orange pigmentation</w:t>
            </w:r>
          </w:p>
        </w:tc>
        <w:tc>
          <w:tcPr>
            <w:tcW w:w="2902" w:type="dxa"/>
            <w:gridSpan w:val="3"/>
            <w:tcBorders>
              <w:left w:val="single" w:sz="4" w:space="0" w:color="auto"/>
              <w:bottom w:val="single" w:sz="4" w:space="0" w:color="auto"/>
              <w:right w:val="single" w:sz="4" w:space="0" w:color="auto"/>
            </w:tcBorders>
            <w:shd w:val="clear" w:color="auto" w:fill="auto"/>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Quantitative Red</w:t>
            </w:r>
          </w:p>
        </w:tc>
        <w:tc>
          <w:tcPr>
            <w:tcW w:w="2932" w:type="dxa"/>
            <w:gridSpan w:val="3"/>
            <w:tcBorders>
              <w:left w:val="single" w:sz="4" w:space="0" w:color="auto"/>
              <w:bottom w:val="single" w:sz="4" w:space="0" w:color="auto"/>
              <w:right w:val="single" w:sz="4" w:space="0" w:color="auto"/>
            </w:tcBorders>
            <w:shd w:val="clear" w:color="auto" w:fill="auto"/>
            <w:noWrap/>
            <w:hideMark/>
          </w:tcPr>
          <w:p w:rsidR="0035006C" w:rsidRPr="002716E8" w:rsidRDefault="0035006C" w:rsidP="00FD72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Band shape</w:t>
            </w:r>
          </w:p>
        </w:tc>
      </w:tr>
      <w:tr w:rsidR="00463EB4" w:rsidRPr="002716E8" w:rsidTr="00FD17D2">
        <w:tblPrEx>
          <w:tblBorders>
            <w:top w:val="single" w:sz="5" w:space="0" w:color="000000" w:themeColor="text1"/>
            <w:bottom w:val="single" w:sz="5" w:space="0" w:color="000000" w:themeColor="text1"/>
          </w:tblBorders>
          <w:tblCellMar>
            <w:left w:w="69" w:type="dxa"/>
            <w:right w:w="69" w:type="dxa"/>
          </w:tblCellMar>
        </w:tblPrEx>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84" w:type="dxa"/>
            <w:tcBorders>
              <w:top w:val="single" w:sz="2" w:space="0" w:color="auto"/>
              <w:left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rPr>
                <w:rFonts w:ascii="Calibri" w:eastAsia="Times New Roman" w:hAnsi="Calibri" w:cs="Times New Roman"/>
                <w:color w:val="000000"/>
                <w:lang w:eastAsia="en-GB"/>
              </w:rPr>
            </w:pPr>
          </w:p>
        </w:tc>
        <w:tc>
          <w:tcPr>
            <w:tcW w:w="727"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28"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426"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 xml:space="preserve"> BCI</w:t>
            </w:r>
          </w:p>
        </w:tc>
        <w:tc>
          <w:tcPr>
            <w:tcW w:w="645"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645"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595"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729"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29"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427"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607"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76"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519"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c>
          <w:tcPr>
            <w:tcW w:w="718" w:type="dxa"/>
            <w:tcBorders>
              <w:top w:val="single" w:sz="2" w:space="0" w:color="auto"/>
              <w:left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LOD</w:t>
            </w:r>
          </w:p>
        </w:tc>
        <w:tc>
          <w:tcPr>
            <w:tcW w:w="718" w:type="dxa"/>
            <w:tcBorders>
              <w:top w:val="single" w:sz="2" w:space="0" w:color="auto"/>
              <w:bottom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Pos.</w:t>
            </w:r>
          </w:p>
        </w:tc>
        <w:tc>
          <w:tcPr>
            <w:tcW w:w="1496" w:type="dxa"/>
            <w:tcBorders>
              <w:top w:val="single" w:sz="2" w:space="0" w:color="auto"/>
              <w:bottom w:val="single" w:sz="2" w:space="0" w:color="auto"/>
              <w:right w:val="single" w:sz="2"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eastAsia="en-GB"/>
              </w:rPr>
            </w:pPr>
            <w:r w:rsidRPr="002716E8">
              <w:rPr>
                <w:rFonts w:ascii="Calibri" w:eastAsia="Times New Roman" w:hAnsi="Calibri" w:cs="Times New Roman"/>
                <w:b/>
                <w:color w:val="000000"/>
                <w:lang w:eastAsia="en-GB"/>
              </w:rPr>
              <w:t>BCI</w:t>
            </w:r>
          </w:p>
        </w:tc>
      </w:tr>
      <w:tr w:rsidR="00FD17D2" w:rsidRPr="002716E8" w:rsidTr="00FD17D2">
        <w:trPr>
          <w:trHeight w:val="266"/>
        </w:trPr>
        <w:tc>
          <w:tcPr>
            <w:cnfStyle w:val="001000000000" w:firstRow="0" w:lastRow="0" w:firstColumn="1" w:lastColumn="0" w:oddVBand="0" w:evenVBand="0" w:oddHBand="0" w:evenHBand="0" w:firstRowFirstColumn="0" w:firstRowLastColumn="0" w:lastRowFirstColumn="0" w:lastRowLastColumn="0"/>
            <w:tcW w:w="884" w:type="dxa"/>
            <w:tcBorders>
              <w:top w:val="single" w:sz="4" w:space="0" w:color="auto"/>
              <w:left w:val="single" w:sz="4" w:space="0" w:color="auto"/>
              <w:right w:val="single" w:sz="4" w:space="0" w:color="auto"/>
            </w:tcBorders>
            <w:shd w:val="clear" w:color="auto" w:fill="auto"/>
            <w:noWrap/>
            <w:hideMark/>
          </w:tcPr>
          <w:p w:rsidR="00FD17D2" w:rsidRPr="002716E8" w:rsidRDefault="00FD17D2"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w:t>
            </w:r>
          </w:p>
        </w:tc>
        <w:tc>
          <w:tcPr>
            <w:tcW w:w="727" w:type="dxa"/>
            <w:tcBorders>
              <w:top w:val="single" w:sz="4" w:space="0" w:color="auto"/>
              <w:left w:val="single" w:sz="4" w:space="0" w:color="auto"/>
            </w:tcBorders>
            <w:shd w:val="clear" w:color="auto" w:fill="auto"/>
            <w:noWrap/>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tcBorders>
              <w:top w:val="single" w:sz="4" w:space="0" w:color="auto"/>
            </w:tcBorders>
            <w:shd w:val="clear" w:color="auto" w:fill="auto"/>
            <w:noWrap/>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top w:val="single" w:sz="4" w:space="0" w:color="auto"/>
              <w:right w:val="single" w:sz="4" w:space="0" w:color="auto"/>
            </w:tcBorders>
            <w:shd w:val="clear" w:color="auto" w:fill="auto"/>
            <w:noWrap/>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5" w:type="dxa"/>
            <w:tcBorders>
              <w:top w:val="single" w:sz="4" w:space="0" w:color="auto"/>
              <w:left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5" w:type="dxa"/>
            <w:tcBorders>
              <w:top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top w:val="single" w:sz="4" w:space="0" w:color="auto"/>
              <w:right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9" w:type="dxa"/>
            <w:tcBorders>
              <w:top w:val="single" w:sz="4" w:space="0" w:color="auto"/>
              <w:left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9" w:type="dxa"/>
            <w:tcBorders>
              <w:top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7" w:type="dxa"/>
            <w:tcBorders>
              <w:top w:val="single" w:sz="4" w:space="0" w:color="auto"/>
              <w:right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top w:val="single" w:sz="4" w:space="0" w:color="auto"/>
              <w:left w:val="single" w:sz="4" w:space="0" w:color="auto"/>
            </w:tcBorders>
            <w:shd w:val="clear" w:color="auto" w:fill="auto"/>
            <w:noWrap/>
            <w:hideMark/>
          </w:tcPr>
          <w:p w:rsidR="00FD17D2" w:rsidRPr="00E8425F" w:rsidRDefault="00FD17D2" w:rsidP="00900AD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6.9</w:t>
            </w:r>
          </w:p>
        </w:tc>
        <w:tc>
          <w:tcPr>
            <w:tcW w:w="776" w:type="dxa"/>
            <w:tcBorders>
              <w:top w:val="single" w:sz="4" w:space="0" w:color="auto"/>
            </w:tcBorders>
            <w:shd w:val="clear" w:color="auto" w:fill="auto"/>
            <w:noWrap/>
            <w:hideMark/>
          </w:tcPr>
          <w:p w:rsidR="00FD17D2" w:rsidRPr="00E8425F" w:rsidRDefault="00FD17D2" w:rsidP="00900AD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81.45</w:t>
            </w:r>
          </w:p>
        </w:tc>
        <w:tc>
          <w:tcPr>
            <w:tcW w:w="1519" w:type="dxa"/>
            <w:tcBorders>
              <w:top w:val="single" w:sz="4" w:space="0" w:color="auto"/>
              <w:right w:val="single" w:sz="4" w:space="0" w:color="auto"/>
            </w:tcBorders>
            <w:shd w:val="clear" w:color="auto" w:fill="auto"/>
            <w:noWrap/>
            <w:hideMark/>
          </w:tcPr>
          <w:p w:rsidR="00FD17D2" w:rsidRPr="00E8425F" w:rsidRDefault="00FD17D2" w:rsidP="00900AD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8425F">
              <w:rPr>
                <w:rFonts w:ascii="Calibri" w:eastAsia="Times New Roman" w:hAnsi="Calibri" w:cs="Times New Roman"/>
                <w:color w:val="000000"/>
                <w:lang w:eastAsia="en-GB"/>
              </w:rPr>
              <w:t>72.84 - 98</w:t>
            </w:r>
          </w:p>
        </w:tc>
        <w:tc>
          <w:tcPr>
            <w:tcW w:w="718" w:type="dxa"/>
            <w:tcBorders>
              <w:top w:val="single" w:sz="4" w:space="0" w:color="auto"/>
              <w:left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18" w:type="dxa"/>
            <w:tcBorders>
              <w:top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96" w:type="dxa"/>
            <w:tcBorders>
              <w:top w:val="single" w:sz="4" w:space="0" w:color="auto"/>
              <w:right w:val="single" w:sz="4" w:space="0" w:color="auto"/>
            </w:tcBorders>
            <w:shd w:val="clear" w:color="auto" w:fill="auto"/>
            <w:noWrap/>
            <w:hideMark/>
          </w:tcPr>
          <w:p w:rsidR="00FD17D2" w:rsidRPr="002716E8" w:rsidRDefault="00FD17D2"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r>
      <w:tr w:rsidR="00463EB4" w:rsidRPr="002716E8" w:rsidTr="00FD17D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right w:val="single" w:sz="4" w:space="0" w:color="auto"/>
            </w:tcBorders>
            <w:shd w:val="clear" w:color="auto" w:fill="F2F2F2" w:themeFill="background1" w:themeFillShade="F2"/>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9</w:t>
            </w:r>
          </w:p>
        </w:tc>
        <w:tc>
          <w:tcPr>
            <w:tcW w:w="727"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7"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76"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5.77</w:t>
            </w:r>
          </w:p>
        </w:tc>
        <w:tc>
          <w:tcPr>
            <w:tcW w:w="718"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37.82</w:t>
            </w:r>
          </w:p>
        </w:tc>
        <w:tc>
          <w:tcPr>
            <w:tcW w:w="1496"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33 - 47</w:t>
            </w:r>
          </w:p>
        </w:tc>
      </w:tr>
      <w:tr w:rsidR="0035006C" w:rsidRPr="002716E8" w:rsidTr="00FD17D2">
        <w:trPr>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right w:val="single" w:sz="4" w:space="0" w:color="auto"/>
            </w:tcBorders>
            <w:shd w:val="clear" w:color="auto" w:fill="auto"/>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10</w:t>
            </w:r>
          </w:p>
        </w:tc>
        <w:tc>
          <w:tcPr>
            <w:tcW w:w="727"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5"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40.9</w:t>
            </w:r>
          </w:p>
        </w:tc>
        <w:tc>
          <w:tcPr>
            <w:tcW w:w="645"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6.51</w:t>
            </w:r>
          </w:p>
        </w:tc>
        <w:tc>
          <w:tcPr>
            <w:tcW w:w="1595"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6.05 - 6.51</w:t>
            </w:r>
          </w:p>
        </w:tc>
        <w:tc>
          <w:tcPr>
            <w:tcW w:w="729"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9"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7"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76"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43.92</w:t>
            </w:r>
          </w:p>
        </w:tc>
        <w:tc>
          <w:tcPr>
            <w:tcW w:w="718"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6.05</w:t>
            </w:r>
          </w:p>
        </w:tc>
        <w:tc>
          <w:tcPr>
            <w:tcW w:w="1496"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6 - 6.51</w:t>
            </w:r>
          </w:p>
        </w:tc>
      </w:tr>
      <w:tr w:rsidR="00463EB4" w:rsidRPr="002716E8" w:rsidTr="00FD17D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right w:val="single" w:sz="4" w:space="0" w:color="auto"/>
            </w:tcBorders>
            <w:shd w:val="clear" w:color="auto" w:fill="F2F2F2" w:themeFill="background1" w:themeFillShade="F2"/>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12</w:t>
            </w:r>
          </w:p>
        </w:tc>
        <w:tc>
          <w:tcPr>
            <w:tcW w:w="727"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7"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76"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4.37</w:t>
            </w:r>
          </w:p>
        </w:tc>
        <w:tc>
          <w:tcPr>
            <w:tcW w:w="718"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10</w:t>
            </w:r>
          </w:p>
        </w:tc>
        <w:tc>
          <w:tcPr>
            <w:tcW w:w="1496"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0 - 30</w:t>
            </w:r>
          </w:p>
        </w:tc>
      </w:tr>
      <w:tr w:rsidR="0035006C" w:rsidRPr="002716E8" w:rsidTr="00FD17D2">
        <w:trPr>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right w:val="single" w:sz="4" w:space="0" w:color="auto"/>
            </w:tcBorders>
            <w:shd w:val="clear" w:color="auto" w:fill="auto"/>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13</w:t>
            </w:r>
          </w:p>
        </w:tc>
        <w:tc>
          <w:tcPr>
            <w:tcW w:w="727"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5"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5"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9"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10.19</w:t>
            </w:r>
          </w:p>
        </w:tc>
        <w:tc>
          <w:tcPr>
            <w:tcW w:w="729"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50.51</w:t>
            </w:r>
          </w:p>
        </w:tc>
        <w:tc>
          <w:tcPr>
            <w:tcW w:w="1427"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43 - 59</w:t>
            </w:r>
          </w:p>
        </w:tc>
        <w:tc>
          <w:tcPr>
            <w:tcW w:w="607"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76"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13.65</w:t>
            </w:r>
          </w:p>
        </w:tc>
        <w:tc>
          <w:tcPr>
            <w:tcW w:w="718"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50.51</w:t>
            </w:r>
          </w:p>
        </w:tc>
        <w:tc>
          <w:tcPr>
            <w:tcW w:w="1496"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39 - 51</w:t>
            </w:r>
          </w:p>
        </w:tc>
      </w:tr>
      <w:tr w:rsidR="00463EB4" w:rsidRPr="002716E8" w:rsidTr="00FD17D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right w:val="single" w:sz="4" w:space="0" w:color="auto"/>
            </w:tcBorders>
            <w:shd w:val="clear" w:color="auto" w:fill="F2F2F2" w:themeFill="background1" w:themeFillShade="F2"/>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15</w:t>
            </w:r>
          </w:p>
        </w:tc>
        <w:tc>
          <w:tcPr>
            <w:tcW w:w="727"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8"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4.49</w:t>
            </w:r>
          </w:p>
        </w:tc>
        <w:tc>
          <w:tcPr>
            <w:tcW w:w="729"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10</w:t>
            </w:r>
          </w:p>
        </w:tc>
        <w:tc>
          <w:tcPr>
            <w:tcW w:w="1427"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6 - 32</w:t>
            </w:r>
          </w:p>
        </w:tc>
        <w:tc>
          <w:tcPr>
            <w:tcW w:w="607"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76"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7.75</w:t>
            </w:r>
          </w:p>
        </w:tc>
        <w:tc>
          <w:tcPr>
            <w:tcW w:w="718" w:type="dxa"/>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11</w:t>
            </w:r>
          </w:p>
        </w:tc>
        <w:tc>
          <w:tcPr>
            <w:tcW w:w="1496" w:type="dxa"/>
            <w:tcBorders>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8.39 - 14</w:t>
            </w:r>
          </w:p>
        </w:tc>
      </w:tr>
      <w:tr w:rsidR="0035006C" w:rsidRPr="002716E8" w:rsidTr="00FD17D2">
        <w:trPr>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right w:val="single" w:sz="4" w:space="0" w:color="auto"/>
            </w:tcBorders>
            <w:shd w:val="clear" w:color="auto" w:fill="auto"/>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18</w:t>
            </w:r>
          </w:p>
        </w:tc>
        <w:tc>
          <w:tcPr>
            <w:tcW w:w="727" w:type="dxa"/>
            <w:tcBorders>
              <w:left w:val="single" w:sz="4" w:space="0" w:color="auto"/>
            </w:tcBorders>
            <w:shd w:val="clear" w:color="auto" w:fill="auto"/>
            <w:noWrap/>
            <w:hideMark/>
          </w:tcPr>
          <w:p w:rsidR="0035006C" w:rsidRPr="002716E8" w:rsidRDefault="0035006C" w:rsidP="00491D7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40.</w:t>
            </w:r>
            <w:r w:rsidR="00491D7A">
              <w:rPr>
                <w:rFonts w:ascii="Calibri" w:eastAsia="Times New Roman" w:hAnsi="Calibri" w:cs="Times New Roman"/>
                <w:color w:val="000000"/>
                <w:lang w:eastAsia="en-GB"/>
              </w:rPr>
              <w:t>65</w:t>
            </w:r>
          </w:p>
        </w:tc>
        <w:tc>
          <w:tcPr>
            <w:tcW w:w="728"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99.74</w:t>
            </w:r>
          </w:p>
        </w:tc>
        <w:tc>
          <w:tcPr>
            <w:tcW w:w="1426"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99 - 100</w:t>
            </w:r>
          </w:p>
        </w:tc>
        <w:tc>
          <w:tcPr>
            <w:tcW w:w="645"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645"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29"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4.19</w:t>
            </w:r>
          </w:p>
        </w:tc>
        <w:tc>
          <w:tcPr>
            <w:tcW w:w="729"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101.4</w:t>
            </w:r>
          </w:p>
        </w:tc>
        <w:tc>
          <w:tcPr>
            <w:tcW w:w="1427"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90 - 104</w:t>
            </w:r>
          </w:p>
        </w:tc>
        <w:tc>
          <w:tcPr>
            <w:tcW w:w="607"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76"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7.03</w:t>
            </w:r>
          </w:p>
        </w:tc>
        <w:tc>
          <w:tcPr>
            <w:tcW w:w="718" w:type="dxa"/>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57</w:t>
            </w:r>
          </w:p>
        </w:tc>
        <w:tc>
          <w:tcPr>
            <w:tcW w:w="1496" w:type="dxa"/>
            <w:tcBorders>
              <w:right w:val="single" w:sz="4" w:space="0" w:color="auto"/>
            </w:tcBorders>
            <w:shd w:val="clear" w:color="auto" w:fill="auto"/>
            <w:noWrap/>
            <w:hideMark/>
          </w:tcPr>
          <w:p w:rsidR="0035006C" w:rsidRPr="002716E8" w:rsidRDefault="0035006C" w:rsidP="00FD726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32.65 - 65.30</w:t>
            </w:r>
          </w:p>
        </w:tc>
      </w:tr>
      <w:tr w:rsidR="00463EB4" w:rsidRPr="002716E8" w:rsidTr="00FD17D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84" w:type="dxa"/>
            <w:tcBorders>
              <w:left w:val="single" w:sz="4" w:space="0" w:color="auto"/>
              <w:bottom w:val="single" w:sz="8" w:space="0" w:color="000000" w:themeColor="text1"/>
              <w:right w:val="single" w:sz="4" w:space="0" w:color="auto"/>
            </w:tcBorders>
            <w:shd w:val="clear" w:color="auto" w:fill="F2F2F2" w:themeFill="background1" w:themeFillShade="F2"/>
            <w:noWrap/>
            <w:hideMark/>
          </w:tcPr>
          <w:p w:rsidR="0035006C" w:rsidRPr="002716E8" w:rsidRDefault="0035006C" w:rsidP="00FD7267">
            <w:pPr>
              <w:jc w:val="center"/>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20</w:t>
            </w:r>
          </w:p>
        </w:tc>
        <w:tc>
          <w:tcPr>
            <w:tcW w:w="727" w:type="dxa"/>
            <w:tcBorders>
              <w:left w:val="single" w:sz="4" w:space="0" w:color="auto"/>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8" w:type="dxa"/>
            <w:tcBorders>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6" w:type="dxa"/>
            <w:tcBorders>
              <w:bottom w:val="single" w:sz="8" w:space="0" w:color="000000" w:themeColor="text1"/>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tcBorders>
              <w:lef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45" w:type="dxa"/>
            <w:tcBorders>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95" w:type="dxa"/>
            <w:tcBorders>
              <w:bottom w:val="single" w:sz="8" w:space="0" w:color="000000" w:themeColor="text1"/>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tcBorders>
              <w:left w:val="single" w:sz="4" w:space="0" w:color="auto"/>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29" w:type="dxa"/>
            <w:tcBorders>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427" w:type="dxa"/>
            <w:tcBorders>
              <w:bottom w:val="single" w:sz="8" w:space="0" w:color="000000" w:themeColor="text1"/>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607" w:type="dxa"/>
            <w:tcBorders>
              <w:left w:val="single" w:sz="4" w:space="0" w:color="auto"/>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76" w:type="dxa"/>
            <w:tcBorders>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1519" w:type="dxa"/>
            <w:tcBorders>
              <w:bottom w:val="single" w:sz="8" w:space="0" w:color="000000" w:themeColor="text1"/>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p>
        </w:tc>
        <w:tc>
          <w:tcPr>
            <w:tcW w:w="718" w:type="dxa"/>
            <w:tcBorders>
              <w:left w:val="single" w:sz="4" w:space="0" w:color="auto"/>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5.43</w:t>
            </w:r>
          </w:p>
        </w:tc>
        <w:tc>
          <w:tcPr>
            <w:tcW w:w="718" w:type="dxa"/>
            <w:tcBorders>
              <w:bottom w:val="single" w:sz="8" w:space="0" w:color="000000" w:themeColor="text1"/>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17</w:t>
            </w:r>
          </w:p>
        </w:tc>
        <w:tc>
          <w:tcPr>
            <w:tcW w:w="1496" w:type="dxa"/>
            <w:tcBorders>
              <w:bottom w:val="single" w:sz="8" w:space="0" w:color="000000" w:themeColor="text1"/>
              <w:right w:val="single" w:sz="4" w:space="0" w:color="auto"/>
            </w:tcBorders>
            <w:shd w:val="clear" w:color="auto" w:fill="F2F2F2" w:themeFill="background1" w:themeFillShade="F2"/>
            <w:noWrap/>
            <w:hideMark/>
          </w:tcPr>
          <w:p w:rsidR="0035006C" w:rsidRPr="002716E8" w:rsidRDefault="0035006C" w:rsidP="00FD726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716E8">
              <w:rPr>
                <w:rFonts w:ascii="Calibri" w:eastAsia="Times New Roman" w:hAnsi="Calibri" w:cs="Times New Roman"/>
                <w:color w:val="000000"/>
                <w:lang w:eastAsia="en-GB"/>
              </w:rPr>
              <w:t>7 - 30</w:t>
            </w:r>
          </w:p>
        </w:tc>
      </w:tr>
    </w:tbl>
    <w:p w:rsidR="0035006C" w:rsidRDefault="0035006C" w:rsidP="00CC2D2D">
      <w:pPr>
        <w:pStyle w:val="figureandtabletext"/>
        <w:sectPr w:rsidR="0035006C" w:rsidSect="0035006C">
          <w:pgSz w:w="16838" w:h="11906" w:orient="landscape"/>
          <w:pgMar w:top="1440" w:right="1440" w:bottom="1440" w:left="1440" w:header="708" w:footer="708" w:gutter="0"/>
          <w:cols w:space="708"/>
          <w:docGrid w:linePitch="360"/>
        </w:sectPr>
      </w:pPr>
      <w:r>
        <w:t>Table S</w:t>
      </w:r>
      <w:r w:rsidR="008B55F1">
        <w:t>1</w:t>
      </w:r>
      <w:r w:rsidR="00900AD1">
        <w:t>2</w:t>
      </w:r>
      <w:r w:rsidRPr="00143305">
        <w:t xml:space="preserve"> </w:t>
      </w:r>
      <w:r w:rsidRPr="00143305">
        <w:rPr>
          <w:rStyle w:val="figureandtabletextChar"/>
        </w:rPr>
        <w:t xml:space="preserve">- </w:t>
      </w:r>
      <w:r w:rsidRPr="007927D2">
        <w:rPr>
          <w:rStyle w:val="CommentReference"/>
          <w:sz w:val="22"/>
          <w:szCs w:val="22"/>
        </w:rPr>
        <w:t>QTLs a</w:t>
      </w:r>
      <w:r w:rsidR="00E02174">
        <w:rPr>
          <w:rStyle w:val="CommentReference"/>
          <w:sz w:val="22"/>
          <w:szCs w:val="22"/>
        </w:rPr>
        <w:t>cross analyses of the backcross</w:t>
      </w:r>
      <w:r w:rsidRPr="007927D2">
        <w:rPr>
          <w:rStyle w:val="CommentReference"/>
          <w:sz w:val="22"/>
          <w:szCs w:val="22"/>
        </w:rPr>
        <w:t xml:space="preserve"> family B14, showing for each QTL; the max LOD score, the position of this max LOD and the 95% Bayesian credible intervals</w:t>
      </w:r>
      <w:r w:rsidR="00401DF3">
        <w:rPr>
          <w:rStyle w:val="CommentReference"/>
          <w:sz w:val="22"/>
          <w:szCs w:val="22"/>
        </w:rPr>
        <w:t>.</w:t>
      </w:r>
    </w:p>
    <w:p w:rsidR="007927D2" w:rsidRDefault="007927D2" w:rsidP="00F07268">
      <w:pPr>
        <w:pStyle w:val="figureandtabletext"/>
      </w:pPr>
    </w:p>
    <w:p w:rsidR="007927D2" w:rsidRPr="009042B2" w:rsidRDefault="007927D2" w:rsidP="00F07268">
      <w:pPr>
        <w:pStyle w:val="figureandtabletext"/>
      </w:pPr>
      <w:r>
        <w:rPr>
          <w:noProof/>
          <w:lang w:eastAsia="en-GB"/>
        </w:rPr>
        <w:drawing>
          <wp:inline distT="0" distB="0" distL="0" distR="0" wp14:anchorId="43BD002A" wp14:editId="44BC1A75">
            <wp:extent cx="5723255" cy="2776855"/>
            <wp:effectExtent l="0" t="0" r="0" b="4445"/>
            <wp:docPr id="10" name="Picture 10" descr="C:\Users\Jake Morris\Google Drive\Thesis Papers\Crosses Paper Writeup\Post_PLoS_Gen\PLosGen_Supp_materials\S6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ake Morris\Google Drive\Thesis Papers\Crosses Paper Writeup\Post_PLoS_Gen\PLosGen_Supp_materials\S6_Fi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3255" cy="2776855"/>
                    </a:xfrm>
                    <a:prstGeom prst="rect">
                      <a:avLst/>
                    </a:prstGeom>
                    <a:noFill/>
                    <a:ln>
                      <a:noFill/>
                    </a:ln>
                  </pic:spPr>
                </pic:pic>
              </a:graphicData>
            </a:graphic>
          </wp:inline>
        </w:drawing>
      </w:r>
    </w:p>
    <w:p w:rsidR="00F07268" w:rsidRDefault="00F07268" w:rsidP="00F07268">
      <w:pPr>
        <w:pStyle w:val="figureandtabletext"/>
      </w:pPr>
      <w:proofErr w:type="gramStart"/>
      <w:r w:rsidRPr="009042B2">
        <w:t>Fig.</w:t>
      </w:r>
      <w:proofErr w:type="gramEnd"/>
      <w:r w:rsidRPr="009042B2">
        <w:t xml:space="preserve"> </w:t>
      </w:r>
      <w:r w:rsidR="007927D2">
        <w:t>S</w:t>
      </w:r>
      <w:r w:rsidR="0035006C">
        <w:t>1</w:t>
      </w:r>
      <w:r w:rsidR="00900AD1">
        <w:t>3</w:t>
      </w:r>
      <w:r w:rsidR="007927D2" w:rsidRPr="009042B2">
        <w:t xml:space="preserve"> </w:t>
      </w:r>
      <w:r w:rsidRPr="009042B2">
        <w:t xml:space="preserve">– PCA of medial band shape in B10 and B14. PCs 1 and 2 of medial band shape in each mapping family used for QTL analysis. For the backcross family B14, PCs 1-15 were used explaining 35%, 12%, 8%, 7%, 5%, 4% , 3%, 3%, 3%, 2%, 2%, 2%, 1% , 1% and 1% of the variation. For the F2 family B10, PCs 1-13 were used 30%, 22%, 10%, 6%, 5%, 3%, 3%, 3%, 2%, 2%, 2%, 1%, and 1% of the variation. </w:t>
      </w:r>
    </w:p>
    <w:p w:rsidR="007927D2" w:rsidRDefault="007927D2" w:rsidP="007927D2">
      <w:pPr>
        <w:tabs>
          <w:tab w:val="left" w:pos="5458"/>
        </w:tabs>
      </w:pPr>
    </w:p>
    <w:p w:rsidR="007849D8" w:rsidRDefault="007849D8" w:rsidP="007927D2">
      <w:pPr>
        <w:tabs>
          <w:tab w:val="left" w:pos="5458"/>
        </w:tabs>
        <w:sectPr w:rsidR="007849D8">
          <w:pgSz w:w="11906" w:h="16838"/>
          <w:pgMar w:top="1440" w:right="1440" w:bottom="1440" w:left="1440" w:header="708" w:footer="708" w:gutter="0"/>
          <w:cols w:space="708"/>
          <w:docGrid w:linePitch="360"/>
        </w:sectPr>
      </w:pPr>
    </w:p>
    <w:p w:rsidR="00DB0E4F" w:rsidRDefault="00DB0E4F" w:rsidP="00DB0E4F">
      <w:pPr>
        <w:pStyle w:val="figureandtabletext"/>
        <w:jc w:val="center"/>
      </w:pPr>
      <w:r>
        <w:rPr>
          <w:noProof/>
          <w:lang w:eastAsia="en-GB"/>
        </w:rPr>
        <w:lastRenderedPageBreak/>
        <w:drawing>
          <wp:inline distT="0" distB="0" distL="0" distR="0" wp14:anchorId="47427945" wp14:editId="5C331D96">
            <wp:extent cx="7794488" cy="4617156"/>
            <wp:effectExtent l="0" t="0" r="0" b="0"/>
            <wp:docPr id="4" name="Picture 4" descr="C:\Users\Jake Morris\Google Drive\Thesis Papers\Crosses Paper Writeup\Post_PLoS_Gen\PLosGen_Supp_materials\Fig_S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ake Morris\Google Drive\Thesis Papers\Crosses Paper Writeup\Post_PLoS_Gen\PLosGen_Supp_materials\Fig_S12.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94803" cy="4617342"/>
                    </a:xfrm>
                    <a:prstGeom prst="rect">
                      <a:avLst/>
                    </a:prstGeom>
                    <a:noFill/>
                    <a:ln>
                      <a:noFill/>
                    </a:ln>
                  </pic:spPr>
                </pic:pic>
              </a:graphicData>
            </a:graphic>
          </wp:inline>
        </w:drawing>
      </w:r>
    </w:p>
    <w:p w:rsidR="00DB0E4F" w:rsidRDefault="00DB0E4F" w:rsidP="00DB0E4F">
      <w:pPr>
        <w:pStyle w:val="figureandtabletext"/>
      </w:pPr>
      <w:proofErr w:type="gramStart"/>
      <w:r>
        <w:t>Fig.</w:t>
      </w:r>
      <w:proofErr w:type="gramEnd"/>
      <w:r>
        <w:t xml:space="preserve"> S1</w:t>
      </w:r>
      <w:r w:rsidR="00900AD1">
        <w:t>4</w:t>
      </w:r>
      <w:r>
        <w:t xml:space="preserve"> – Plots showing the effects in each family, of the major effect </w:t>
      </w:r>
      <w:proofErr w:type="spellStart"/>
      <w:r>
        <w:t>QTLz</w:t>
      </w:r>
      <w:proofErr w:type="spellEnd"/>
      <w:r>
        <w:t xml:space="preserve"> identified on chromosome 10 (15.71% and 12.42% of variation in B10 and B14 respectively) on medial band shape, and the family specific QTLs on Chromosome 18 (F2) and 13 (Backcross). Arrows show the difference in the location of each semi-landmark between the two extremes of the phenotype as determined by the QTL.</w:t>
      </w:r>
    </w:p>
    <w:p w:rsidR="00DB0E4F" w:rsidRDefault="00DB0E4F" w:rsidP="007927D2">
      <w:pPr>
        <w:pStyle w:val="figureandtabletext"/>
        <w:rPr>
          <w:rStyle w:val="CommentReference"/>
          <w:sz w:val="22"/>
          <w:szCs w:val="22"/>
        </w:rPr>
        <w:sectPr w:rsidR="00DB0E4F" w:rsidSect="00FD7267">
          <w:pgSz w:w="16838" w:h="11906" w:orient="landscape"/>
          <w:pgMar w:top="2268" w:right="851" w:bottom="851" w:left="851" w:header="425" w:footer="425" w:gutter="0"/>
          <w:cols w:space="708"/>
          <w:docGrid w:linePitch="360"/>
        </w:sectPr>
      </w:pPr>
    </w:p>
    <w:p w:rsidR="007927D2" w:rsidRDefault="007927D2" w:rsidP="007927D2">
      <w:pPr>
        <w:pStyle w:val="figureandtabletext"/>
      </w:pPr>
      <w:r>
        <w:rPr>
          <w:noProof/>
          <w:lang w:eastAsia="en-GB"/>
        </w:rPr>
        <w:lastRenderedPageBreak/>
        <w:drawing>
          <wp:inline distT="0" distB="0" distL="0" distR="0" wp14:anchorId="17942D58" wp14:editId="2A9C4A62">
            <wp:extent cx="5576570" cy="2766060"/>
            <wp:effectExtent l="0" t="0" r="5080" b="0"/>
            <wp:docPr id="12" name="Picture 12" descr="C:\Users\Jake Morris\Google Drive\Thesis Papers\Crosses Paper Writeup\Post_PLoS_Gen\PLosGen_Supp_materials\S9_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ake Morris\Google Drive\Thesis Papers\Crosses Paper Writeup\Post_PLoS_Gen\PLosGen_Supp_materials\S9_Fig.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6570" cy="2766060"/>
                    </a:xfrm>
                    <a:prstGeom prst="rect">
                      <a:avLst/>
                    </a:prstGeom>
                    <a:noFill/>
                    <a:ln>
                      <a:noFill/>
                    </a:ln>
                  </pic:spPr>
                </pic:pic>
              </a:graphicData>
            </a:graphic>
          </wp:inline>
        </w:drawing>
      </w:r>
    </w:p>
    <w:p w:rsidR="00D35EBA" w:rsidRDefault="007927D2" w:rsidP="007849D8">
      <w:pPr>
        <w:pStyle w:val="figureandtabletext"/>
      </w:pPr>
      <w:proofErr w:type="gramStart"/>
      <w:r w:rsidRPr="009042B2">
        <w:t>Fig.</w:t>
      </w:r>
      <w:proofErr w:type="gramEnd"/>
      <w:r w:rsidRPr="009042B2">
        <w:t xml:space="preserve"> </w:t>
      </w:r>
      <w:r w:rsidR="00D35EBA">
        <w:t>S</w:t>
      </w:r>
      <w:r w:rsidR="00DB0E4F">
        <w:t>1</w:t>
      </w:r>
      <w:r w:rsidR="00900AD1">
        <w:t>5</w:t>
      </w:r>
      <w:r w:rsidR="00D35EBA" w:rsidRPr="009042B2">
        <w:t xml:space="preserve"> </w:t>
      </w:r>
      <w:r w:rsidRPr="009042B2">
        <w:t>– PCA of log10 transformed RGB values in B10 and B14. PCs 1 and 2 of log10 transformed RGB values in each mapping family used for QTL analysis, PC1, PC2, PC3 and PC4 respectively each described 58, 27, 11 and 2 percent of the variation in B10; and 61, 26, 11 and 3 percent of variation in B14</w:t>
      </w:r>
      <w:r w:rsidR="00D35EBA" w:rsidRPr="00D35EBA">
        <w:t xml:space="preserve"> </w:t>
      </w:r>
    </w:p>
    <w:p w:rsidR="00CC5FD7" w:rsidRDefault="00CC5FD7" w:rsidP="007849D8">
      <w:pPr>
        <w:pStyle w:val="figureandtabletext"/>
        <w:sectPr w:rsidR="00CC5FD7" w:rsidSect="007849D8">
          <w:pgSz w:w="11906" w:h="16838"/>
          <w:pgMar w:top="1440" w:right="1440" w:bottom="1440" w:left="1440" w:header="708" w:footer="708" w:gutter="0"/>
          <w:cols w:space="708"/>
          <w:docGrid w:linePitch="360"/>
        </w:sectPr>
      </w:pPr>
    </w:p>
    <w:tbl>
      <w:tblPr>
        <w:tblW w:w="13782" w:type="dxa"/>
        <w:tblInd w:w="392" w:type="dxa"/>
        <w:tblLook w:val="04A0" w:firstRow="1" w:lastRow="0" w:firstColumn="1" w:lastColumn="0" w:noHBand="0" w:noVBand="1"/>
      </w:tblPr>
      <w:tblGrid>
        <w:gridCol w:w="1843"/>
        <w:gridCol w:w="992"/>
        <w:gridCol w:w="850"/>
        <w:gridCol w:w="1560"/>
        <w:gridCol w:w="1417"/>
        <w:gridCol w:w="1559"/>
        <w:gridCol w:w="1359"/>
        <w:gridCol w:w="1476"/>
        <w:gridCol w:w="1273"/>
        <w:gridCol w:w="1453"/>
      </w:tblGrid>
      <w:tr w:rsidR="002E2320" w:rsidRPr="00CC5FD7" w:rsidTr="002E2320">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lastRenderedPageBreak/>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w:t>
            </w:r>
            <w:r w:rsidRPr="00CC5FD7">
              <w:rPr>
                <w:rFonts w:ascii="Calibri" w:eastAsia="Times New Roman" w:hAnsi="Calibri" w:cs="Times New Roman"/>
                <w:b/>
                <w:bCs/>
                <w:color w:val="000000"/>
                <w:lang w:eastAsia="en-GB"/>
              </w:rPr>
              <w:t>ex</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Rays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Broken </w:t>
            </w:r>
            <w:r w:rsidRPr="00CC5FD7">
              <w:rPr>
                <w:rFonts w:ascii="Calibri" w:eastAsia="Times New Roman" w:hAnsi="Calibri" w:cs="Times New Roman"/>
                <w:b/>
                <w:bCs/>
                <w:color w:val="000000"/>
                <w:lang w:eastAsia="en-GB"/>
              </w:rPr>
              <w:t>band</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PC2</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rsidR="002E2320"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range</w:t>
            </w:r>
          </w:p>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PC1</w:t>
            </w: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2E2320"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range</w:t>
            </w:r>
          </w:p>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PC2</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 xml:space="preserve">wing red </w:t>
            </w:r>
            <w:r w:rsidRPr="00CC5FD7">
              <w:rPr>
                <w:rFonts w:ascii="Calibri" w:eastAsia="Times New Roman" w:hAnsi="Calibri" w:cs="Times New Roman"/>
                <w:b/>
                <w:bCs/>
                <w:color w:val="000000"/>
                <w:lang w:eastAsia="en-GB"/>
              </w:rPr>
              <w:t>PC1</w:t>
            </w:r>
          </w:p>
        </w:tc>
        <w:tc>
          <w:tcPr>
            <w:tcW w:w="1453"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wing red PC2</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w:t>
            </w:r>
            <w:r w:rsidRPr="00CC5FD7">
              <w:rPr>
                <w:rFonts w:ascii="Calibri" w:eastAsia="Times New Roman" w:hAnsi="Calibri" w:cs="Times New Roman"/>
                <w:b/>
                <w:bCs/>
                <w:color w:val="000000"/>
                <w:lang w:eastAsia="en-GB"/>
              </w:rPr>
              <w:t>ex</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0.05</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-0.01</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-0.21</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-0.06</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CC5FD7">
            <w:pPr>
              <w:spacing w:after="0" w:line="240" w:lineRule="auto"/>
              <w:jc w:val="center"/>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-0.4</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CC5FD7">
            <w:pPr>
              <w:spacing w:after="0" w:line="240" w:lineRule="auto"/>
              <w:jc w:val="center"/>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-0.42</w:t>
            </w:r>
          </w:p>
        </w:tc>
      </w:tr>
      <w:tr w:rsidR="002E2320" w:rsidRPr="00CC5FD7" w:rsidTr="00F46A91">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Rays</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0.9833</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0.16</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-0.01</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0.03</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0.14</w:t>
            </w:r>
          </w:p>
        </w:tc>
        <w:tc>
          <w:tcPr>
            <w:tcW w:w="1273" w:type="dxa"/>
            <w:tcBorders>
              <w:top w:val="nil"/>
              <w:left w:val="nil"/>
              <w:bottom w:val="single" w:sz="4" w:space="0" w:color="auto"/>
              <w:right w:val="single" w:sz="4" w:space="0" w:color="auto"/>
            </w:tcBorders>
            <w:shd w:val="clear" w:color="auto" w:fill="auto"/>
            <w:noWrap/>
            <w:vAlign w:val="bottom"/>
          </w:tcPr>
          <w:p w:rsidR="002E2320" w:rsidRPr="00CC5FD7" w:rsidRDefault="002E2320" w:rsidP="00CC5FD7">
            <w:pPr>
              <w:spacing w:after="0" w:line="240" w:lineRule="auto"/>
              <w:jc w:val="center"/>
              <w:rPr>
                <w:rFonts w:ascii="Calibri" w:eastAsia="Times New Roman" w:hAnsi="Calibri" w:cs="Times New Roman"/>
                <w:color w:val="000000"/>
                <w:lang w:eastAsia="en-GB"/>
              </w:rPr>
            </w:pPr>
          </w:p>
        </w:tc>
        <w:tc>
          <w:tcPr>
            <w:tcW w:w="1453" w:type="dxa"/>
            <w:tcBorders>
              <w:top w:val="nil"/>
              <w:left w:val="nil"/>
              <w:bottom w:val="single" w:sz="4" w:space="0" w:color="auto"/>
              <w:right w:val="single" w:sz="4" w:space="0" w:color="auto"/>
            </w:tcBorders>
            <w:shd w:val="clear" w:color="auto" w:fill="auto"/>
            <w:noWrap/>
            <w:vAlign w:val="bottom"/>
          </w:tcPr>
          <w:p w:rsidR="002E2320" w:rsidRPr="00CC5FD7" w:rsidRDefault="002E2320" w:rsidP="00CC5FD7">
            <w:pPr>
              <w:spacing w:after="0" w:line="240" w:lineRule="auto"/>
              <w:jc w:val="center"/>
              <w:rPr>
                <w:rFonts w:ascii="Calibri" w:eastAsia="Times New Roman" w:hAnsi="Calibri" w:cs="Times New Roman"/>
                <w:color w:val="000000"/>
                <w:lang w:eastAsia="en-GB"/>
              </w:rPr>
            </w:pP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Broken </w:t>
            </w:r>
            <w:r w:rsidRPr="00CC5FD7">
              <w:rPr>
                <w:rFonts w:ascii="Calibri" w:eastAsia="Times New Roman" w:hAnsi="Calibri" w:cs="Times New Roman"/>
                <w:b/>
                <w:bCs/>
                <w:color w:val="000000"/>
                <w:lang w:eastAsia="en-GB"/>
              </w:rPr>
              <w:t>band</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0.6451</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0.1405</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CC5FD7">
            <w:pPr>
              <w:spacing w:after="0" w:line="240" w:lineRule="auto"/>
              <w:jc w:val="center"/>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-0.65</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-0.06</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-0.12</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CC5FD7">
            <w:pPr>
              <w:spacing w:after="0" w:line="240" w:lineRule="auto"/>
              <w:jc w:val="center"/>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0.47</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0.05</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PC1</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0.9524</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0.9605</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CC5FD7">
            <w:pPr>
              <w:spacing w:after="0" w:line="240" w:lineRule="auto"/>
              <w:jc w:val="center"/>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CC5FD7">
            <w:pPr>
              <w:spacing w:after="0" w:line="240" w:lineRule="auto"/>
              <w:jc w:val="center"/>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0.32</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-0.05</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CC5FD7">
            <w:pPr>
              <w:spacing w:after="0" w:line="240" w:lineRule="auto"/>
              <w:jc w:val="center"/>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-0.4</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0.05</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0.07</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PC2</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0.9921</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0.385</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0.6116</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CC5FD7">
            <w:pPr>
              <w:spacing w:after="0" w:line="240" w:lineRule="auto"/>
              <w:jc w:val="center"/>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0.0047</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-0.3</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-0.09</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0.17</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 xml:space="preserve">range </w:t>
            </w:r>
            <w:r w:rsidRPr="00CC5FD7">
              <w:rPr>
                <w:rFonts w:ascii="Calibri" w:eastAsia="Times New Roman" w:hAnsi="Calibri" w:cs="Times New Roman"/>
                <w:b/>
                <w:bCs/>
                <w:color w:val="000000"/>
                <w:lang w:eastAsia="en-GB"/>
              </w:rPr>
              <w:t>PC1</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0.054</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0.7725</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0.2995</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0.6908</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0.0075</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0.01</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0.18</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0.02</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range PC2</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0.6068</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0.217</w:t>
            </w: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CC5FD7">
            <w:pPr>
              <w:spacing w:after="0" w:line="240" w:lineRule="auto"/>
              <w:jc w:val="center"/>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CC5FD7">
            <w:pPr>
              <w:spacing w:after="0" w:line="240" w:lineRule="auto"/>
              <w:jc w:val="center"/>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0.0003</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0.428</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0.9332</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-0.09</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0.2</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 xml:space="preserve">wing red </w:t>
            </w:r>
            <w:r w:rsidRPr="00CC5FD7">
              <w:rPr>
                <w:rFonts w:ascii="Calibri" w:eastAsia="Times New Roman" w:hAnsi="Calibri" w:cs="Times New Roman"/>
                <w:b/>
                <w:bCs/>
                <w:color w:val="000000"/>
                <w:lang w:eastAsia="en-GB"/>
              </w:rPr>
              <w:t>PC1</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CC5FD7">
            <w:pPr>
              <w:spacing w:after="0" w:line="240" w:lineRule="auto"/>
              <w:jc w:val="center"/>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0.0012</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0.7192</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0.6982</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0.4333</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0.1598</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0.4881</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0.05</w:t>
            </w:r>
          </w:p>
        </w:tc>
      </w:tr>
      <w:tr w:rsidR="002E2320" w:rsidRPr="00CC5FD7" w:rsidTr="002E2320">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2E2320">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wing red PC2</w:t>
            </w:r>
          </w:p>
        </w:tc>
        <w:tc>
          <w:tcPr>
            <w:tcW w:w="992"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CC5FD7">
            <w:pPr>
              <w:spacing w:after="0" w:line="240" w:lineRule="auto"/>
              <w:jc w:val="center"/>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0.0006</w:t>
            </w:r>
          </w:p>
        </w:tc>
        <w:tc>
          <w:tcPr>
            <w:tcW w:w="85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p>
        </w:tc>
        <w:tc>
          <w:tcPr>
            <w:tcW w:w="1560"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0.4319</w:t>
            </w:r>
          </w:p>
        </w:tc>
        <w:tc>
          <w:tcPr>
            <w:tcW w:w="1417"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0.594</w:t>
            </w:r>
          </w:p>
        </w:tc>
        <w:tc>
          <w:tcPr>
            <w:tcW w:w="15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0.1933</w:t>
            </w:r>
          </w:p>
        </w:tc>
        <w:tc>
          <w:tcPr>
            <w:tcW w:w="1359"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0.876</w:t>
            </w:r>
          </w:p>
        </w:tc>
        <w:tc>
          <w:tcPr>
            <w:tcW w:w="1476"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0.1202</w:t>
            </w:r>
          </w:p>
        </w:tc>
        <w:tc>
          <w:tcPr>
            <w:tcW w:w="127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0.7207</w:t>
            </w:r>
          </w:p>
        </w:tc>
        <w:tc>
          <w:tcPr>
            <w:tcW w:w="1453" w:type="dxa"/>
            <w:tcBorders>
              <w:top w:val="nil"/>
              <w:left w:val="nil"/>
              <w:bottom w:val="single" w:sz="4" w:space="0" w:color="auto"/>
              <w:right w:val="single" w:sz="4" w:space="0" w:color="auto"/>
            </w:tcBorders>
            <w:shd w:val="clear" w:color="auto" w:fill="auto"/>
            <w:noWrap/>
            <w:vAlign w:val="bottom"/>
            <w:hideMark/>
          </w:tcPr>
          <w:p w:rsidR="002E2320" w:rsidRPr="00CC5FD7" w:rsidRDefault="002E2320" w:rsidP="00CC5FD7">
            <w:pPr>
              <w:spacing w:after="0" w:line="240" w:lineRule="auto"/>
              <w:jc w:val="center"/>
              <w:rPr>
                <w:rFonts w:ascii="Calibri" w:eastAsia="Times New Roman" w:hAnsi="Calibri" w:cs="Times New Roman"/>
                <w:color w:val="000000"/>
                <w:lang w:eastAsia="en-GB"/>
              </w:rPr>
            </w:pPr>
            <w:r w:rsidRPr="00CC5FD7">
              <w:rPr>
                <w:rFonts w:ascii="Calibri" w:eastAsia="Times New Roman" w:hAnsi="Calibri" w:cs="Times New Roman"/>
                <w:color w:val="000000"/>
                <w:lang w:eastAsia="en-GB"/>
              </w:rPr>
              <w:t>-</w:t>
            </w:r>
          </w:p>
        </w:tc>
      </w:tr>
    </w:tbl>
    <w:p w:rsidR="00CC5FD7" w:rsidRDefault="002E2320" w:rsidP="007849D8">
      <w:pPr>
        <w:pStyle w:val="figureandtabletext"/>
      </w:pPr>
      <w:proofErr w:type="gramStart"/>
      <w:r>
        <w:t>Table</w:t>
      </w:r>
      <w:r w:rsidR="002209ED" w:rsidRPr="009042B2">
        <w:t xml:space="preserve"> </w:t>
      </w:r>
      <w:r w:rsidR="002209ED">
        <w:t>S1</w:t>
      </w:r>
      <w:r w:rsidR="00900AD1">
        <w:t>6</w:t>
      </w:r>
      <w:r>
        <w:t xml:space="preserve"> –Spearman’s rank correlation results for family B10.</w:t>
      </w:r>
      <w:proofErr w:type="gramEnd"/>
      <w:r w:rsidR="00F46A91">
        <w:t xml:space="preserve"> </w:t>
      </w:r>
      <w:r w:rsidR="0027184E">
        <w:t xml:space="preserve">Correlation values (r) are shown </w:t>
      </w:r>
      <w:proofErr w:type="gramStart"/>
      <w:r w:rsidR="0027184E">
        <w:t>above,</w:t>
      </w:r>
      <w:proofErr w:type="gramEnd"/>
      <w:r w:rsidR="0027184E">
        <w:t xml:space="preserve"> p-values are shown below. </w:t>
      </w:r>
      <w:r w:rsidR="00F46A91">
        <w:t xml:space="preserve">Significant </w:t>
      </w:r>
      <w:r w:rsidR="0027184E">
        <w:t>values are highlighted in bold.</w:t>
      </w:r>
      <w:r w:rsidR="00D450C8" w:rsidRPr="00D450C8">
        <w:t xml:space="preserve"> No correlation could be calculated for between quantitative hindwing red patterning and the hindwing rays, as this quantitative hindwing red variation was only measured on rayed individuals.</w:t>
      </w:r>
    </w:p>
    <w:tbl>
      <w:tblPr>
        <w:tblW w:w="13782" w:type="dxa"/>
        <w:tblInd w:w="392" w:type="dxa"/>
        <w:tblLook w:val="04A0" w:firstRow="1" w:lastRow="0" w:firstColumn="1" w:lastColumn="0" w:noHBand="0" w:noVBand="1"/>
      </w:tblPr>
      <w:tblGrid>
        <w:gridCol w:w="1842"/>
        <w:gridCol w:w="965"/>
        <w:gridCol w:w="1020"/>
        <w:gridCol w:w="1418"/>
        <w:gridCol w:w="1473"/>
        <w:gridCol w:w="1503"/>
        <w:gridCol w:w="1418"/>
        <w:gridCol w:w="1369"/>
        <w:gridCol w:w="1324"/>
        <w:gridCol w:w="1450"/>
      </w:tblGrid>
      <w:tr w:rsidR="002E2320" w:rsidRPr="002E2320" w:rsidTr="00FD7267">
        <w:trPr>
          <w:trHeight w:val="300"/>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b/>
                <w:bCs/>
                <w:color w:val="000000"/>
                <w:lang w:eastAsia="en-GB"/>
              </w:rPr>
            </w:pPr>
            <w:r w:rsidRPr="002E2320">
              <w:rPr>
                <w:rFonts w:ascii="Calibri" w:eastAsia="Times New Roman" w:hAnsi="Calibri" w:cs="Times New Roman"/>
                <w:b/>
                <w:bCs/>
                <w:color w:val="000000"/>
                <w:lang w:eastAsia="en-GB"/>
              </w:rPr>
              <w:t> </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w:t>
            </w:r>
            <w:r w:rsidRPr="00CC5FD7">
              <w:rPr>
                <w:rFonts w:ascii="Calibri" w:eastAsia="Times New Roman" w:hAnsi="Calibri" w:cs="Times New Roman"/>
                <w:b/>
                <w:bCs/>
                <w:color w:val="000000"/>
                <w:lang w:eastAsia="en-GB"/>
              </w:rPr>
              <w:t>ex</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Rays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Broken </w:t>
            </w:r>
            <w:r w:rsidRPr="00CC5FD7">
              <w:rPr>
                <w:rFonts w:ascii="Calibri" w:eastAsia="Times New Roman" w:hAnsi="Calibri" w:cs="Times New Roman"/>
                <w:b/>
                <w:bCs/>
                <w:color w:val="000000"/>
                <w:lang w:eastAsia="en-GB"/>
              </w:rPr>
              <w:t>band</w:t>
            </w:r>
          </w:p>
        </w:tc>
        <w:tc>
          <w:tcPr>
            <w:tcW w:w="1473"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PC1</w:t>
            </w:r>
          </w:p>
        </w:tc>
        <w:tc>
          <w:tcPr>
            <w:tcW w:w="1503"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E2320"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range</w:t>
            </w:r>
          </w:p>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PC1</w:t>
            </w:r>
          </w:p>
        </w:tc>
        <w:tc>
          <w:tcPr>
            <w:tcW w:w="1369" w:type="dxa"/>
            <w:tcBorders>
              <w:top w:val="single" w:sz="4" w:space="0" w:color="auto"/>
              <w:left w:val="nil"/>
              <w:bottom w:val="single" w:sz="4" w:space="0" w:color="auto"/>
              <w:right w:val="single" w:sz="4" w:space="0" w:color="auto"/>
            </w:tcBorders>
            <w:shd w:val="clear" w:color="auto" w:fill="auto"/>
            <w:noWrap/>
            <w:vAlign w:val="bottom"/>
            <w:hideMark/>
          </w:tcPr>
          <w:p w:rsidR="002E2320"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range</w:t>
            </w:r>
          </w:p>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PC2</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 xml:space="preserve">wing red </w:t>
            </w:r>
            <w:r w:rsidRPr="00CC5FD7">
              <w:rPr>
                <w:rFonts w:ascii="Calibri" w:eastAsia="Times New Roman" w:hAnsi="Calibri" w:cs="Times New Roman"/>
                <w:b/>
                <w:bCs/>
                <w:color w:val="000000"/>
                <w:lang w:eastAsia="en-GB"/>
              </w:rPr>
              <w:t>PC1</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wing red PC2</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S</w:t>
            </w:r>
            <w:r w:rsidRPr="00CC5FD7">
              <w:rPr>
                <w:rFonts w:ascii="Calibri" w:eastAsia="Times New Roman" w:hAnsi="Calibri" w:cs="Times New Roman"/>
                <w:b/>
                <w:bCs/>
                <w:color w:val="000000"/>
                <w:lang w:eastAsia="en-GB"/>
              </w:rPr>
              <w:t>ex</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-0.04</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-0.04</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0.03</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-0.04</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-0.41</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-0.13</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-0.72</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0.12</w:t>
            </w:r>
          </w:p>
        </w:tc>
      </w:tr>
      <w:tr w:rsidR="002E2320" w:rsidRPr="002E2320" w:rsidTr="00F46A91">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Rays</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0.6192</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0.26</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-0.08</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0.35</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-0.09</w:t>
            </w:r>
          </w:p>
        </w:tc>
        <w:tc>
          <w:tcPr>
            <w:tcW w:w="1324" w:type="dxa"/>
            <w:tcBorders>
              <w:top w:val="nil"/>
              <w:left w:val="nil"/>
              <w:bottom w:val="single" w:sz="4" w:space="0" w:color="auto"/>
              <w:right w:val="single" w:sz="4" w:space="0" w:color="auto"/>
            </w:tcBorders>
            <w:shd w:val="clear" w:color="auto" w:fill="auto"/>
            <w:noWrap/>
            <w:vAlign w:val="bottom"/>
          </w:tcPr>
          <w:p w:rsidR="002E2320" w:rsidRPr="002E2320" w:rsidRDefault="002E2320" w:rsidP="002E2320">
            <w:pPr>
              <w:spacing w:after="0" w:line="240" w:lineRule="auto"/>
              <w:rPr>
                <w:rFonts w:ascii="Calibri" w:eastAsia="Times New Roman" w:hAnsi="Calibri" w:cs="Times New Roman"/>
                <w:color w:val="000000"/>
                <w:lang w:eastAsia="en-GB"/>
              </w:rPr>
            </w:pPr>
          </w:p>
        </w:tc>
        <w:tc>
          <w:tcPr>
            <w:tcW w:w="1450" w:type="dxa"/>
            <w:tcBorders>
              <w:top w:val="nil"/>
              <w:left w:val="nil"/>
              <w:bottom w:val="single" w:sz="4" w:space="0" w:color="auto"/>
              <w:right w:val="single" w:sz="4" w:space="0" w:color="auto"/>
            </w:tcBorders>
            <w:shd w:val="clear" w:color="auto" w:fill="auto"/>
            <w:noWrap/>
            <w:vAlign w:val="bottom"/>
          </w:tcPr>
          <w:p w:rsidR="002E2320" w:rsidRPr="002E2320" w:rsidRDefault="002E2320" w:rsidP="002E2320">
            <w:pPr>
              <w:spacing w:after="0" w:line="240" w:lineRule="auto"/>
              <w:rPr>
                <w:rFonts w:ascii="Calibri" w:eastAsia="Times New Roman" w:hAnsi="Calibri" w:cs="Times New Roman"/>
                <w:color w:val="000000"/>
                <w:lang w:eastAsia="en-GB"/>
              </w:rPr>
            </w:pP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Broken </w:t>
            </w:r>
            <w:r w:rsidRPr="00CC5FD7">
              <w:rPr>
                <w:rFonts w:ascii="Calibri" w:eastAsia="Times New Roman" w:hAnsi="Calibri" w:cs="Times New Roman"/>
                <w:b/>
                <w:bCs/>
                <w:color w:val="000000"/>
                <w:lang w:eastAsia="en-GB"/>
              </w:rPr>
              <w:t>band</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0.6064</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0.0171</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-0.84</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-0.27</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0.09</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0.11</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F46A91" w:rsidRDefault="002E2320" w:rsidP="002E2320">
            <w:pPr>
              <w:spacing w:after="0" w:line="240" w:lineRule="auto"/>
              <w:jc w:val="right"/>
              <w:rPr>
                <w:rFonts w:ascii="Calibri" w:eastAsia="Times New Roman" w:hAnsi="Calibri" w:cs="Times New Roman"/>
                <w:b/>
                <w:color w:val="000000"/>
                <w:lang w:eastAsia="en-GB"/>
              </w:rPr>
            </w:pPr>
            <w:r w:rsidRPr="00F46A91">
              <w:rPr>
                <w:rFonts w:ascii="Calibri" w:eastAsia="Times New Roman" w:hAnsi="Calibri" w:cs="Times New Roman"/>
                <w:b/>
                <w:color w:val="000000"/>
                <w:lang w:eastAsia="en-GB"/>
              </w:rPr>
              <w:t>0.24</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PC1</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0.7366</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0.0028</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-0.03</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-0.08</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-0.15</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 xml:space="preserve">Band </w:t>
            </w:r>
            <w:r w:rsidRPr="00CC5FD7">
              <w:rPr>
                <w:rFonts w:ascii="Calibri" w:eastAsia="Times New Roman" w:hAnsi="Calibri" w:cs="Times New Roman"/>
                <w:b/>
                <w:bCs/>
                <w:color w:val="000000"/>
                <w:lang w:eastAsia="en-GB"/>
              </w:rPr>
              <w:t>shape</w:t>
            </w:r>
            <w:r>
              <w:rPr>
                <w:rFonts w:ascii="Calibri" w:eastAsia="Times New Roman" w:hAnsi="Calibri" w:cs="Times New Roman"/>
                <w:b/>
                <w:bCs/>
                <w:color w:val="000000"/>
                <w:lang w:eastAsia="en-GB"/>
              </w:rPr>
              <w:t xml:space="preserve"> PC2</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0.6548</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0.361</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0.0016</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0.6911</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0.08</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0.04</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-0.08</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-0.15</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 xml:space="preserve">range </w:t>
            </w:r>
            <w:r w:rsidRPr="00CC5FD7">
              <w:rPr>
                <w:rFonts w:ascii="Calibri" w:eastAsia="Times New Roman" w:hAnsi="Calibri" w:cs="Times New Roman"/>
                <w:b/>
                <w:bCs/>
                <w:color w:val="000000"/>
                <w:lang w:eastAsia="en-GB"/>
              </w:rPr>
              <w:t>PC1</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0.2291</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0.2701</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0.3616</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0.12</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0.22</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-0.14</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Red-</w:t>
            </w:r>
            <w:r w:rsidRPr="00CC5FD7">
              <w:rPr>
                <w:rFonts w:ascii="Calibri" w:eastAsia="Times New Roman" w:hAnsi="Calibri" w:cs="Times New Roman"/>
                <w:b/>
                <w:bCs/>
                <w:color w:val="000000"/>
                <w:lang w:eastAsia="en-GB"/>
              </w:rPr>
              <w:t>O</w:t>
            </w:r>
            <w:r>
              <w:rPr>
                <w:rFonts w:ascii="Calibri" w:eastAsia="Times New Roman" w:hAnsi="Calibri" w:cs="Times New Roman"/>
                <w:b/>
                <w:bCs/>
                <w:color w:val="000000"/>
                <w:lang w:eastAsia="en-GB"/>
              </w:rPr>
              <w:t>range PC2</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0.118</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0.3125</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0.2977</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0.3876</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0.6531</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0.1701</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0.21</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 xml:space="preserve">wing red </w:t>
            </w:r>
            <w:r w:rsidRPr="00CC5FD7">
              <w:rPr>
                <w:rFonts w:ascii="Calibri" w:eastAsia="Times New Roman" w:hAnsi="Calibri" w:cs="Times New Roman"/>
                <w:b/>
                <w:bCs/>
                <w:color w:val="000000"/>
                <w:lang w:eastAsia="en-GB"/>
              </w:rPr>
              <w:t>PC1</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 </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0.3648</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0.9779</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0.5039</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0.0591</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0.0779</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0.02</w:t>
            </w:r>
          </w:p>
        </w:tc>
      </w:tr>
      <w:tr w:rsidR="002E2320" w:rsidRPr="002E2320" w:rsidTr="00FD7267">
        <w:trPr>
          <w:trHeight w:val="300"/>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rsidR="002E2320" w:rsidRPr="00CC5FD7" w:rsidRDefault="002E2320" w:rsidP="00FD7267">
            <w:pPr>
              <w:spacing w:after="0" w:line="240" w:lineRule="auto"/>
              <w:jc w:val="center"/>
              <w:rPr>
                <w:rFonts w:ascii="Calibri" w:eastAsia="Times New Roman" w:hAnsi="Calibri" w:cs="Times New Roman"/>
                <w:b/>
                <w:bCs/>
                <w:color w:val="000000"/>
                <w:lang w:eastAsia="en-GB"/>
              </w:rPr>
            </w:pPr>
            <w:r w:rsidRPr="00CC5FD7">
              <w:rPr>
                <w:rFonts w:ascii="Calibri" w:eastAsia="Times New Roman" w:hAnsi="Calibri" w:cs="Times New Roman"/>
                <w:b/>
                <w:bCs/>
                <w:color w:val="000000"/>
                <w:lang w:eastAsia="en-GB"/>
              </w:rPr>
              <w:t>Hind</w:t>
            </w:r>
            <w:r>
              <w:rPr>
                <w:rFonts w:ascii="Calibri" w:eastAsia="Times New Roman" w:hAnsi="Calibri" w:cs="Times New Roman"/>
                <w:b/>
                <w:bCs/>
                <w:color w:val="000000"/>
                <w:lang w:eastAsia="en-GB"/>
              </w:rPr>
              <w:t>wing red PC2</w:t>
            </w:r>
          </w:p>
        </w:tc>
        <w:tc>
          <w:tcPr>
            <w:tcW w:w="965"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0.3176</w:t>
            </w:r>
          </w:p>
        </w:tc>
        <w:tc>
          <w:tcPr>
            <w:tcW w:w="102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 </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b/>
                <w:color w:val="000000"/>
                <w:lang w:eastAsia="en-GB"/>
              </w:rPr>
            </w:pPr>
            <w:r w:rsidRPr="002E2320">
              <w:rPr>
                <w:rFonts w:ascii="Calibri" w:eastAsia="Times New Roman" w:hAnsi="Calibri" w:cs="Times New Roman"/>
                <w:b/>
                <w:color w:val="000000"/>
                <w:lang w:eastAsia="en-GB"/>
              </w:rPr>
              <w:t>0.044</w:t>
            </w:r>
          </w:p>
        </w:tc>
        <w:tc>
          <w:tcPr>
            <w:tcW w:w="147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0.2209</w:t>
            </w:r>
          </w:p>
        </w:tc>
        <w:tc>
          <w:tcPr>
            <w:tcW w:w="1503"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0.22</w:t>
            </w:r>
          </w:p>
        </w:tc>
        <w:tc>
          <w:tcPr>
            <w:tcW w:w="1418"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0.2325</w:t>
            </w:r>
          </w:p>
        </w:tc>
        <w:tc>
          <w:tcPr>
            <w:tcW w:w="1369"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0.0947</w:t>
            </w:r>
          </w:p>
        </w:tc>
        <w:tc>
          <w:tcPr>
            <w:tcW w:w="1324"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right"/>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0.8338</w:t>
            </w:r>
          </w:p>
        </w:tc>
        <w:tc>
          <w:tcPr>
            <w:tcW w:w="1450" w:type="dxa"/>
            <w:tcBorders>
              <w:top w:val="nil"/>
              <w:left w:val="nil"/>
              <w:bottom w:val="single" w:sz="4" w:space="0" w:color="auto"/>
              <w:right w:val="single" w:sz="4" w:space="0" w:color="auto"/>
            </w:tcBorders>
            <w:shd w:val="clear" w:color="auto" w:fill="auto"/>
            <w:noWrap/>
            <w:vAlign w:val="bottom"/>
            <w:hideMark/>
          </w:tcPr>
          <w:p w:rsidR="002E2320" w:rsidRPr="002E2320" w:rsidRDefault="002E2320" w:rsidP="002E2320">
            <w:pPr>
              <w:spacing w:after="0" w:line="240" w:lineRule="auto"/>
              <w:jc w:val="center"/>
              <w:rPr>
                <w:rFonts w:ascii="Calibri" w:eastAsia="Times New Roman" w:hAnsi="Calibri" w:cs="Times New Roman"/>
                <w:color w:val="000000"/>
                <w:lang w:eastAsia="en-GB"/>
              </w:rPr>
            </w:pPr>
            <w:r w:rsidRPr="002E2320">
              <w:rPr>
                <w:rFonts w:ascii="Calibri" w:eastAsia="Times New Roman" w:hAnsi="Calibri" w:cs="Times New Roman"/>
                <w:color w:val="000000"/>
                <w:lang w:eastAsia="en-GB"/>
              </w:rPr>
              <w:t>-</w:t>
            </w:r>
          </w:p>
        </w:tc>
      </w:tr>
    </w:tbl>
    <w:p w:rsidR="00CC5FD7" w:rsidRDefault="002E2320" w:rsidP="007849D8">
      <w:pPr>
        <w:pStyle w:val="figureandtabletext"/>
      </w:pPr>
      <w:proofErr w:type="gramStart"/>
      <w:r>
        <w:lastRenderedPageBreak/>
        <w:t>Table</w:t>
      </w:r>
      <w:r w:rsidR="002209ED" w:rsidRPr="009042B2">
        <w:t xml:space="preserve"> </w:t>
      </w:r>
      <w:r w:rsidR="002209ED">
        <w:t>S1</w:t>
      </w:r>
      <w:r w:rsidR="00900AD1">
        <w:t>7</w:t>
      </w:r>
      <w:r>
        <w:t xml:space="preserve"> - Spearman’s rank correlation results for family B14.</w:t>
      </w:r>
      <w:proofErr w:type="gramEnd"/>
      <w:r w:rsidR="0027184E" w:rsidRPr="0027184E">
        <w:t xml:space="preserve"> </w:t>
      </w:r>
      <w:r w:rsidR="0027184E">
        <w:t xml:space="preserve">Correlation values (r) are shown </w:t>
      </w:r>
      <w:proofErr w:type="gramStart"/>
      <w:r w:rsidR="0027184E">
        <w:t>above,</w:t>
      </w:r>
      <w:proofErr w:type="gramEnd"/>
      <w:r w:rsidR="0027184E">
        <w:t xml:space="preserve"> p-values are shown below. Significant values are highlighted in bold.</w:t>
      </w:r>
      <w:r w:rsidR="00535E7B">
        <w:t xml:space="preserve"> </w:t>
      </w:r>
      <w:r w:rsidR="00535E7B" w:rsidRPr="00535E7B">
        <w:t>No correlation could be calculated for between quantitative hindwing red patterning and the hindwing rays, as this quantitative hindwing red variation was only measured on rayed individuals.</w:t>
      </w:r>
    </w:p>
    <w:sectPr w:rsidR="00CC5FD7" w:rsidSect="00CC5FD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8"/>
    <w:rsid w:val="00044EAC"/>
    <w:rsid w:val="0005385F"/>
    <w:rsid w:val="000B2856"/>
    <w:rsid w:val="00106DD9"/>
    <w:rsid w:val="001238D6"/>
    <w:rsid w:val="00164721"/>
    <w:rsid w:val="00173DAE"/>
    <w:rsid w:val="001E5888"/>
    <w:rsid w:val="00200CC0"/>
    <w:rsid w:val="0021113A"/>
    <w:rsid w:val="002209ED"/>
    <w:rsid w:val="0027184E"/>
    <w:rsid w:val="00277A04"/>
    <w:rsid w:val="002E2320"/>
    <w:rsid w:val="00313928"/>
    <w:rsid w:val="0035006C"/>
    <w:rsid w:val="003B5DB9"/>
    <w:rsid w:val="00401DF3"/>
    <w:rsid w:val="00463EB4"/>
    <w:rsid w:val="00491D7A"/>
    <w:rsid w:val="00532D46"/>
    <w:rsid w:val="00535E7B"/>
    <w:rsid w:val="00567D77"/>
    <w:rsid w:val="005850F3"/>
    <w:rsid w:val="005B5628"/>
    <w:rsid w:val="005C5703"/>
    <w:rsid w:val="00643C2A"/>
    <w:rsid w:val="006846A1"/>
    <w:rsid w:val="00706593"/>
    <w:rsid w:val="007849D8"/>
    <w:rsid w:val="007927D2"/>
    <w:rsid w:val="007F72A5"/>
    <w:rsid w:val="0085208F"/>
    <w:rsid w:val="008B55F1"/>
    <w:rsid w:val="00900AD1"/>
    <w:rsid w:val="00993957"/>
    <w:rsid w:val="009A6A52"/>
    <w:rsid w:val="00A17A8E"/>
    <w:rsid w:val="00A34A30"/>
    <w:rsid w:val="00AA2FB6"/>
    <w:rsid w:val="00B17273"/>
    <w:rsid w:val="00B31104"/>
    <w:rsid w:val="00B94E86"/>
    <w:rsid w:val="00BE5042"/>
    <w:rsid w:val="00C24526"/>
    <w:rsid w:val="00C5187D"/>
    <w:rsid w:val="00CB0B69"/>
    <w:rsid w:val="00CC2D2D"/>
    <w:rsid w:val="00CC5FD7"/>
    <w:rsid w:val="00D35EBA"/>
    <w:rsid w:val="00D450C8"/>
    <w:rsid w:val="00DB0E4F"/>
    <w:rsid w:val="00E02174"/>
    <w:rsid w:val="00E13C7A"/>
    <w:rsid w:val="00E854A8"/>
    <w:rsid w:val="00E930B4"/>
    <w:rsid w:val="00EC38CA"/>
    <w:rsid w:val="00EC7812"/>
    <w:rsid w:val="00ED1D4B"/>
    <w:rsid w:val="00F07268"/>
    <w:rsid w:val="00F21F61"/>
    <w:rsid w:val="00F41A04"/>
    <w:rsid w:val="00F46A91"/>
    <w:rsid w:val="00FD17D2"/>
    <w:rsid w:val="00FD7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7268"/>
    <w:pPr>
      <w:spacing w:line="480" w:lineRule="auto"/>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64721"/>
    <w:pPr>
      <w:spacing w:after="300" w:line="240" w:lineRule="auto"/>
      <w:contextualSpacing/>
    </w:pPr>
    <w:rPr>
      <w:rFonts w:asciiTheme="majorHAnsi" w:eastAsiaTheme="majorEastAsia" w:hAnsiTheme="majorHAnsi" w:cstheme="majorBidi"/>
      <w:spacing w:val="5"/>
      <w:kern w:val="28"/>
      <w:sz w:val="40"/>
      <w:szCs w:val="52"/>
    </w:rPr>
  </w:style>
  <w:style w:type="character" w:customStyle="1" w:styleId="TitleChar">
    <w:name w:val="Title Char"/>
    <w:basedOn w:val="DefaultParagraphFont"/>
    <w:link w:val="Title"/>
    <w:uiPriority w:val="10"/>
    <w:rsid w:val="00164721"/>
    <w:rPr>
      <w:rFonts w:asciiTheme="majorHAnsi" w:eastAsiaTheme="majorEastAsia" w:hAnsiTheme="majorHAnsi" w:cstheme="majorBidi"/>
      <w:spacing w:val="5"/>
      <w:kern w:val="28"/>
      <w:sz w:val="40"/>
      <w:szCs w:val="52"/>
    </w:rPr>
  </w:style>
  <w:style w:type="character" w:customStyle="1" w:styleId="Heading1Char">
    <w:name w:val="Heading 1 Char"/>
    <w:basedOn w:val="DefaultParagraphFont"/>
    <w:link w:val="Heading1"/>
    <w:uiPriority w:val="9"/>
    <w:rsid w:val="00F07268"/>
    <w:rPr>
      <w:b/>
    </w:rPr>
  </w:style>
  <w:style w:type="paragraph" w:styleId="Header">
    <w:name w:val="header"/>
    <w:basedOn w:val="Normal"/>
    <w:link w:val="HeaderChar"/>
    <w:uiPriority w:val="99"/>
    <w:unhideWhenUsed/>
    <w:rsid w:val="00F07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268"/>
  </w:style>
  <w:style w:type="paragraph" w:styleId="Footer">
    <w:name w:val="footer"/>
    <w:basedOn w:val="Normal"/>
    <w:link w:val="FooterChar"/>
    <w:uiPriority w:val="99"/>
    <w:unhideWhenUsed/>
    <w:rsid w:val="00F07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268"/>
  </w:style>
  <w:style w:type="character" w:styleId="CommentReference">
    <w:name w:val="annotation reference"/>
    <w:basedOn w:val="DefaultParagraphFont"/>
    <w:uiPriority w:val="99"/>
    <w:semiHidden/>
    <w:unhideWhenUsed/>
    <w:rsid w:val="00F07268"/>
    <w:rPr>
      <w:sz w:val="16"/>
      <w:szCs w:val="16"/>
    </w:rPr>
  </w:style>
  <w:style w:type="paragraph" w:customStyle="1" w:styleId="figureandtabletext">
    <w:name w:val="figure and table text"/>
    <w:basedOn w:val="Normal"/>
    <w:link w:val="figureandtabletextChar"/>
    <w:qFormat/>
    <w:rsid w:val="00F07268"/>
    <w:pPr>
      <w:spacing w:before="120" w:after="360" w:line="360" w:lineRule="auto"/>
    </w:pPr>
    <w:rPr>
      <w:rFonts w:ascii="Garamond" w:hAnsi="Garamond"/>
      <w:b/>
    </w:rPr>
  </w:style>
  <w:style w:type="character" w:customStyle="1" w:styleId="figureandtabletextChar">
    <w:name w:val="figure and table text Char"/>
    <w:basedOn w:val="DefaultParagraphFont"/>
    <w:link w:val="figureandtabletext"/>
    <w:rsid w:val="00F07268"/>
    <w:rPr>
      <w:rFonts w:ascii="Garamond" w:hAnsi="Garamond"/>
      <w:b/>
    </w:rPr>
  </w:style>
  <w:style w:type="table" w:styleId="TableGrid">
    <w:name w:val="Table Grid"/>
    <w:basedOn w:val="TableNormal"/>
    <w:uiPriority w:val="59"/>
    <w:rsid w:val="0079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7D2"/>
    <w:rPr>
      <w:color w:val="0000FF" w:themeColor="hyperlink"/>
      <w:u w:val="single"/>
    </w:rPr>
  </w:style>
  <w:style w:type="paragraph" w:styleId="BalloonText">
    <w:name w:val="Balloon Text"/>
    <w:basedOn w:val="Normal"/>
    <w:link w:val="BalloonTextChar"/>
    <w:uiPriority w:val="99"/>
    <w:semiHidden/>
    <w:unhideWhenUsed/>
    <w:rsid w:val="007927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7D2"/>
    <w:rPr>
      <w:rFonts w:ascii="Tahoma" w:hAnsi="Tahoma" w:cs="Tahoma"/>
      <w:sz w:val="16"/>
      <w:szCs w:val="16"/>
    </w:rPr>
  </w:style>
  <w:style w:type="table" w:customStyle="1" w:styleId="LightShading1">
    <w:name w:val="Light Shading1"/>
    <w:basedOn w:val="TableNormal"/>
    <w:next w:val="LightShading"/>
    <w:uiPriority w:val="60"/>
    <w:rsid w:val="00792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92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792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unhideWhenUsed/>
    <w:rsid w:val="005C5703"/>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5C5703"/>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7268"/>
    <w:pPr>
      <w:spacing w:line="480" w:lineRule="auto"/>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64721"/>
    <w:pPr>
      <w:spacing w:after="300" w:line="240" w:lineRule="auto"/>
      <w:contextualSpacing/>
    </w:pPr>
    <w:rPr>
      <w:rFonts w:asciiTheme="majorHAnsi" w:eastAsiaTheme="majorEastAsia" w:hAnsiTheme="majorHAnsi" w:cstheme="majorBidi"/>
      <w:spacing w:val="5"/>
      <w:kern w:val="28"/>
      <w:sz w:val="40"/>
      <w:szCs w:val="52"/>
    </w:rPr>
  </w:style>
  <w:style w:type="character" w:customStyle="1" w:styleId="TitleChar">
    <w:name w:val="Title Char"/>
    <w:basedOn w:val="DefaultParagraphFont"/>
    <w:link w:val="Title"/>
    <w:uiPriority w:val="10"/>
    <w:rsid w:val="00164721"/>
    <w:rPr>
      <w:rFonts w:asciiTheme="majorHAnsi" w:eastAsiaTheme="majorEastAsia" w:hAnsiTheme="majorHAnsi" w:cstheme="majorBidi"/>
      <w:spacing w:val="5"/>
      <w:kern w:val="28"/>
      <w:sz w:val="40"/>
      <w:szCs w:val="52"/>
    </w:rPr>
  </w:style>
  <w:style w:type="character" w:customStyle="1" w:styleId="Heading1Char">
    <w:name w:val="Heading 1 Char"/>
    <w:basedOn w:val="DefaultParagraphFont"/>
    <w:link w:val="Heading1"/>
    <w:uiPriority w:val="9"/>
    <w:rsid w:val="00F07268"/>
    <w:rPr>
      <w:b/>
    </w:rPr>
  </w:style>
  <w:style w:type="paragraph" w:styleId="Header">
    <w:name w:val="header"/>
    <w:basedOn w:val="Normal"/>
    <w:link w:val="HeaderChar"/>
    <w:uiPriority w:val="99"/>
    <w:unhideWhenUsed/>
    <w:rsid w:val="00F07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268"/>
  </w:style>
  <w:style w:type="paragraph" w:styleId="Footer">
    <w:name w:val="footer"/>
    <w:basedOn w:val="Normal"/>
    <w:link w:val="FooterChar"/>
    <w:uiPriority w:val="99"/>
    <w:unhideWhenUsed/>
    <w:rsid w:val="00F07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268"/>
  </w:style>
  <w:style w:type="character" w:styleId="CommentReference">
    <w:name w:val="annotation reference"/>
    <w:basedOn w:val="DefaultParagraphFont"/>
    <w:uiPriority w:val="99"/>
    <w:semiHidden/>
    <w:unhideWhenUsed/>
    <w:rsid w:val="00F07268"/>
    <w:rPr>
      <w:sz w:val="16"/>
      <w:szCs w:val="16"/>
    </w:rPr>
  </w:style>
  <w:style w:type="paragraph" w:customStyle="1" w:styleId="figureandtabletext">
    <w:name w:val="figure and table text"/>
    <w:basedOn w:val="Normal"/>
    <w:link w:val="figureandtabletextChar"/>
    <w:qFormat/>
    <w:rsid w:val="00F07268"/>
    <w:pPr>
      <w:spacing w:before="120" w:after="360" w:line="360" w:lineRule="auto"/>
    </w:pPr>
    <w:rPr>
      <w:rFonts w:ascii="Garamond" w:hAnsi="Garamond"/>
      <w:b/>
    </w:rPr>
  </w:style>
  <w:style w:type="character" w:customStyle="1" w:styleId="figureandtabletextChar">
    <w:name w:val="figure and table text Char"/>
    <w:basedOn w:val="DefaultParagraphFont"/>
    <w:link w:val="figureandtabletext"/>
    <w:rsid w:val="00F07268"/>
    <w:rPr>
      <w:rFonts w:ascii="Garamond" w:hAnsi="Garamond"/>
      <w:b/>
    </w:rPr>
  </w:style>
  <w:style w:type="table" w:styleId="TableGrid">
    <w:name w:val="Table Grid"/>
    <w:basedOn w:val="TableNormal"/>
    <w:uiPriority w:val="59"/>
    <w:rsid w:val="00792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7D2"/>
    <w:rPr>
      <w:color w:val="0000FF" w:themeColor="hyperlink"/>
      <w:u w:val="single"/>
    </w:rPr>
  </w:style>
  <w:style w:type="paragraph" w:styleId="BalloonText">
    <w:name w:val="Balloon Text"/>
    <w:basedOn w:val="Normal"/>
    <w:link w:val="BalloonTextChar"/>
    <w:uiPriority w:val="99"/>
    <w:semiHidden/>
    <w:unhideWhenUsed/>
    <w:rsid w:val="007927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7D2"/>
    <w:rPr>
      <w:rFonts w:ascii="Tahoma" w:hAnsi="Tahoma" w:cs="Tahoma"/>
      <w:sz w:val="16"/>
      <w:szCs w:val="16"/>
    </w:rPr>
  </w:style>
  <w:style w:type="table" w:customStyle="1" w:styleId="LightShading1">
    <w:name w:val="Light Shading1"/>
    <w:basedOn w:val="TableNormal"/>
    <w:next w:val="LightShading"/>
    <w:uiPriority w:val="60"/>
    <w:rsid w:val="00792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92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792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unhideWhenUsed/>
    <w:rsid w:val="005C5703"/>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5C5703"/>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314160">
      <w:bodyDiv w:val="1"/>
      <w:marLeft w:val="0"/>
      <w:marRight w:val="0"/>
      <w:marTop w:val="0"/>
      <w:marBottom w:val="0"/>
      <w:divBdr>
        <w:top w:val="none" w:sz="0" w:space="0" w:color="auto"/>
        <w:left w:val="none" w:sz="0" w:space="0" w:color="auto"/>
        <w:bottom w:val="none" w:sz="0" w:space="0" w:color="auto"/>
        <w:right w:val="none" w:sz="0" w:space="0" w:color="auto"/>
      </w:divBdr>
    </w:div>
    <w:div w:id="1196499724">
      <w:bodyDiv w:val="1"/>
      <w:marLeft w:val="0"/>
      <w:marRight w:val="0"/>
      <w:marTop w:val="0"/>
      <w:marBottom w:val="0"/>
      <w:divBdr>
        <w:top w:val="none" w:sz="0" w:space="0" w:color="auto"/>
        <w:left w:val="none" w:sz="0" w:space="0" w:color="auto"/>
        <w:bottom w:val="none" w:sz="0" w:space="0" w:color="auto"/>
        <w:right w:val="none" w:sz="0" w:space="0" w:color="auto"/>
      </w:divBdr>
    </w:div>
    <w:div w:id="15309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if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ourceforge.net/projects/lep-map3/" TargetMode="Externa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tiff"/><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A4C03-E7BB-4F7E-A8B6-46098F4A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17</Pages>
  <Words>6890</Words>
  <Characters>39276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Jake Morris</dc:creator>
  <cp:lastModifiedBy>Jake Morris</cp:lastModifiedBy>
  <cp:revision>59</cp:revision>
  <cp:lastPrinted>2018-06-06T18:26:00Z</cp:lastPrinted>
  <dcterms:created xsi:type="dcterms:W3CDTF">2018-05-24T17:55:00Z</dcterms:created>
  <dcterms:modified xsi:type="dcterms:W3CDTF">2018-09-05T13:37:00Z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http://www.zotero.org/styles/evolution</vt:lpwstr>
  </property>
  <property fmtid="{D5CDD505-2E9C-101B-9397-08002B2CF9AE}" pid="9" name="Mendeley Recent Style Name 3_1">
    <vt:lpwstr>Evolution</vt:lpwstr>
  </property>
  <property fmtid="{D5CDD505-2E9C-101B-9397-08002B2CF9AE}" pid="10" name="Mendeley Recent Style Id 4_1">
    <vt:lpwstr>http://www.zotero.org/styles/genes</vt:lpwstr>
  </property>
  <property fmtid="{D5CDD505-2E9C-101B-9397-08002B2CF9AE}" pid="11" name="Mendeley Recent Style Name 4_1">
    <vt:lpwstr>Genes</vt:lpwstr>
  </property>
  <property fmtid="{D5CDD505-2E9C-101B-9397-08002B2CF9AE}" pid="12" name="Mendeley Recent Style Id 5_1">
    <vt:lpwstr>http://www.zotero.org/styles/heredity</vt:lpwstr>
  </property>
  <property fmtid="{D5CDD505-2E9C-101B-9397-08002B2CF9AE}" pid="13" name="Mendeley Recent Style Name 5_1">
    <vt:lpwstr>Heredity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http://www.zotero.org/styles/plos-genetics</vt:lpwstr>
  </property>
  <property fmtid="{D5CDD505-2E9C-101B-9397-08002B2CF9AE}" pid="21" name="Mendeley Recent Style Name 9_1">
    <vt:lpwstr>PLOS Genetics</vt:lpwstr>
  </property>
</Properties>
</file>