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56DF17" w14:textId="03619399" w:rsidR="005A7A83" w:rsidRDefault="00F56C3F">
      <w:r>
        <w:rPr>
          <w:noProof/>
        </w:rPr>
        <w:drawing>
          <wp:inline distT="0" distB="0" distL="0" distR="0" wp14:anchorId="0E4FD6A5" wp14:editId="1F52D232">
            <wp:extent cx="5386705" cy="2540581"/>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7159" cy="2554944"/>
                    </a:xfrm>
                    <a:prstGeom prst="rect">
                      <a:avLst/>
                    </a:prstGeom>
                    <a:noFill/>
                    <a:ln>
                      <a:noFill/>
                    </a:ln>
                  </pic:spPr>
                </pic:pic>
              </a:graphicData>
            </a:graphic>
          </wp:inline>
        </w:drawing>
      </w:r>
    </w:p>
    <w:p w14:paraId="01C0071F" w14:textId="3EDDE024" w:rsidR="00BF49CC" w:rsidRDefault="00BF49CC"/>
    <w:p w14:paraId="1FDC6BCD" w14:textId="3C2C5E33" w:rsidR="00BF49CC" w:rsidRDefault="00BF49CC" w:rsidP="00BF49CC">
      <w:pPr>
        <w:rPr>
          <w:rFonts w:ascii="Times New Roman" w:hAnsi="Times New Roman" w:cs="Times New Roman"/>
        </w:rPr>
      </w:pPr>
      <w:r w:rsidRPr="00B152DA">
        <w:rPr>
          <w:rFonts w:ascii="Times New Roman" w:hAnsi="Times New Roman" w:cs="Times New Roman"/>
        </w:rPr>
        <w:t xml:space="preserve">Supplementary Fig. S1. Distribution of the alternative allele frequencies of (A) </w:t>
      </w:r>
      <w:proofErr w:type="spellStart"/>
      <w:r w:rsidRPr="00B152DA">
        <w:rPr>
          <w:rFonts w:ascii="Times New Roman" w:hAnsi="Times New Roman" w:cs="Times New Roman"/>
        </w:rPr>
        <w:t>rabbiteye</w:t>
      </w:r>
      <w:proofErr w:type="spellEnd"/>
      <w:r w:rsidRPr="00B152DA">
        <w:rPr>
          <w:rFonts w:ascii="Times New Roman" w:hAnsi="Times New Roman" w:cs="Times New Roman"/>
        </w:rPr>
        <w:t xml:space="preserve"> blueberry and (B) highbush blueberry. Sites were counted based on their alternative allele frequency in 1% bins. Lines represent different cultivars. Eight representative cultivars are presented in each figure.</w:t>
      </w:r>
    </w:p>
    <w:p w14:paraId="0D269BE7" w14:textId="77777777" w:rsidR="00BF49CC" w:rsidRPr="00B152DA" w:rsidRDefault="00BF49CC" w:rsidP="00BF49CC">
      <w:pPr>
        <w:rPr>
          <w:rFonts w:ascii="Times New Roman" w:hAnsi="Times New Roman" w:cs="Times New Roman"/>
        </w:rPr>
      </w:pPr>
    </w:p>
    <w:p w14:paraId="60ECA18A" w14:textId="1D37AA70" w:rsidR="00BF49CC" w:rsidRDefault="00BF49CC"/>
    <w:p w14:paraId="7B924308" w14:textId="35227A86" w:rsidR="00BF49CC" w:rsidRDefault="00BF49CC"/>
    <w:p w14:paraId="06C340D2" w14:textId="0B9A7F79" w:rsidR="00BF49CC" w:rsidRDefault="00BF49CC"/>
    <w:p w14:paraId="41190DDD" w14:textId="7935A701" w:rsidR="00BF49CC" w:rsidRDefault="00BF49CC"/>
    <w:p w14:paraId="1A54DBC2" w14:textId="447F67D6" w:rsidR="00BF49CC" w:rsidRDefault="00BF49CC"/>
    <w:p w14:paraId="66BF45B8" w14:textId="52E2A0E6" w:rsidR="00BF49CC" w:rsidRDefault="00BF49CC"/>
    <w:p w14:paraId="5B437776" w14:textId="464AD6E3" w:rsidR="00BF49CC" w:rsidRDefault="00BF49CC"/>
    <w:p w14:paraId="4022A752" w14:textId="0C79BB00" w:rsidR="00BF49CC" w:rsidRDefault="00BF49CC"/>
    <w:p w14:paraId="3507AA0B" w14:textId="021346EF" w:rsidR="00BF49CC" w:rsidRDefault="00BF49CC"/>
    <w:p w14:paraId="3894F79F" w14:textId="45EC5C77" w:rsidR="00BF49CC" w:rsidRDefault="00BF49CC"/>
    <w:p w14:paraId="17A41993" w14:textId="0D75D5CD" w:rsidR="00BF49CC" w:rsidRDefault="00BF49CC"/>
    <w:p w14:paraId="7C97D231" w14:textId="67678EE5" w:rsidR="00BF49CC" w:rsidRDefault="00BF49CC"/>
    <w:p w14:paraId="0AE1D304" w14:textId="1469028B" w:rsidR="00BF49CC" w:rsidRDefault="00BF49CC"/>
    <w:p w14:paraId="1B9349EB" w14:textId="7C87716B" w:rsidR="00BF49CC" w:rsidRDefault="00BF49CC"/>
    <w:p w14:paraId="731706C9" w14:textId="556C4308" w:rsidR="00BF49CC" w:rsidRDefault="00BF49CC"/>
    <w:p w14:paraId="3554670B" w14:textId="0201E25F" w:rsidR="00BF49CC" w:rsidRDefault="00BF49CC"/>
    <w:p w14:paraId="1D561408" w14:textId="0A4B2F42" w:rsidR="00BF49CC" w:rsidRDefault="00BF49CC"/>
    <w:p w14:paraId="0160B1E0" w14:textId="75948902" w:rsidR="00BF49CC" w:rsidRDefault="00BF49CC"/>
    <w:p w14:paraId="5E58F921" w14:textId="165A3F7B" w:rsidR="00BF49CC" w:rsidRDefault="00BF49CC"/>
    <w:p w14:paraId="79753CF6" w14:textId="77777777" w:rsidR="00BF49CC" w:rsidRDefault="00BF49CC"/>
    <w:p w14:paraId="1F421905" w14:textId="46B06DE8" w:rsidR="00BF49CC" w:rsidRDefault="00BF49CC">
      <w:r>
        <w:rPr>
          <w:noProof/>
        </w:rPr>
        <w:drawing>
          <wp:inline distT="0" distB="0" distL="0" distR="0" wp14:anchorId="236CF508" wp14:editId="3AA9318B">
            <wp:extent cx="3663950" cy="367601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3950" cy="3676015"/>
                    </a:xfrm>
                    <a:prstGeom prst="rect">
                      <a:avLst/>
                    </a:prstGeom>
                    <a:noFill/>
                    <a:ln>
                      <a:noFill/>
                    </a:ln>
                  </pic:spPr>
                </pic:pic>
              </a:graphicData>
            </a:graphic>
          </wp:inline>
        </w:drawing>
      </w:r>
    </w:p>
    <w:p w14:paraId="6BF47C17" w14:textId="1C7C2653" w:rsidR="00BF49CC" w:rsidRDefault="00BF49CC"/>
    <w:p w14:paraId="0E599B28" w14:textId="77777777" w:rsidR="00BF49CC" w:rsidRPr="00B152DA" w:rsidRDefault="00BF49CC" w:rsidP="00BF49CC">
      <w:pPr>
        <w:rPr>
          <w:rFonts w:ascii="Times New Roman" w:hAnsi="Times New Roman" w:cs="Times New Roman"/>
        </w:rPr>
      </w:pPr>
      <w:r w:rsidRPr="00B152DA">
        <w:rPr>
          <w:rFonts w:ascii="Times New Roman" w:hAnsi="Times New Roman" w:cs="Times New Roman"/>
        </w:rPr>
        <w:t xml:space="preserve">Supplementary Fig. S2. Representative patterns of the detection of the maximum association distance. The </w:t>
      </w:r>
      <w:r w:rsidRPr="00B152DA">
        <w:rPr>
          <w:rFonts w:ascii="Times New Roman" w:hAnsi="Times New Roman" w:cs="Times New Roman"/>
          <w:i/>
          <w:iCs/>
        </w:rPr>
        <w:t>r</w:t>
      </w:r>
      <w:r w:rsidRPr="00B152DA">
        <w:rPr>
          <w:rFonts w:ascii="Times New Roman" w:hAnsi="Times New Roman" w:cs="Times New Roman"/>
          <w:vertAlign w:val="superscript"/>
        </w:rPr>
        <w:t>2</w:t>
      </w:r>
      <w:r w:rsidRPr="00B152DA">
        <w:rPr>
          <w:rFonts w:ascii="Times New Roman" w:hAnsi="Times New Roman" w:cs="Times New Roman"/>
        </w:rPr>
        <w:t xml:space="preserve"> value was plotted for all SNPs on the same chromosome. Curves represent cubic splines fitted for the 99th, 95th, 90th, 75th, and 50th percentiles (top to bottom). The point where the fitted curve of the 95th percentile first decayed to </w:t>
      </w:r>
      <w:r w:rsidRPr="00B152DA">
        <w:rPr>
          <w:rFonts w:ascii="Times New Roman" w:hAnsi="Times New Roman" w:cs="Times New Roman"/>
          <w:i/>
          <w:iCs/>
        </w:rPr>
        <w:t>r</w:t>
      </w:r>
      <w:r w:rsidRPr="00B152DA">
        <w:rPr>
          <w:rFonts w:ascii="Times New Roman" w:hAnsi="Times New Roman" w:cs="Times New Roman"/>
          <w:vertAlign w:val="superscript"/>
        </w:rPr>
        <w:t>2</w:t>
      </w:r>
      <w:r w:rsidRPr="00B152DA">
        <w:rPr>
          <w:rFonts w:ascii="Times New Roman" w:hAnsi="Times New Roman" w:cs="Times New Roman"/>
        </w:rPr>
        <w:t xml:space="preserve"> = 0.2 was recorded for all SNPs.</w:t>
      </w:r>
    </w:p>
    <w:p w14:paraId="61D6F3F3" w14:textId="1EA1F3E6" w:rsidR="00BF49CC" w:rsidRDefault="00BF49CC"/>
    <w:p w14:paraId="46167208" w14:textId="66216E93" w:rsidR="00BF49CC" w:rsidRDefault="00BF49CC"/>
    <w:p w14:paraId="2B9BFD28" w14:textId="1A4BB5C2" w:rsidR="00BF49CC" w:rsidRDefault="00BF49CC"/>
    <w:p w14:paraId="65889F3A" w14:textId="45516669" w:rsidR="00BF49CC" w:rsidRDefault="00BF49CC"/>
    <w:p w14:paraId="5ED2AB06" w14:textId="52F80010" w:rsidR="00BF49CC" w:rsidRDefault="00BF49CC"/>
    <w:p w14:paraId="0F273B75" w14:textId="6F20C294" w:rsidR="00BF49CC" w:rsidRDefault="00BF49CC"/>
    <w:p w14:paraId="56D5A81E" w14:textId="5D9F6695" w:rsidR="00BF49CC" w:rsidRDefault="00BF49CC"/>
    <w:p w14:paraId="472F3A3F" w14:textId="79DA4DBD" w:rsidR="00BF49CC" w:rsidRDefault="00BF49CC"/>
    <w:p w14:paraId="46E5371B" w14:textId="627FF2EE" w:rsidR="00BF49CC" w:rsidRDefault="00BF49CC"/>
    <w:p w14:paraId="6197726B" w14:textId="0A0D6A89" w:rsidR="00BF49CC" w:rsidRDefault="00BF49CC"/>
    <w:p w14:paraId="3FBCC051" w14:textId="472AC642" w:rsidR="00BF49CC" w:rsidRDefault="00BF49CC"/>
    <w:p w14:paraId="4F049BDB" w14:textId="7EDBFE24" w:rsidR="00BF49CC" w:rsidRDefault="00BF49CC"/>
    <w:p w14:paraId="58B1A642" w14:textId="3244237E" w:rsidR="00BF49CC" w:rsidRDefault="00BF49CC"/>
    <w:p w14:paraId="7B1279BA" w14:textId="4F8B9A06" w:rsidR="00BF49CC" w:rsidRDefault="000848AE">
      <w:r>
        <w:rPr>
          <w:noProof/>
        </w:rPr>
        <w:lastRenderedPageBreak/>
        <w:drawing>
          <wp:inline distT="0" distB="0" distL="0" distR="0" wp14:anchorId="7B1E92AF" wp14:editId="50CF5933">
            <wp:extent cx="5374005" cy="2540904"/>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755" cy="2558280"/>
                    </a:xfrm>
                    <a:prstGeom prst="rect">
                      <a:avLst/>
                    </a:prstGeom>
                    <a:noFill/>
                    <a:ln>
                      <a:noFill/>
                    </a:ln>
                  </pic:spPr>
                </pic:pic>
              </a:graphicData>
            </a:graphic>
          </wp:inline>
        </w:drawing>
      </w:r>
    </w:p>
    <w:p w14:paraId="1632BED6" w14:textId="33CFC3CD" w:rsidR="00BF49CC" w:rsidRDefault="00BF49CC"/>
    <w:p w14:paraId="449761D2" w14:textId="7E9080AA" w:rsidR="00BF49CC" w:rsidRDefault="00BF49CC"/>
    <w:p w14:paraId="3B56EB6E" w14:textId="77777777" w:rsidR="00BF49CC" w:rsidRPr="00B152DA" w:rsidRDefault="00BF49CC" w:rsidP="00BF49CC">
      <w:pPr>
        <w:rPr>
          <w:rFonts w:ascii="Times New Roman" w:hAnsi="Times New Roman" w:cs="Times New Roman"/>
        </w:rPr>
      </w:pPr>
      <w:r w:rsidRPr="00B152DA">
        <w:rPr>
          <w:rFonts w:ascii="Times New Roman" w:hAnsi="Times New Roman" w:cs="Times New Roman"/>
        </w:rPr>
        <w:t>Supplementary Fig. S3. Comparison of the genotyping models used in this study. (A) Plot of the absolute Pearson correlation coefficients for the principal component scores based on the continuous and diploid models. The principal component analysis (PCA) involved the genotype matrices of 47,424 SNPs for the population with RE, NHB, and SHB. The principal component scores were calculated based on the probabilistic PCA. (B) Scree plot of the explained variance in the probabilistic PCA.</w:t>
      </w:r>
    </w:p>
    <w:p w14:paraId="08A4EFA0" w14:textId="1092C00B" w:rsidR="00BF49CC" w:rsidRDefault="00BF49CC"/>
    <w:p w14:paraId="68DE1ABE" w14:textId="2BB4E66F" w:rsidR="00BF49CC" w:rsidRDefault="00BF49CC"/>
    <w:p w14:paraId="55F8EA05" w14:textId="49369669" w:rsidR="00BF49CC" w:rsidRDefault="00BF49CC"/>
    <w:p w14:paraId="4E3516C1" w14:textId="65B6D76F" w:rsidR="00BF49CC" w:rsidRDefault="00BF49CC"/>
    <w:p w14:paraId="327397B0" w14:textId="178F1707" w:rsidR="00BF49CC" w:rsidRDefault="00BF49CC"/>
    <w:p w14:paraId="67732415" w14:textId="473C30D7" w:rsidR="00BF49CC" w:rsidRDefault="00BF49CC"/>
    <w:p w14:paraId="6B2A8191" w14:textId="58B9933B" w:rsidR="00BF49CC" w:rsidRDefault="00BF49CC"/>
    <w:p w14:paraId="62522C80" w14:textId="05822430" w:rsidR="00BF49CC" w:rsidRDefault="00BF49CC"/>
    <w:p w14:paraId="6CB2F850" w14:textId="28ECFBB7" w:rsidR="00BF49CC" w:rsidRDefault="00BF49CC"/>
    <w:p w14:paraId="26816FA0" w14:textId="4EA4264A" w:rsidR="00BF49CC" w:rsidRDefault="00BF49CC"/>
    <w:p w14:paraId="0A5DC492" w14:textId="4A4AC6CB" w:rsidR="00BF49CC" w:rsidRDefault="00BF49CC"/>
    <w:p w14:paraId="31B9249A" w14:textId="26BDED08" w:rsidR="00BF49CC" w:rsidRDefault="00BF49CC"/>
    <w:p w14:paraId="5F3B1183" w14:textId="781BC4F9" w:rsidR="00BF49CC" w:rsidRDefault="00BF49CC"/>
    <w:p w14:paraId="5C60845C" w14:textId="7DC299A8" w:rsidR="00BF49CC" w:rsidRDefault="00BF49CC"/>
    <w:p w14:paraId="2D8DB2E0" w14:textId="30140422" w:rsidR="00BF49CC" w:rsidRDefault="00BF49CC"/>
    <w:p w14:paraId="0AEF4E24" w14:textId="199580FD" w:rsidR="00BF49CC" w:rsidRDefault="00BF49CC"/>
    <w:p w14:paraId="17822F72" w14:textId="7A26EBD5" w:rsidR="00BF49CC" w:rsidRPr="00BF49CC" w:rsidRDefault="00BF49CC">
      <w:r>
        <w:rPr>
          <w:noProof/>
        </w:rPr>
        <w:lastRenderedPageBreak/>
        <w:drawing>
          <wp:inline distT="0" distB="0" distL="0" distR="0" wp14:anchorId="06D66642" wp14:editId="02E55ADC">
            <wp:extent cx="5220335" cy="4064904"/>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630" cy="4079150"/>
                    </a:xfrm>
                    <a:prstGeom prst="rect">
                      <a:avLst/>
                    </a:prstGeom>
                    <a:noFill/>
                    <a:ln>
                      <a:noFill/>
                    </a:ln>
                  </pic:spPr>
                </pic:pic>
              </a:graphicData>
            </a:graphic>
          </wp:inline>
        </w:drawing>
      </w:r>
    </w:p>
    <w:p w14:paraId="467F37FB" w14:textId="19937B51" w:rsidR="00BF49CC" w:rsidRDefault="00BF49CC"/>
    <w:p w14:paraId="4FEF6477" w14:textId="77777777" w:rsidR="00BF49CC" w:rsidRPr="00B152DA" w:rsidRDefault="00BF49CC" w:rsidP="00BF49CC">
      <w:pPr>
        <w:rPr>
          <w:rFonts w:ascii="Times New Roman" w:hAnsi="Times New Roman" w:cs="Times New Roman"/>
        </w:rPr>
      </w:pPr>
      <w:r w:rsidRPr="00B152DA">
        <w:rPr>
          <w:rFonts w:ascii="Times New Roman" w:hAnsi="Times New Roman" w:cs="Times New Roman"/>
        </w:rPr>
        <w:t xml:space="preserve">Supplementary Fig. S4. Patterns of LD decay in the highbush population. The </w:t>
      </w:r>
      <w:r w:rsidRPr="00B152DA">
        <w:rPr>
          <w:rFonts w:ascii="Times New Roman" w:hAnsi="Times New Roman" w:cs="Times New Roman"/>
          <w:i/>
          <w:iCs/>
        </w:rPr>
        <w:t>r</w:t>
      </w:r>
      <w:r w:rsidRPr="00B152DA">
        <w:rPr>
          <w:rFonts w:ascii="Times New Roman" w:hAnsi="Times New Roman" w:cs="Times New Roman"/>
          <w:vertAlign w:val="superscript"/>
        </w:rPr>
        <w:t>2</w:t>
      </w:r>
      <w:r w:rsidRPr="00B152DA">
        <w:rPr>
          <w:rFonts w:ascii="Times New Roman" w:hAnsi="Times New Roman" w:cs="Times New Roman"/>
        </w:rPr>
        <w:t xml:space="preserve"> value was plotted against the physical distance and regressed via loess smoothing, with span = 0.1.</w:t>
      </w:r>
    </w:p>
    <w:p w14:paraId="49EE91D1" w14:textId="2DEE0F49" w:rsidR="00BF49CC" w:rsidRDefault="00BF49CC"/>
    <w:p w14:paraId="20CD2622" w14:textId="793CAC2E" w:rsidR="00BF49CC" w:rsidRDefault="00BF49CC"/>
    <w:p w14:paraId="27A66C01" w14:textId="368A2F9E" w:rsidR="00BF49CC" w:rsidRDefault="00BF49CC"/>
    <w:p w14:paraId="6E517E49" w14:textId="4766B812" w:rsidR="00BF49CC" w:rsidRDefault="00BF49CC"/>
    <w:p w14:paraId="4AB066A0" w14:textId="6C5DEB07" w:rsidR="00BF49CC" w:rsidRDefault="00BF49CC"/>
    <w:p w14:paraId="6A0E62C0" w14:textId="44EF5FA7" w:rsidR="00BF49CC" w:rsidRDefault="00BF49CC"/>
    <w:p w14:paraId="2E3565D5" w14:textId="51905FE3" w:rsidR="00BF49CC" w:rsidRDefault="00BF49CC"/>
    <w:p w14:paraId="2ABB7A8E" w14:textId="7559736C" w:rsidR="00BF49CC" w:rsidRDefault="00BF49CC"/>
    <w:p w14:paraId="03ADEE46" w14:textId="429AA69B" w:rsidR="00BF49CC" w:rsidRDefault="00BF49CC"/>
    <w:p w14:paraId="41F66478" w14:textId="24793978" w:rsidR="00BF49CC" w:rsidRDefault="00BF49CC"/>
    <w:p w14:paraId="599E7D52" w14:textId="303A8CA1" w:rsidR="00BF49CC" w:rsidRDefault="00BF49CC"/>
    <w:p w14:paraId="5131CE29" w14:textId="7EBED448" w:rsidR="00BF49CC" w:rsidRDefault="00BF49CC"/>
    <w:p w14:paraId="79E2C2BE" w14:textId="0B55E525" w:rsidR="00BF49CC" w:rsidRDefault="00BF49CC"/>
    <w:p w14:paraId="79446221" w14:textId="4F7573D7" w:rsidR="00BF49CC" w:rsidRDefault="00BF49CC"/>
    <w:p w14:paraId="2895F3BF" w14:textId="77777777" w:rsidR="00BF49CC" w:rsidRPr="00BF49CC" w:rsidRDefault="00BF49CC">
      <w:pPr>
        <w:rPr>
          <w:rFonts w:hint="eastAsia"/>
        </w:rPr>
      </w:pPr>
    </w:p>
    <w:sectPr w:rsidR="00BF49CC" w:rsidRPr="00BF49C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B96D4" w14:textId="77777777" w:rsidR="00F56C3F" w:rsidRDefault="00F56C3F" w:rsidP="00F56C3F">
      <w:r>
        <w:separator/>
      </w:r>
    </w:p>
  </w:endnote>
  <w:endnote w:type="continuationSeparator" w:id="0">
    <w:p w14:paraId="4C623CE9" w14:textId="77777777" w:rsidR="00F56C3F" w:rsidRDefault="00F56C3F" w:rsidP="00F56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79ACA6" w14:textId="77777777" w:rsidR="00F56C3F" w:rsidRDefault="00F56C3F" w:rsidP="00F56C3F">
      <w:r>
        <w:separator/>
      </w:r>
    </w:p>
  </w:footnote>
  <w:footnote w:type="continuationSeparator" w:id="0">
    <w:p w14:paraId="025408DD" w14:textId="77777777" w:rsidR="00F56C3F" w:rsidRDefault="00F56C3F" w:rsidP="00F56C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0MLcwMTUzMbE0MjJT0lEKTi0uzszPAykwrAUAzxe12iwAAAA="/>
  </w:docVars>
  <w:rsids>
    <w:rsidRoot w:val="00BF49CC"/>
    <w:rsid w:val="000848AE"/>
    <w:rsid w:val="005A7A83"/>
    <w:rsid w:val="00BF49CC"/>
    <w:rsid w:val="00F56C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1D51AB0"/>
  <w15:chartTrackingRefBased/>
  <w15:docId w15:val="{822ED428-74ED-44E3-AF46-249B242D8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F49C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F49CC"/>
    <w:rPr>
      <w:rFonts w:asciiTheme="majorHAnsi" w:eastAsiaTheme="majorEastAsia" w:hAnsiTheme="majorHAnsi" w:cstheme="majorBidi"/>
      <w:sz w:val="18"/>
      <w:szCs w:val="18"/>
    </w:rPr>
  </w:style>
  <w:style w:type="character" w:styleId="a5">
    <w:name w:val="annotation reference"/>
    <w:basedOn w:val="a0"/>
    <w:uiPriority w:val="99"/>
    <w:semiHidden/>
    <w:unhideWhenUsed/>
    <w:rsid w:val="00BF49CC"/>
    <w:rPr>
      <w:sz w:val="18"/>
      <w:szCs w:val="18"/>
    </w:rPr>
  </w:style>
  <w:style w:type="paragraph" w:styleId="a6">
    <w:name w:val="annotation text"/>
    <w:basedOn w:val="a"/>
    <w:link w:val="a7"/>
    <w:uiPriority w:val="99"/>
    <w:unhideWhenUsed/>
    <w:rsid w:val="00BF49CC"/>
    <w:pPr>
      <w:jc w:val="left"/>
    </w:pPr>
  </w:style>
  <w:style w:type="character" w:customStyle="1" w:styleId="a7">
    <w:name w:val="コメント文字列 (文字)"/>
    <w:basedOn w:val="a0"/>
    <w:link w:val="a6"/>
    <w:uiPriority w:val="99"/>
    <w:rsid w:val="00BF49CC"/>
  </w:style>
  <w:style w:type="paragraph" w:styleId="a8">
    <w:name w:val="header"/>
    <w:basedOn w:val="a"/>
    <w:link w:val="a9"/>
    <w:uiPriority w:val="99"/>
    <w:unhideWhenUsed/>
    <w:rsid w:val="00F56C3F"/>
    <w:pPr>
      <w:tabs>
        <w:tab w:val="center" w:pos="4252"/>
        <w:tab w:val="right" w:pos="8504"/>
      </w:tabs>
      <w:snapToGrid w:val="0"/>
    </w:pPr>
  </w:style>
  <w:style w:type="character" w:customStyle="1" w:styleId="a9">
    <w:name w:val="ヘッダー (文字)"/>
    <w:basedOn w:val="a0"/>
    <w:link w:val="a8"/>
    <w:uiPriority w:val="99"/>
    <w:rsid w:val="00F56C3F"/>
  </w:style>
  <w:style w:type="paragraph" w:styleId="aa">
    <w:name w:val="footer"/>
    <w:basedOn w:val="a"/>
    <w:link w:val="ab"/>
    <w:uiPriority w:val="99"/>
    <w:unhideWhenUsed/>
    <w:rsid w:val="00F56C3F"/>
    <w:pPr>
      <w:tabs>
        <w:tab w:val="center" w:pos="4252"/>
        <w:tab w:val="right" w:pos="8504"/>
      </w:tabs>
      <w:snapToGrid w:val="0"/>
    </w:pPr>
  </w:style>
  <w:style w:type="character" w:customStyle="1" w:styleId="ab">
    <w:name w:val="フッター (文字)"/>
    <w:basedOn w:val="a0"/>
    <w:link w:val="aa"/>
    <w:uiPriority w:val="99"/>
    <w:rsid w:val="00F56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213</Words>
  <Characters>1215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西山 総一郎</dc:creator>
  <cp:keywords/>
  <dc:description/>
  <cp:lastModifiedBy>西山 総一郎</cp:lastModifiedBy>
  <cp:revision>2</cp:revision>
  <dcterms:created xsi:type="dcterms:W3CDTF">2020-04-23T09:14:00Z</dcterms:created>
  <dcterms:modified xsi:type="dcterms:W3CDTF">2020-04-23T09:58:00Z</dcterms:modified>
</cp:coreProperties>
</file>