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D584B" w14:textId="77777777" w:rsidR="00A77BAE" w:rsidRPr="00F07914" w:rsidRDefault="006214FA">
      <w:pPr>
        <w:rPr>
          <w:rFonts w:ascii="Times New Roman" w:eastAsia="Times New Roman" w:hAnsi="Times New Roman" w:cs="Times New Roman"/>
          <w:b/>
          <w:sz w:val="36"/>
          <w:szCs w:val="36"/>
        </w:rPr>
      </w:pPr>
      <w:r w:rsidRPr="00D71C9A">
        <w:rPr>
          <w:rFonts w:ascii="Times New Roman" w:eastAsia="Times New Roman" w:hAnsi="Times New Roman" w:cs="Times New Roman"/>
          <w:b/>
          <w:sz w:val="40"/>
          <w:szCs w:val="40"/>
        </w:rPr>
        <w:t>Supplementary Material</w:t>
      </w:r>
    </w:p>
    <w:p w14:paraId="2B010D4A" w14:textId="77777777" w:rsidR="00A77BAE" w:rsidRPr="00F07914" w:rsidRDefault="00A77BAE">
      <w:pPr>
        <w:rPr>
          <w:rFonts w:ascii="Times New Roman" w:eastAsia="Times New Roman" w:hAnsi="Times New Roman" w:cs="Times New Roman"/>
          <w:b/>
          <w:sz w:val="24"/>
          <w:szCs w:val="24"/>
        </w:rPr>
      </w:pPr>
    </w:p>
    <w:p w14:paraId="626793C4" w14:textId="1A945C6F" w:rsidR="00A77BAE" w:rsidRPr="00D71C9A" w:rsidRDefault="00451F0E">
      <w:pPr>
        <w:rPr>
          <w:rFonts w:ascii="Times New Roman" w:eastAsia="Times New Roman" w:hAnsi="Times New Roman" w:cs="Times New Roman"/>
          <w:b/>
          <w:sz w:val="30"/>
          <w:szCs w:val="30"/>
        </w:rPr>
      </w:pPr>
      <w:r w:rsidRPr="00D71C9A">
        <w:rPr>
          <w:rFonts w:ascii="Times New Roman" w:eastAsia="Times New Roman" w:hAnsi="Times New Roman" w:cs="Times New Roman"/>
          <w:b/>
          <w:sz w:val="30"/>
          <w:szCs w:val="30"/>
        </w:rPr>
        <w:t>Population genomics and conservation management of the threatened black-footed tree-rat (</w:t>
      </w:r>
      <w:r w:rsidRPr="00D71C9A">
        <w:rPr>
          <w:rFonts w:ascii="Times New Roman" w:eastAsia="Times New Roman" w:hAnsi="Times New Roman" w:cs="Times New Roman"/>
          <w:b/>
          <w:i/>
          <w:sz w:val="30"/>
          <w:szCs w:val="30"/>
        </w:rPr>
        <w:t>Mesembriomys gouldii</w:t>
      </w:r>
      <w:r w:rsidRPr="00D71C9A">
        <w:rPr>
          <w:rFonts w:ascii="Times New Roman" w:eastAsia="Times New Roman" w:hAnsi="Times New Roman" w:cs="Times New Roman"/>
          <w:b/>
          <w:sz w:val="30"/>
          <w:szCs w:val="30"/>
        </w:rPr>
        <w:t>) in northern Australia</w:t>
      </w:r>
    </w:p>
    <w:p w14:paraId="3A9CB5C6" w14:textId="04E046EA" w:rsidR="00A77BAE" w:rsidRDefault="00A77BAE">
      <w:pPr>
        <w:rPr>
          <w:rFonts w:ascii="Times New Roman" w:eastAsia="Times New Roman" w:hAnsi="Times New Roman" w:cs="Times New Roman"/>
          <w:sz w:val="24"/>
          <w:szCs w:val="24"/>
        </w:rPr>
      </w:pPr>
    </w:p>
    <w:p w14:paraId="2B0D3D33" w14:textId="4ACAEC20" w:rsidR="00D71C9A" w:rsidRDefault="00D71C9A">
      <w:pPr>
        <w:rPr>
          <w:rFonts w:ascii="Times New Roman" w:eastAsia="Times New Roman" w:hAnsi="Times New Roman" w:cs="Times New Roman"/>
          <w:sz w:val="24"/>
          <w:szCs w:val="24"/>
        </w:rPr>
      </w:pPr>
      <w:r w:rsidRPr="00D71C9A">
        <w:rPr>
          <w:rFonts w:ascii="Times New Roman" w:eastAsia="Times New Roman" w:hAnsi="Times New Roman" w:cs="Times New Roman"/>
          <w:sz w:val="24"/>
          <w:szCs w:val="24"/>
        </w:rPr>
        <w:t>Brenton von Takach, Holly Sargent, Cara E. Penton, Kate Rick, Brett P. Murphy, Georgina Neave, Hugh F. Davies, Brydie M. Hill, Sam C. Banks</w:t>
      </w:r>
    </w:p>
    <w:p w14:paraId="65D16CDA" w14:textId="77777777" w:rsidR="00D71C9A" w:rsidRPr="00F07914" w:rsidRDefault="00D71C9A">
      <w:pPr>
        <w:rPr>
          <w:rFonts w:ascii="Times New Roman" w:eastAsia="Times New Roman" w:hAnsi="Times New Roman" w:cs="Times New Roman"/>
          <w:sz w:val="24"/>
          <w:szCs w:val="24"/>
        </w:rPr>
      </w:pPr>
    </w:p>
    <w:p w14:paraId="28F6322A" w14:textId="4761D358" w:rsidR="00A77BAE" w:rsidRPr="00F07914" w:rsidRDefault="006214FA">
      <w:pPr>
        <w:rPr>
          <w:rFonts w:ascii="Times New Roman" w:hAnsi="Times New Roman" w:cs="Times New Roman"/>
        </w:rPr>
      </w:pPr>
      <w:r w:rsidRPr="00F07914">
        <w:rPr>
          <w:rFonts w:ascii="Times New Roman" w:hAnsi="Times New Roman" w:cs="Times New Roman"/>
        </w:rPr>
        <w:br w:type="page"/>
      </w:r>
    </w:p>
    <w:p w14:paraId="5C429D38" w14:textId="4717698A" w:rsidR="004F3338" w:rsidRDefault="004F3338">
      <w:pPr>
        <w:rPr>
          <w:rFonts w:ascii="Times New Roman" w:hAnsi="Times New Roman" w:cs="Times New Roman"/>
          <w:sz w:val="24"/>
          <w:szCs w:val="24"/>
        </w:rPr>
      </w:pPr>
      <w:r>
        <w:rPr>
          <w:rFonts w:ascii="Times New Roman" w:hAnsi="Times New Roman" w:cs="Times New Roman"/>
          <w:sz w:val="24"/>
          <w:szCs w:val="24"/>
        </w:rPr>
        <w:lastRenderedPageBreak/>
        <w:t>Table S1. Listing status of all black-footed tree-rat (</w:t>
      </w:r>
      <w:r w:rsidRPr="004F3338">
        <w:rPr>
          <w:rFonts w:ascii="Times New Roman" w:hAnsi="Times New Roman" w:cs="Times New Roman"/>
          <w:i/>
          <w:iCs/>
          <w:sz w:val="24"/>
          <w:szCs w:val="24"/>
        </w:rPr>
        <w:t>Mesembriomys gouldii</w:t>
      </w:r>
      <w:r>
        <w:rPr>
          <w:rFonts w:ascii="Times New Roman" w:hAnsi="Times New Roman" w:cs="Times New Roman"/>
          <w:sz w:val="24"/>
          <w:szCs w:val="24"/>
        </w:rPr>
        <w:t>) subspecies under Australian state, territory and federal legislative acts.</w:t>
      </w:r>
    </w:p>
    <w:tbl>
      <w:tblPr>
        <w:tblW w:w="10206" w:type="dxa"/>
        <w:tblInd w:w="-567" w:type="dxa"/>
        <w:tblLook w:val="04A0" w:firstRow="1" w:lastRow="0" w:firstColumn="1" w:lastColumn="0" w:noHBand="0" w:noVBand="1"/>
      </w:tblPr>
      <w:tblGrid>
        <w:gridCol w:w="2127"/>
        <w:gridCol w:w="2268"/>
        <w:gridCol w:w="2268"/>
        <w:gridCol w:w="1842"/>
        <w:gridCol w:w="1701"/>
      </w:tblGrid>
      <w:tr w:rsidR="00633752" w:rsidRPr="004F3338" w14:paraId="4493C845" w14:textId="77777777" w:rsidTr="00D146DA">
        <w:trPr>
          <w:trHeight w:val="680"/>
        </w:trPr>
        <w:tc>
          <w:tcPr>
            <w:tcW w:w="2127" w:type="dxa"/>
            <w:tcBorders>
              <w:top w:val="single" w:sz="4" w:space="0" w:color="auto"/>
              <w:left w:val="nil"/>
              <w:bottom w:val="single" w:sz="4" w:space="0" w:color="auto"/>
              <w:right w:val="nil"/>
            </w:tcBorders>
            <w:shd w:val="clear" w:color="auto" w:fill="auto"/>
            <w:noWrap/>
            <w:vAlign w:val="center"/>
            <w:hideMark/>
          </w:tcPr>
          <w:p w14:paraId="70F31AF2" w14:textId="77777777" w:rsidR="004F3338"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Subspecies</w:t>
            </w:r>
          </w:p>
        </w:tc>
        <w:tc>
          <w:tcPr>
            <w:tcW w:w="2268" w:type="dxa"/>
            <w:tcBorders>
              <w:top w:val="single" w:sz="4" w:space="0" w:color="auto"/>
              <w:left w:val="nil"/>
              <w:bottom w:val="single" w:sz="4" w:space="0" w:color="auto"/>
              <w:right w:val="nil"/>
            </w:tcBorders>
            <w:shd w:val="clear" w:color="auto" w:fill="auto"/>
            <w:noWrap/>
            <w:vAlign w:val="center"/>
            <w:hideMark/>
          </w:tcPr>
          <w:p w14:paraId="395DBBBD" w14:textId="3D0305E6" w:rsidR="00633752"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W</w:t>
            </w:r>
            <w:r w:rsidR="00633752">
              <w:rPr>
                <w:rFonts w:ascii="Times New Roman" w:eastAsia="Times New Roman" w:hAnsi="Times New Roman" w:cs="Times New Roman"/>
                <w:color w:val="000000"/>
                <w:sz w:val="24"/>
                <w:szCs w:val="24"/>
              </w:rPr>
              <w:t>estern Australia</w:t>
            </w:r>
          </w:p>
        </w:tc>
        <w:tc>
          <w:tcPr>
            <w:tcW w:w="2268" w:type="dxa"/>
            <w:tcBorders>
              <w:top w:val="single" w:sz="4" w:space="0" w:color="auto"/>
              <w:left w:val="nil"/>
              <w:bottom w:val="single" w:sz="4" w:space="0" w:color="auto"/>
              <w:right w:val="nil"/>
            </w:tcBorders>
            <w:shd w:val="clear" w:color="auto" w:fill="auto"/>
            <w:noWrap/>
            <w:vAlign w:val="center"/>
            <w:hideMark/>
          </w:tcPr>
          <w:p w14:paraId="5BF80505" w14:textId="3013208C" w:rsidR="004F3338" w:rsidRPr="004F3338" w:rsidRDefault="00633752" w:rsidP="004F333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Northern Territory</w:t>
            </w:r>
          </w:p>
        </w:tc>
        <w:tc>
          <w:tcPr>
            <w:tcW w:w="1842" w:type="dxa"/>
            <w:tcBorders>
              <w:top w:val="single" w:sz="4" w:space="0" w:color="auto"/>
              <w:left w:val="nil"/>
              <w:bottom w:val="single" w:sz="4" w:space="0" w:color="auto"/>
              <w:right w:val="nil"/>
            </w:tcBorders>
            <w:shd w:val="clear" w:color="auto" w:fill="auto"/>
            <w:noWrap/>
            <w:vAlign w:val="center"/>
            <w:hideMark/>
          </w:tcPr>
          <w:p w14:paraId="54E575F8" w14:textId="6B48B6AC" w:rsidR="004F3338" w:rsidRPr="004F3338" w:rsidRDefault="00633752" w:rsidP="004F333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Queensland</w:t>
            </w:r>
          </w:p>
        </w:tc>
        <w:tc>
          <w:tcPr>
            <w:tcW w:w="1701" w:type="dxa"/>
            <w:tcBorders>
              <w:top w:val="single" w:sz="4" w:space="0" w:color="auto"/>
              <w:left w:val="nil"/>
              <w:bottom w:val="single" w:sz="4" w:space="0" w:color="auto"/>
              <w:right w:val="nil"/>
            </w:tcBorders>
            <w:shd w:val="clear" w:color="auto" w:fill="auto"/>
            <w:noWrap/>
            <w:vAlign w:val="center"/>
            <w:hideMark/>
          </w:tcPr>
          <w:p w14:paraId="01EB8D2E" w14:textId="6E82B3A8" w:rsidR="004F3338" w:rsidRPr="004F3338" w:rsidRDefault="00633752" w:rsidP="004F333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Federal</w:t>
            </w:r>
          </w:p>
        </w:tc>
      </w:tr>
      <w:tr w:rsidR="00633752" w:rsidRPr="004F3338" w14:paraId="25B2BA1D" w14:textId="77777777" w:rsidTr="00D146DA">
        <w:trPr>
          <w:trHeight w:val="680"/>
        </w:trPr>
        <w:tc>
          <w:tcPr>
            <w:tcW w:w="2127" w:type="dxa"/>
            <w:tcBorders>
              <w:top w:val="single" w:sz="4" w:space="0" w:color="auto"/>
              <w:left w:val="nil"/>
              <w:bottom w:val="nil"/>
              <w:right w:val="nil"/>
            </w:tcBorders>
            <w:shd w:val="clear" w:color="auto" w:fill="auto"/>
            <w:noWrap/>
            <w:vAlign w:val="center"/>
            <w:hideMark/>
          </w:tcPr>
          <w:p w14:paraId="7476DF80" w14:textId="77777777" w:rsidR="004F3338" w:rsidRPr="004F3338" w:rsidRDefault="004F3338" w:rsidP="004F3338">
            <w:pPr>
              <w:spacing w:after="0" w:line="240" w:lineRule="auto"/>
              <w:rPr>
                <w:rFonts w:ascii="Times New Roman" w:eastAsia="Times New Roman" w:hAnsi="Times New Roman" w:cs="Times New Roman"/>
                <w:i/>
                <w:iCs/>
                <w:color w:val="000000"/>
                <w:sz w:val="24"/>
                <w:szCs w:val="24"/>
              </w:rPr>
            </w:pPr>
            <w:r w:rsidRPr="004F3338">
              <w:rPr>
                <w:rFonts w:ascii="Times New Roman" w:eastAsia="Times New Roman" w:hAnsi="Times New Roman" w:cs="Times New Roman"/>
                <w:i/>
                <w:iCs/>
                <w:color w:val="000000"/>
                <w:sz w:val="24"/>
                <w:szCs w:val="24"/>
              </w:rPr>
              <w:t>M. g. gouldii</w:t>
            </w:r>
          </w:p>
        </w:tc>
        <w:tc>
          <w:tcPr>
            <w:tcW w:w="2268" w:type="dxa"/>
            <w:tcBorders>
              <w:top w:val="single" w:sz="4" w:space="0" w:color="auto"/>
              <w:left w:val="nil"/>
              <w:bottom w:val="nil"/>
              <w:right w:val="nil"/>
            </w:tcBorders>
            <w:shd w:val="clear" w:color="auto" w:fill="auto"/>
            <w:noWrap/>
            <w:vAlign w:val="center"/>
            <w:hideMark/>
          </w:tcPr>
          <w:p w14:paraId="0F691994" w14:textId="77777777" w:rsidR="004F3338"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Endangered</w:t>
            </w:r>
          </w:p>
        </w:tc>
        <w:tc>
          <w:tcPr>
            <w:tcW w:w="2268" w:type="dxa"/>
            <w:tcBorders>
              <w:top w:val="single" w:sz="4" w:space="0" w:color="auto"/>
              <w:left w:val="nil"/>
              <w:bottom w:val="nil"/>
              <w:right w:val="nil"/>
            </w:tcBorders>
            <w:shd w:val="clear" w:color="auto" w:fill="auto"/>
            <w:noWrap/>
            <w:vAlign w:val="center"/>
            <w:hideMark/>
          </w:tcPr>
          <w:p w14:paraId="4E0701C8" w14:textId="77777777" w:rsidR="004F3338"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Endangered</w:t>
            </w:r>
          </w:p>
        </w:tc>
        <w:tc>
          <w:tcPr>
            <w:tcW w:w="1842" w:type="dxa"/>
            <w:tcBorders>
              <w:top w:val="single" w:sz="4" w:space="0" w:color="auto"/>
              <w:left w:val="nil"/>
              <w:bottom w:val="nil"/>
              <w:right w:val="nil"/>
            </w:tcBorders>
            <w:shd w:val="clear" w:color="auto" w:fill="auto"/>
            <w:noWrap/>
            <w:vAlign w:val="center"/>
            <w:hideMark/>
          </w:tcPr>
          <w:p w14:paraId="7DDC2647" w14:textId="77777777" w:rsidR="004F3338"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w:t>
            </w:r>
          </w:p>
        </w:tc>
        <w:tc>
          <w:tcPr>
            <w:tcW w:w="1701" w:type="dxa"/>
            <w:tcBorders>
              <w:top w:val="single" w:sz="4" w:space="0" w:color="auto"/>
              <w:left w:val="nil"/>
              <w:bottom w:val="nil"/>
              <w:right w:val="nil"/>
            </w:tcBorders>
            <w:shd w:val="clear" w:color="auto" w:fill="auto"/>
            <w:noWrap/>
            <w:vAlign w:val="center"/>
            <w:hideMark/>
          </w:tcPr>
          <w:p w14:paraId="01B55CB8" w14:textId="77777777" w:rsidR="004F3338"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Endangered</w:t>
            </w:r>
          </w:p>
        </w:tc>
      </w:tr>
      <w:tr w:rsidR="00633752" w:rsidRPr="004F3338" w14:paraId="7B136898" w14:textId="77777777" w:rsidTr="00D146DA">
        <w:trPr>
          <w:trHeight w:val="680"/>
        </w:trPr>
        <w:tc>
          <w:tcPr>
            <w:tcW w:w="2127" w:type="dxa"/>
            <w:tcBorders>
              <w:top w:val="nil"/>
              <w:left w:val="nil"/>
              <w:right w:val="nil"/>
            </w:tcBorders>
            <w:shd w:val="clear" w:color="auto" w:fill="auto"/>
            <w:noWrap/>
            <w:vAlign w:val="center"/>
            <w:hideMark/>
          </w:tcPr>
          <w:p w14:paraId="549AB803" w14:textId="77777777" w:rsidR="004F3338" w:rsidRPr="004F3338" w:rsidRDefault="004F3338" w:rsidP="004F3338">
            <w:pPr>
              <w:spacing w:after="0" w:line="240" w:lineRule="auto"/>
              <w:rPr>
                <w:rFonts w:ascii="Times New Roman" w:eastAsia="Times New Roman" w:hAnsi="Times New Roman" w:cs="Times New Roman"/>
                <w:i/>
                <w:iCs/>
                <w:color w:val="000000"/>
                <w:sz w:val="24"/>
                <w:szCs w:val="24"/>
              </w:rPr>
            </w:pPr>
            <w:r w:rsidRPr="004F3338">
              <w:rPr>
                <w:rFonts w:ascii="Times New Roman" w:eastAsia="Times New Roman" w:hAnsi="Times New Roman" w:cs="Times New Roman"/>
                <w:i/>
                <w:iCs/>
                <w:color w:val="000000"/>
                <w:sz w:val="24"/>
                <w:szCs w:val="24"/>
              </w:rPr>
              <w:t>M. g. melvillensis</w:t>
            </w:r>
          </w:p>
        </w:tc>
        <w:tc>
          <w:tcPr>
            <w:tcW w:w="2268" w:type="dxa"/>
            <w:tcBorders>
              <w:top w:val="nil"/>
              <w:left w:val="nil"/>
              <w:right w:val="nil"/>
            </w:tcBorders>
            <w:shd w:val="clear" w:color="auto" w:fill="auto"/>
            <w:noWrap/>
            <w:vAlign w:val="center"/>
            <w:hideMark/>
          </w:tcPr>
          <w:p w14:paraId="4E9234E3" w14:textId="77777777" w:rsidR="004F3338"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w:t>
            </w:r>
          </w:p>
        </w:tc>
        <w:tc>
          <w:tcPr>
            <w:tcW w:w="2268" w:type="dxa"/>
            <w:tcBorders>
              <w:top w:val="nil"/>
              <w:left w:val="nil"/>
              <w:right w:val="nil"/>
            </w:tcBorders>
            <w:shd w:val="clear" w:color="auto" w:fill="auto"/>
            <w:noWrap/>
            <w:vAlign w:val="center"/>
            <w:hideMark/>
          </w:tcPr>
          <w:p w14:paraId="5A03D496" w14:textId="77777777" w:rsidR="004F3338"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Vulnerable</w:t>
            </w:r>
          </w:p>
        </w:tc>
        <w:tc>
          <w:tcPr>
            <w:tcW w:w="1842" w:type="dxa"/>
            <w:tcBorders>
              <w:top w:val="nil"/>
              <w:left w:val="nil"/>
              <w:right w:val="nil"/>
            </w:tcBorders>
            <w:shd w:val="clear" w:color="auto" w:fill="auto"/>
            <w:noWrap/>
            <w:vAlign w:val="center"/>
            <w:hideMark/>
          </w:tcPr>
          <w:p w14:paraId="5FFF5C73" w14:textId="77777777" w:rsidR="004F3338"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w:t>
            </w:r>
          </w:p>
        </w:tc>
        <w:tc>
          <w:tcPr>
            <w:tcW w:w="1701" w:type="dxa"/>
            <w:tcBorders>
              <w:top w:val="nil"/>
              <w:left w:val="nil"/>
              <w:right w:val="nil"/>
            </w:tcBorders>
            <w:shd w:val="clear" w:color="auto" w:fill="auto"/>
            <w:noWrap/>
            <w:vAlign w:val="center"/>
            <w:hideMark/>
          </w:tcPr>
          <w:p w14:paraId="628A9F70" w14:textId="77777777" w:rsidR="004F3338"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Vulnerable</w:t>
            </w:r>
          </w:p>
        </w:tc>
      </w:tr>
      <w:tr w:rsidR="00633752" w:rsidRPr="004F3338" w14:paraId="034F2001" w14:textId="77777777" w:rsidTr="00D146DA">
        <w:trPr>
          <w:trHeight w:val="680"/>
        </w:trPr>
        <w:tc>
          <w:tcPr>
            <w:tcW w:w="2127" w:type="dxa"/>
            <w:tcBorders>
              <w:top w:val="nil"/>
              <w:left w:val="nil"/>
              <w:bottom w:val="single" w:sz="4" w:space="0" w:color="auto"/>
              <w:right w:val="nil"/>
            </w:tcBorders>
            <w:shd w:val="clear" w:color="auto" w:fill="auto"/>
            <w:noWrap/>
            <w:vAlign w:val="center"/>
            <w:hideMark/>
          </w:tcPr>
          <w:p w14:paraId="32A0986A" w14:textId="77777777" w:rsidR="004F3338" w:rsidRPr="004F3338" w:rsidRDefault="004F3338" w:rsidP="004F3338">
            <w:pPr>
              <w:spacing w:after="0" w:line="240" w:lineRule="auto"/>
              <w:rPr>
                <w:rFonts w:ascii="Times New Roman" w:eastAsia="Times New Roman" w:hAnsi="Times New Roman" w:cs="Times New Roman"/>
                <w:i/>
                <w:iCs/>
                <w:color w:val="000000"/>
                <w:sz w:val="24"/>
                <w:szCs w:val="24"/>
              </w:rPr>
            </w:pPr>
            <w:r w:rsidRPr="004F3338">
              <w:rPr>
                <w:rFonts w:ascii="Times New Roman" w:eastAsia="Times New Roman" w:hAnsi="Times New Roman" w:cs="Times New Roman"/>
                <w:i/>
                <w:iCs/>
                <w:color w:val="000000"/>
                <w:sz w:val="24"/>
                <w:szCs w:val="24"/>
              </w:rPr>
              <w:t>M. g. rattoides</w:t>
            </w:r>
          </w:p>
        </w:tc>
        <w:tc>
          <w:tcPr>
            <w:tcW w:w="2268" w:type="dxa"/>
            <w:tcBorders>
              <w:top w:val="nil"/>
              <w:left w:val="nil"/>
              <w:bottom w:val="single" w:sz="4" w:space="0" w:color="auto"/>
              <w:right w:val="nil"/>
            </w:tcBorders>
            <w:shd w:val="clear" w:color="auto" w:fill="auto"/>
            <w:noWrap/>
            <w:vAlign w:val="center"/>
            <w:hideMark/>
          </w:tcPr>
          <w:p w14:paraId="5603E476" w14:textId="77777777" w:rsidR="004F3338"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w:t>
            </w:r>
          </w:p>
        </w:tc>
        <w:tc>
          <w:tcPr>
            <w:tcW w:w="2268" w:type="dxa"/>
            <w:tcBorders>
              <w:top w:val="nil"/>
              <w:left w:val="nil"/>
              <w:bottom w:val="single" w:sz="4" w:space="0" w:color="auto"/>
              <w:right w:val="nil"/>
            </w:tcBorders>
            <w:shd w:val="clear" w:color="auto" w:fill="auto"/>
            <w:noWrap/>
            <w:vAlign w:val="center"/>
            <w:hideMark/>
          </w:tcPr>
          <w:p w14:paraId="6E60676B" w14:textId="77777777" w:rsidR="004F3338"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w:t>
            </w:r>
          </w:p>
        </w:tc>
        <w:tc>
          <w:tcPr>
            <w:tcW w:w="1842" w:type="dxa"/>
            <w:tcBorders>
              <w:top w:val="nil"/>
              <w:left w:val="nil"/>
              <w:bottom w:val="single" w:sz="4" w:space="0" w:color="auto"/>
              <w:right w:val="nil"/>
            </w:tcBorders>
            <w:shd w:val="clear" w:color="auto" w:fill="auto"/>
            <w:noWrap/>
            <w:vAlign w:val="center"/>
            <w:hideMark/>
          </w:tcPr>
          <w:p w14:paraId="036C6AF0" w14:textId="77777777" w:rsidR="004F3338"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Least concern</w:t>
            </w:r>
          </w:p>
        </w:tc>
        <w:tc>
          <w:tcPr>
            <w:tcW w:w="1701" w:type="dxa"/>
            <w:tcBorders>
              <w:top w:val="nil"/>
              <w:left w:val="nil"/>
              <w:bottom w:val="single" w:sz="4" w:space="0" w:color="auto"/>
              <w:right w:val="nil"/>
            </w:tcBorders>
            <w:shd w:val="clear" w:color="auto" w:fill="auto"/>
            <w:noWrap/>
            <w:vAlign w:val="center"/>
            <w:hideMark/>
          </w:tcPr>
          <w:p w14:paraId="714F1E6D" w14:textId="77777777" w:rsidR="004F3338" w:rsidRPr="004F3338" w:rsidRDefault="004F3338" w:rsidP="004F3338">
            <w:pPr>
              <w:spacing w:after="0" w:line="240" w:lineRule="auto"/>
              <w:rPr>
                <w:rFonts w:ascii="Times New Roman" w:eastAsia="Times New Roman" w:hAnsi="Times New Roman" w:cs="Times New Roman"/>
                <w:color w:val="000000"/>
                <w:sz w:val="24"/>
                <w:szCs w:val="24"/>
              </w:rPr>
            </w:pPr>
            <w:r w:rsidRPr="004F3338">
              <w:rPr>
                <w:rFonts w:ascii="Times New Roman" w:eastAsia="Times New Roman" w:hAnsi="Times New Roman" w:cs="Times New Roman"/>
                <w:color w:val="000000"/>
                <w:sz w:val="24"/>
                <w:szCs w:val="24"/>
              </w:rPr>
              <w:t>Vulnerable</w:t>
            </w:r>
          </w:p>
        </w:tc>
      </w:tr>
    </w:tbl>
    <w:p w14:paraId="5A32C7E0" w14:textId="131367C9" w:rsidR="004F3338" w:rsidRDefault="004F3338">
      <w:pPr>
        <w:rPr>
          <w:rFonts w:ascii="Times New Roman" w:hAnsi="Times New Roman" w:cs="Times New Roman"/>
          <w:sz w:val="24"/>
          <w:szCs w:val="24"/>
        </w:rPr>
      </w:pPr>
    </w:p>
    <w:p w14:paraId="6A8142BD" w14:textId="656FC90B" w:rsidR="004F3338" w:rsidRDefault="004F3338">
      <w:pPr>
        <w:rPr>
          <w:rFonts w:ascii="Times New Roman" w:hAnsi="Times New Roman" w:cs="Times New Roman"/>
          <w:sz w:val="24"/>
          <w:szCs w:val="24"/>
        </w:rPr>
      </w:pPr>
      <w:r>
        <w:rPr>
          <w:rFonts w:ascii="Times New Roman" w:hAnsi="Times New Roman" w:cs="Times New Roman"/>
          <w:sz w:val="24"/>
          <w:szCs w:val="24"/>
        </w:rPr>
        <w:br w:type="page"/>
      </w:r>
    </w:p>
    <w:p w14:paraId="0EF5A439" w14:textId="4BCB41DA" w:rsidR="00F07914" w:rsidRPr="00F07914" w:rsidRDefault="00F07914">
      <w:pPr>
        <w:rPr>
          <w:rFonts w:ascii="Times New Roman" w:hAnsi="Times New Roman" w:cs="Times New Roman"/>
          <w:sz w:val="24"/>
          <w:szCs w:val="24"/>
        </w:rPr>
      </w:pPr>
      <w:r w:rsidRPr="00F07914">
        <w:rPr>
          <w:rFonts w:ascii="Times New Roman" w:hAnsi="Times New Roman" w:cs="Times New Roman"/>
          <w:sz w:val="24"/>
          <w:szCs w:val="24"/>
        </w:rPr>
        <w:lastRenderedPageBreak/>
        <w:t>Table S</w:t>
      </w:r>
      <w:r w:rsidR="004F3338">
        <w:rPr>
          <w:rFonts w:ascii="Times New Roman" w:hAnsi="Times New Roman" w:cs="Times New Roman"/>
          <w:sz w:val="24"/>
          <w:szCs w:val="24"/>
        </w:rPr>
        <w:t>2</w:t>
      </w:r>
      <w:r w:rsidR="00760D82">
        <w:rPr>
          <w:rFonts w:ascii="Times New Roman" w:hAnsi="Times New Roman" w:cs="Times New Roman"/>
          <w:sz w:val="24"/>
          <w:szCs w:val="24"/>
        </w:rPr>
        <w:t xml:space="preserve">. </w:t>
      </w:r>
      <w:r w:rsidR="00024498">
        <w:rPr>
          <w:rFonts w:ascii="Times New Roman" w:hAnsi="Times New Roman" w:cs="Times New Roman"/>
          <w:sz w:val="24"/>
          <w:szCs w:val="24"/>
        </w:rPr>
        <w:t xml:space="preserve">Filtering steps used to identify a set of informative </w:t>
      </w:r>
      <w:r w:rsidR="002224BB">
        <w:rPr>
          <w:rFonts w:ascii="Times New Roman" w:hAnsi="Times New Roman" w:cs="Times New Roman"/>
          <w:sz w:val="24"/>
          <w:szCs w:val="24"/>
        </w:rPr>
        <w:t xml:space="preserve">and statistically independent genome-wide </w:t>
      </w:r>
      <w:r w:rsidR="00024498">
        <w:rPr>
          <w:rFonts w:ascii="Times New Roman" w:hAnsi="Times New Roman" w:cs="Times New Roman"/>
          <w:sz w:val="24"/>
          <w:szCs w:val="24"/>
        </w:rPr>
        <w:t xml:space="preserve">single nucleotide polymorphisms </w:t>
      </w:r>
      <w:r w:rsidR="002224BB">
        <w:rPr>
          <w:rFonts w:ascii="Times New Roman" w:hAnsi="Times New Roman" w:cs="Times New Roman"/>
          <w:sz w:val="24"/>
          <w:szCs w:val="24"/>
        </w:rPr>
        <w:t xml:space="preserve">(SNPs) </w:t>
      </w:r>
      <w:r w:rsidR="00024498">
        <w:rPr>
          <w:rFonts w:ascii="Times New Roman" w:hAnsi="Times New Roman" w:cs="Times New Roman"/>
          <w:sz w:val="24"/>
          <w:szCs w:val="24"/>
        </w:rPr>
        <w:t>for population genomic analysis of the black-footed tree-rat</w:t>
      </w:r>
      <w:r w:rsidR="003B66C4">
        <w:rPr>
          <w:rFonts w:ascii="Times New Roman" w:hAnsi="Times New Roman" w:cs="Times New Roman"/>
          <w:sz w:val="24"/>
          <w:szCs w:val="24"/>
        </w:rPr>
        <w:t xml:space="preserve"> (</w:t>
      </w:r>
      <w:r w:rsidR="003B66C4" w:rsidRPr="003B66C4">
        <w:rPr>
          <w:rFonts w:ascii="Times New Roman" w:hAnsi="Times New Roman" w:cs="Times New Roman"/>
          <w:i/>
          <w:iCs/>
          <w:sz w:val="24"/>
          <w:szCs w:val="24"/>
        </w:rPr>
        <w:t>Mesembriomys gouldii</w:t>
      </w:r>
      <w:r w:rsidR="003B66C4">
        <w:rPr>
          <w:rFonts w:ascii="Times New Roman" w:hAnsi="Times New Roman" w:cs="Times New Roman"/>
          <w:sz w:val="24"/>
          <w:szCs w:val="24"/>
        </w:rPr>
        <w:t>)</w:t>
      </w:r>
      <w:r w:rsidR="00024498">
        <w:rPr>
          <w:rFonts w:ascii="Times New Roman" w:hAnsi="Times New Roman" w:cs="Times New Roman"/>
          <w:sz w:val="24"/>
          <w:szCs w:val="24"/>
        </w:rPr>
        <w:t>.</w:t>
      </w:r>
    </w:p>
    <w:tbl>
      <w:tblPr>
        <w:tblW w:w="9640" w:type="dxa"/>
        <w:tblInd w:w="-426" w:type="dxa"/>
        <w:tblLook w:val="04A0" w:firstRow="1" w:lastRow="0" w:firstColumn="1" w:lastColumn="0" w:noHBand="0" w:noVBand="1"/>
      </w:tblPr>
      <w:tblGrid>
        <w:gridCol w:w="2411"/>
        <w:gridCol w:w="1559"/>
        <w:gridCol w:w="5670"/>
      </w:tblGrid>
      <w:tr w:rsidR="00F07914" w:rsidRPr="00F07914" w14:paraId="30050AD2" w14:textId="77777777" w:rsidTr="00F07914">
        <w:trPr>
          <w:trHeight w:val="454"/>
        </w:trPr>
        <w:tc>
          <w:tcPr>
            <w:tcW w:w="0" w:type="auto"/>
            <w:tcBorders>
              <w:top w:val="single" w:sz="4" w:space="0" w:color="auto"/>
              <w:left w:val="nil"/>
              <w:bottom w:val="single" w:sz="4" w:space="0" w:color="auto"/>
              <w:right w:val="nil"/>
            </w:tcBorders>
            <w:shd w:val="clear" w:color="auto" w:fill="auto"/>
            <w:noWrap/>
            <w:hideMark/>
          </w:tcPr>
          <w:p w14:paraId="2042334B" w14:textId="7307BB07"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Step</w:t>
            </w:r>
            <w:r w:rsidR="00E5600F">
              <w:rPr>
                <w:rFonts w:ascii="Times New Roman" w:eastAsia="Times New Roman" w:hAnsi="Times New Roman" w:cs="Times New Roman"/>
                <w:color w:val="000000"/>
              </w:rPr>
              <w:t>/filter</w:t>
            </w:r>
          </w:p>
        </w:tc>
        <w:tc>
          <w:tcPr>
            <w:tcW w:w="1559" w:type="dxa"/>
            <w:tcBorders>
              <w:top w:val="single" w:sz="4" w:space="0" w:color="auto"/>
              <w:left w:val="nil"/>
              <w:bottom w:val="single" w:sz="4" w:space="0" w:color="auto"/>
              <w:right w:val="nil"/>
            </w:tcBorders>
            <w:shd w:val="clear" w:color="auto" w:fill="auto"/>
            <w:noWrap/>
            <w:hideMark/>
          </w:tcPr>
          <w:p w14:paraId="26B68237" w14:textId="640289CF"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SNPs retained</w:t>
            </w:r>
          </w:p>
        </w:tc>
        <w:tc>
          <w:tcPr>
            <w:tcW w:w="5670" w:type="dxa"/>
            <w:tcBorders>
              <w:top w:val="single" w:sz="4" w:space="0" w:color="auto"/>
              <w:left w:val="nil"/>
              <w:bottom w:val="single" w:sz="4" w:space="0" w:color="auto"/>
              <w:right w:val="nil"/>
            </w:tcBorders>
            <w:shd w:val="clear" w:color="auto" w:fill="auto"/>
            <w:noWrap/>
            <w:hideMark/>
          </w:tcPr>
          <w:p w14:paraId="42AE33C6" w14:textId="77777777"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Notes</w:t>
            </w:r>
          </w:p>
        </w:tc>
      </w:tr>
      <w:tr w:rsidR="00F07914" w:rsidRPr="00F07914" w14:paraId="23611F16" w14:textId="77777777" w:rsidTr="00E5600F">
        <w:trPr>
          <w:trHeight w:val="964"/>
        </w:trPr>
        <w:tc>
          <w:tcPr>
            <w:tcW w:w="0" w:type="auto"/>
            <w:tcBorders>
              <w:top w:val="single" w:sz="4" w:space="0" w:color="auto"/>
              <w:left w:val="nil"/>
              <w:bottom w:val="nil"/>
              <w:right w:val="nil"/>
            </w:tcBorders>
            <w:shd w:val="clear" w:color="auto" w:fill="auto"/>
            <w:noWrap/>
            <w:hideMark/>
          </w:tcPr>
          <w:p w14:paraId="4C7CF69A" w14:textId="77777777"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SNP calling (ANGSD)</w:t>
            </w:r>
          </w:p>
        </w:tc>
        <w:tc>
          <w:tcPr>
            <w:tcW w:w="1559" w:type="dxa"/>
            <w:tcBorders>
              <w:top w:val="single" w:sz="4" w:space="0" w:color="auto"/>
              <w:left w:val="nil"/>
              <w:bottom w:val="nil"/>
              <w:right w:val="nil"/>
            </w:tcBorders>
            <w:shd w:val="clear" w:color="auto" w:fill="auto"/>
            <w:noWrap/>
            <w:hideMark/>
          </w:tcPr>
          <w:p w14:paraId="710D4364" w14:textId="1B0B2442"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188,649</w:t>
            </w:r>
          </w:p>
        </w:tc>
        <w:tc>
          <w:tcPr>
            <w:tcW w:w="5670" w:type="dxa"/>
            <w:tcBorders>
              <w:top w:val="single" w:sz="4" w:space="0" w:color="auto"/>
              <w:left w:val="nil"/>
              <w:bottom w:val="nil"/>
              <w:right w:val="nil"/>
            </w:tcBorders>
            <w:shd w:val="clear" w:color="auto" w:fill="auto"/>
            <w:noWrap/>
            <w:hideMark/>
          </w:tcPr>
          <w:p w14:paraId="24DF3E2E" w14:textId="77777777"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minMapQ 20; minQ 20; SNP_pval 1e-5; minInd 20; setMinDepthInd 10; setMinDepth 200; setMaxDepth 13350; geno_minDepth 10; geno_maxDepth 150; postCutoff 0.98</w:t>
            </w:r>
          </w:p>
        </w:tc>
      </w:tr>
      <w:tr w:rsidR="00F07914" w:rsidRPr="00F07914" w14:paraId="434D5C50" w14:textId="77777777" w:rsidTr="00E5600F">
        <w:trPr>
          <w:trHeight w:val="624"/>
        </w:trPr>
        <w:tc>
          <w:tcPr>
            <w:tcW w:w="0" w:type="auto"/>
            <w:tcBorders>
              <w:top w:val="nil"/>
              <w:left w:val="nil"/>
              <w:bottom w:val="nil"/>
              <w:right w:val="nil"/>
            </w:tcBorders>
            <w:shd w:val="clear" w:color="auto" w:fill="auto"/>
            <w:noWrap/>
            <w:hideMark/>
          </w:tcPr>
          <w:p w14:paraId="5FF2678E" w14:textId="3C7A70EF"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call rate</w:t>
            </w:r>
          </w:p>
        </w:tc>
        <w:tc>
          <w:tcPr>
            <w:tcW w:w="1559" w:type="dxa"/>
            <w:tcBorders>
              <w:top w:val="nil"/>
              <w:left w:val="nil"/>
              <w:bottom w:val="nil"/>
              <w:right w:val="nil"/>
            </w:tcBorders>
            <w:shd w:val="clear" w:color="auto" w:fill="auto"/>
            <w:noWrap/>
            <w:hideMark/>
          </w:tcPr>
          <w:p w14:paraId="717BA73F" w14:textId="157AC515"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11,382</w:t>
            </w:r>
          </w:p>
        </w:tc>
        <w:tc>
          <w:tcPr>
            <w:tcW w:w="5670" w:type="dxa"/>
            <w:tcBorders>
              <w:top w:val="nil"/>
              <w:left w:val="nil"/>
              <w:bottom w:val="nil"/>
              <w:right w:val="nil"/>
            </w:tcBorders>
            <w:shd w:val="clear" w:color="auto" w:fill="auto"/>
            <w:noWrap/>
            <w:hideMark/>
          </w:tcPr>
          <w:p w14:paraId="2FCC14F9" w14:textId="77777777"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retained if called in &gt; 90% samples</w:t>
            </w:r>
          </w:p>
        </w:tc>
      </w:tr>
      <w:tr w:rsidR="00F07914" w:rsidRPr="00F07914" w14:paraId="12A20630" w14:textId="77777777" w:rsidTr="00E5600F">
        <w:trPr>
          <w:trHeight w:val="624"/>
        </w:trPr>
        <w:tc>
          <w:tcPr>
            <w:tcW w:w="0" w:type="auto"/>
            <w:tcBorders>
              <w:top w:val="nil"/>
              <w:left w:val="nil"/>
              <w:bottom w:val="nil"/>
              <w:right w:val="nil"/>
            </w:tcBorders>
            <w:shd w:val="clear" w:color="auto" w:fill="auto"/>
            <w:noWrap/>
            <w:hideMark/>
          </w:tcPr>
          <w:p w14:paraId="09DB4A53" w14:textId="77777777"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 xml:space="preserve">minor allele count </w:t>
            </w:r>
          </w:p>
        </w:tc>
        <w:tc>
          <w:tcPr>
            <w:tcW w:w="1559" w:type="dxa"/>
            <w:tcBorders>
              <w:top w:val="nil"/>
              <w:left w:val="nil"/>
              <w:bottom w:val="nil"/>
              <w:right w:val="nil"/>
            </w:tcBorders>
            <w:shd w:val="clear" w:color="auto" w:fill="auto"/>
            <w:noWrap/>
            <w:hideMark/>
          </w:tcPr>
          <w:p w14:paraId="3CBEFCC9" w14:textId="21E76696"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11,005</w:t>
            </w:r>
          </w:p>
        </w:tc>
        <w:tc>
          <w:tcPr>
            <w:tcW w:w="5670" w:type="dxa"/>
            <w:tcBorders>
              <w:top w:val="nil"/>
              <w:left w:val="nil"/>
              <w:bottom w:val="nil"/>
              <w:right w:val="nil"/>
            </w:tcBorders>
            <w:shd w:val="clear" w:color="auto" w:fill="auto"/>
            <w:noWrap/>
            <w:hideMark/>
          </w:tcPr>
          <w:p w14:paraId="05F4926D" w14:textId="77777777"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retained if MAC ≥ 3</w:t>
            </w:r>
          </w:p>
        </w:tc>
      </w:tr>
      <w:tr w:rsidR="00F07914" w:rsidRPr="00F07914" w14:paraId="4C24B29D" w14:textId="77777777" w:rsidTr="00E5600F">
        <w:trPr>
          <w:trHeight w:val="624"/>
        </w:trPr>
        <w:tc>
          <w:tcPr>
            <w:tcW w:w="0" w:type="auto"/>
            <w:tcBorders>
              <w:top w:val="nil"/>
              <w:left w:val="nil"/>
              <w:right w:val="nil"/>
            </w:tcBorders>
            <w:shd w:val="clear" w:color="auto" w:fill="auto"/>
            <w:noWrap/>
            <w:hideMark/>
          </w:tcPr>
          <w:p w14:paraId="6CD427D1" w14:textId="77777777"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observed heterozygosity</w:t>
            </w:r>
          </w:p>
        </w:tc>
        <w:tc>
          <w:tcPr>
            <w:tcW w:w="1559" w:type="dxa"/>
            <w:tcBorders>
              <w:top w:val="nil"/>
              <w:left w:val="nil"/>
              <w:right w:val="nil"/>
            </w:tcBorders>
            <w:shd w:val="clear" w:color="auto" w:fill="auto"/>
            <w:noWrap/>
            <w:hideMark/>
          </w:tcPr>
          <w:p w14:paraId="2208689A" w14:textId="4557458F"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10,837</w:t>
            </w:r>
          </w:p>
        </w:tc>
        <w:tc>
          <w:tcPr>
            <w:tcW w:w="5670" w:type="dxa"/>
            <w:tcBorders>
              <w:top w:val="nil"/>
              <w:left w:val="nil"/>
              <w:right w:val="nil"/>
            </w:tcBorders>
            <w:shd w:val="clear" w:color="auto" w:fill="auto"/>
            <w:noWrap/>
            <w:hideMark/>
          </w:tcPr>
          <w:p w14:paraId="37A1902C" w14:textId="77777777"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retained if Ho ≤ 0.6</w:t>
            </w:r>
          </w:p>
        </w:tc>
      </w:tr>
      <w:tr w:rsidR="00F07914" w:rsidRPr="00F07914" w14:paraId="3EA7A90E" w14:textId="77777777" w:rsidTr="00E5600F">
        <w:trPr>
          <w:trHeight w:val="964"/>
        </w:trPr>
        <w:tc>
          <w:tcPr>
            <w:tcW w:w="0" w:type="auto"/>
            <w:tcBorders>
              <w:top w:val="nil"/>
              <w:left w:val="nil"/>
              <w:bottom w:val="nil"/>
              <w:right w:val="nil"/>
            </w:tcBorders>
            <w:shd w:val="clear" w:color="auto" w:fill="auto"/>
            <w:noWrap/>
            <w:hideMark/>
          </w:tcPr>
          <w:p w14:paraId="36E50794" w14:textId="77777777"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linkage disequilibrium</w:t>
            </w:r>
          </w:p>
        </w:tc>
        <w:tc>
          <w:tcPr>
            <w:tcW w:w="1559" w:type="dxa"/>
            <w:tcBorders>
              <w:top w:val="nil"/>
              <w:left w:val="nil"/>
              <w:bottom w:val="nil"/>
              <w:right w:val="nil"/>
            </w:tcBorders>
            <w:shd w:val="clear" w:color="auto" w:fill="auto"/>
            <w:noWrap/>
            <w:hideMark/>
          </w:tcPr>
          <w:p w14:paraId="0B608ABE" w14:textId="40145A36"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4,764</w:t>
            </w:r>
          </w:p>
        </w:tc>
        <w:tc>
          <w:tcPr>
            <w:tcW w:w="5670" w:type="dxa"/>
            <w:tcBorders>
              <w:top w:val="nil"/>
              <w:left w:val="nil"/>
              <w:bottom w:val="nil"/>
              <w:right w:val="nil"/>
            </w:tcBorders>
            <w:shd w:val="clear" w:color="auto" w:fill="auto"/>
            <w:noWrap/>
            <w:hideMark/>
          </w:tcPr>
          <w:p w14:paraId="11B74390" w14:textId="3DB2AD6A" w:rsidR="00F07914" w:rsidRPr="00F07914" w:rsidRDefault="00F07914" w:rsidP="00F07914">
            <w:pPr>
              <w:spacing w:after="0" w:line="240" w:lineRule="auto"/>
              <w:rPr>
                <w:rFonts w:ascii="Times New Roman" w:eastAsia="Times New Roman" w:hAnsi="Times New Roman" w:cs="Times New Roman"/>
                <w:color w:val="000000"/>
              </w:rPr>
            </w:pPr>
            <w:r w:rsidRPr="00F07914">
              <w:rPr>
                <w:rFonts w:ascii="Times New Roman" w:eastAsia="Times New Roman" w:hAnsi="Times New Roman" w:cs="Times New Roman"/>
                <w:color w:val="000000"/>
              </w:rPr>
              <w:t>retained if correlation &lt; 0.5 within a sliding window of 100,000 bp. Reducing the sliding window size to 10,000 bp only retains an additional 29 SNPs</w:t>
            </w:r>
            <w:r w:rsidR="002C6F43">
              <w:rPr>
                <w:rFonts w:ascii="Times New Roman" w:eastAsia="Times New Roman" w:hAnsi="Times New Roman" w:cs="Times New Roman"/>
                <w:color w:val="000000"/>
              </w:rPr>
              <w:t>.</w:t>
            </w:r>
          </w:p>
        </w:tc>
      </w:tr>
      <w:tr w:rsidR="00C432BE" w:rsidRPr="00F07914" w14:paraId="4E0FB44B" w14:textId="77777777" w:rsidTr="00A80228">
        <w:trPr>
          <w:trHeight w:val="770"/>
        </w:trPr>
        <w:tc>
          <w:tcPr>
            <w:tcW w:w="0" w:type="auto"/>
            <w:tcBorders>
              <w:top w:val="nil"/>
              <w:left w:val="nil"/>
              <w:bottom w:val="nil"/>
              <w:right w:val="nil"/>
            </w:tcBorders>
            <w:shd w:val="clear" w:color="auto" w:fill="auto"/>
            <w:noWrap/>
          </w:tcPr>
          <w:p w14:paraId="421EF31F" w14:textId="21684832" w:rsidR="00C432BE" w:rsidRPr="00F07914" w:rsidRDefault="00C432BE" w:rsidP="00F0791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outlier identification</w:t>
            </w:r>
          </w:p>
        </w:tc>
        <w:tc>
          <w:tcPr>
            <w:tcW w:w="1559" w:type="dxa"/>
            <w:tcBorders>
              <w:top w:val="nil"/>
              <w:left w:val="nil"/>
              <w:bottom w:val="nil"/>
              <w:right w:val="nil"/>
            </w:tcBorders>
            <w:shd w:val="clear" w:color="auto" w:fill="auto"/>
            <w:noWrap/>
          </w:tcPr>
          <w:p w14:paraId="3861D47D" w14:textId="2D53F1EB" w:rsidR="00C432BE" w:rsidRPr="00F07914" w:rsidRDefault="00C432BE" w:rsidP="00F0791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4,764</w:t>
            </w:r>
          </w:p>
        </w:tc>
        <w:tc>
          <w:tcPr>
            <w:tcW w:w="5670" w:type="dxa"/>
            <w:tcBorders>
              <w:top w:val="nil"/>
              <w:left w:val="nil"/>
              <w:bottom w:val="nil"/>
              <w:right w:val="nil"/>
            </w:tcBorders>
            <w:shd w:val="clear" w:color="auto" w:fill="auto"/>
            <w:noWrap/>
          </w:tcPr>
          <w:p w14:paraId="1C218C4A" w14:textId="5D17F417" w:rsidR="00C432BE" w:rsidRPr="00F07914" w:rsidRDefault="00C432BE" w:rsidP="00F0791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No outlier loci identified using two methods </w:t>
            </w:r>
            <w:r w:rsidRPr="00C432BE">
              <w:rPr>
                <w:rFonts w:ascii="Times New Roman" w:eastAsia="Times New Roman" w:hAnsi="Times New Roman" w:cs="Times New Roman"/>
                <w:color w:val="000000"/>
              </w:rPr>
              <w:t>(</w:t>
            </w:r>
            <w:proofErr w:type="spellStart"/>
            <w:r w:rsidRPr="00C432BE">
              <w:rPr>
                <w:rFonts w:ascii="Times New Roman" w:eastAsia="Times New Roman" w:hAnsi="Times New Roman" w:cs="Times New Roman"/>
                <w:color w:val="000000"/>
              </w:rPr>
              <w:t>Frichot</w:t>
            </w:r>
            <w:proofErr w:type="spellEnd"/>
            <w:r w:rsidRPr="00C432BE">
              <w:rPr>
                <w:rFonts w:ascii="Times New Roman" w:eastAsia="Times New Roman" w:hAnsi="Times New Roman" w:cs="Times New Roman"/>
                <w:color w:val="000000"/>
              </w:rPr>
              <w:t xml:space="preserve"> &amp; François, 2015; Whitlock &amp; Lotterhos, 2015)</w:t>
            </w:r>
          </w:p>
        </w:tc>
      </w:tr>
      <w:tr w:rsidR="00E5600F" w:rsidRPr="00F07914" w14:paraId="7569837D" w14:textId="77777777" w:rsidTr="000E6839">
        <w:trPr>
          <w:trHeight w:val="770"/>
        </w:trPr>
        <w:tc>
          <w:tcPr>
            <w:tcW w:w="0" w:type="auto"/>
            <w:tcBorders>
              <w:top w:val="nil"/>
              <w:left w:val="nil"/>
              <w:bottom w:val="single" w:sz="4" w:space="0" w:color="auto"/>
              <w:right w:val="nil"/>
            </w:tcBorders>
            <w:shd w:val="clear" w:color="auto" w:fill="auto"/>
            <w:noWrap/>
          </w:tcPr>
          <w:p w14:paraId="34A24CD3" w14:textId="625CFC60" w:rsidR="00E5600F" w:rsidRPr="00F07914" w:rsidRDefault="00E5600F" w:rsidP="00F0791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sex-linked</w:t>
            </w:r>
          </w:p>
        </w:tc>
        <w:tc>
          <w:tcPr>
            <w:tcW w:w="1559" w:type="dxa"/>
            <w:tcBorders>
              <w:top w:val="nil"/>
              <w:left w:val="nil"/>
              <w:bottom w:val="single" w:sz="4" w:space="0" w:color="auto"/>
              <w:right w:val="nil"/>
            </w:tcBorders>
            <w:shd w:val="clear" w:color="auto" w:fill="auto"/>
            <w:noWrap/>
          </w:tcPr>
          <w:p w14:paraId="5169F94B" w14:textId="55B61859" w:rsidR="00E5600F" w:rsidRPr="00F07914" w:rsidRDefault="00E5600F" w:rsidP="00F0791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4,764</w:t>
            </w:r>
          </w:p>
        </w:tc>
        <w:tc>
          <w:tcPr>
            <w:tcW w:w="5670" w:type="dxa"/>
            <w:tcBorders>
              <w:top w:val="nil"/>
              <w:left w:val="nil"/>
              <w:bottom w:val="single" w:sz="4" w:space="0" w:color="auto"/>
              <w:right w:val="nil"/>
            </w:tcBorders>
            <w:shd w:val="clear" w:color="auto" w:fill="auto"/>
            <w:noWrap/>
          </w:tcPr>
          <w:p w14:paraId="698D8663" w14:textId="433F278A" w:rsidR="00E5600F" w:rsidRPr="00F07914" w:rsidRDefault="00E5600F" w:rsidP="00F07914">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retained if not </w:t>
            </w:r>
            <w:r w:rsidR="00760D82">
              <w:rPr>
                <w:rFonts w:ascii="Times New Roman" w:eastAsia="Times New Roman" w:hAnsi="Times New Roman" w:cs="Times New Roman"/>
                <w:color w:val="000000"/>
              </w:rPr>
              <w:t>significantly</w:t>
            </w:r>
            <w:r>
              <w:rPr>
                <w:rFonts w:ascii="Times New Roman" w:eastAsia="Times New Roman" w:hAnsi="Times New Roman" w:cs="Times New Roman"/>
                <w:color w:val="000000"/>
              </w:rPr>
              <w:t xml:space="preserve"> sex-biased </w:t>
            </w:r>
            <w:r w:rsidR="00760D82">
              <w:rPr>
                <w:rFonts w:ascii="Times New Roman" w:eastAsia="Times New Roman" w:hAnsi="Times New Roman" w:cs="Times New Roman"/>
                <w:color w:val="000000"/>
              </w:rPr>
              <w:t>(Y</w:t>
            </w:r>
            <w:r>
              <w:rPr>
                <w:rFonts w:ascii="Times New Roman" w:eastAsia="Times New Roman" w:hAnsi="Times New Roman" w:cs="Times New Roman"/>
                <w:color w:val="000000"/>
              </w:rPr>
              <w:t xml:space="preserve">-linked, </w:t>
            </w:r>
            <w:r w:rsidR="00760D82">
              <w:rPr>
                <w:rFonts w:ascii="Times New Roman" w:eastAsia="Times New Roman" w:hAnsi="Times New Roman" w:cs="Times New Roman"/>
                <w:color w:val="000000"/>
              </w:rPr>
              <w:t>X</w:t>
            </w:r>
            <w:r>
              <w:rPr>
                <w:rFonts w:ascii="Times New Roman" w:eastAsia="Times New Roman" w:hAnsi="Times New Roman" w:cs="Times New Roman"/>
                <w:color w:val="000000"/>
              </w:rPr>
              <w:t xml:space="preserve">-linked or </w:t>
            </w:r>
            <w:r w:rsidR="00760D82">
              <w:rPr>
                <w:rFonts w:ascii="Times New Roman" w:eastAsia="Times New Roman" w:hAnsi="Times New Roman" w:cs="Times New Roman"/>
                <w:color w:val="000000"/>
              </w:rPr>
              <w:t>XY</w:t>
            </w:r>
            <w:r>
              <w:rPr>
                <w:rFonts w:ascii="Times New Roman" w:eastAsia="Times New Roman" w:hAnsi="Times New Roman" w:cs="Times New Roman"/>
                <w:color w:val="000000"/>
              </w:rPr>
              <w:t xml:space="preserve"> gametolog</w:t>
            </w:r>
            <w:r w:rsidR="00760D82">
              <w:rPr>
                <w:rFonts w:ascii="Times New Roman" w:eastAsia="Times New Roman" w:hAnsi="Times New Roman" w:cs="Times New Roman"/>
                <w:color w:val="000000"/>
              </w:rPr>
              <w:t>)</w:t>
            </w:r>
          </w:p>
        </w:tc>
      </w:tr>
    </w:tbl>
    <w:p w14:paraId="0F80B4C6" w14:textId="57A3C594" w:rsidR="00F07914" w:rsidRPr="00F07914" w:rsidRDefault="00F07914">
      <w:pPr>
        <w:rPr>
          <w:rFonts w:ascii="Times New Roman" w:hAnsi="Times New Roman" w:cs="Times New Roman"/>
        </w:rPr>
      </w:pPr>
    </w:p>
    <w:p w14:paraId="40DFA634" w14:textId="3610067F" w:rsidR="00F07914" w:rsidRDefault="00F0791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7EF48CE" w14:textId="56E59BBD" w:rsidR="00A77BAE" w:rsidRDefault="006214FA" w:rsidP="00AD3749">
      <w:pPr>
        <w:ind w:left="-993"/>
        <w:rPr>
          <w:rFonts w:ascii="Times New Roman" w:eastAsia="Times New Roman" w:hAnsi="Times New Roman" w:cs="Times New Roman"/>
          <w:sz w:val="24"/>
          <w:szCs w:val="24"/>
        </w:rPr>
      </w:pPr>
      <w:r>
        <w:rPr>
          <w:noProof/>
        </w:rPr>
        <w:lastRenderedPageBreak/>
        <w:drawing>
          <wp:inline distT="0" distB="0" distL="0" distR="0" wp14:anchorId="3BDF809D" wp14:editId="26E25DB2">
            <wp:extent cx="7058025" cy="3095625"/>
            <wp:effectExtent l="0" t="0" r="9525" b="9525"/>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058025" cy="3095625"/>
                    </a:xfrm>
                    <a:prstGeom prst="rect">
                      <a:avLst/>
                    </a:prstGeom>
                    <a:ln/>
                  </pic:spPr>
                </pic:pic>
              </a:graphicData>
            </a:graphic>
          </wp:inline>
        </w:drawing>
      </w:r>
    </w:p>
    <w:p w14:paraId="01C8CE9F" w14:textId="2F6CBA64" w:rsidR="00A77BAE" w:rsidRDefault="006214F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S1. Hierarchical clustering dendrogram representing genetic distance relationships between black-footed tree-rat (</w:t>
      </w:r>
      <w:r>
        <w:rPr>
          <w:rFonts w:ascii="Times New Roman" w:eastAsia="Times New Roman" w:hAnsi="Times New Roman" w:cs="Times New Roman"/>
          <w:i/>
          <w:sz w:val="24"/>
          <w:szCs w:val="24"/>
        </w:rPr>
        <w:t>Mesembriomys gouldii</w:t>
      </w:r>
      <w:r>
        <w:rPr>
          <w:rFonts w:ascii="Times New Roman" w:eastAsia="Times New Roman" w:hAnsi="Times New Roman" w:cs="Times New Roman"/>
          <w:sz w:val="24"/>
          <w:szCs w:val="24"/>
        </w:rPr>
        <w:t xml:space="preserve">) samples. </w:t>
      </w:r>
      <w:r w:rsidR="00644D57">
        <w:rPr>
          <w:rFonts w:ascii="Times New Roman" w:eastAsia="Times New Roman" w:hAnsi="Times New Roman" w:cs="Times New Roman"/>
          <w:sz w:val="24"/>
          <w:szCs w:val="24"/>
        </w:rPr>
        <w:t>The f</w:t>
      </w:r>
      <w:r>
        <w:rPr>
          <w:rFonts w:ascii="Times New Roman" w:eastAsia="Times New Roman" w:hAnsi="Times New Roman" w:cs="Times New Roman"/>
          <w:sz w:val="24"/>
          <w:szCs w:val="24"/>
        </w:rPr>
        <w:t>ive technical replicates are represented by samples paired on long branches.</w:t>
      </w:r>
    </w:p>
    <w:p w14:paraId="0FAB5DB1" w14:textId="77777777" w:rsidR="00A77BAE" w:rsidRDefault="00A77BAE">
      <w:pPr>
        <w:jc w:val="both"/>
        <w:rPr>
          <w:rFonts w:ascii="Times New Roman" w:eastAsia="Times New Roman" w:hAnsi="Times New Roman" w:cs="Times New Roman"/>
          <w:sz w:val="24"/>
          <w:szCs w:val="24"/>
        </w:rPr>
      </w:pPr>
    </w:p>
    <w:p w14:paraId="3C35FE0F" w14:textId="77777777" w:rsidR="00A77BAE" w:rsidRDefault="00A77BAE">
      <w:pPr>
        <w:jc w:val="both"/>
        <w:rPr>
          <w:rFonts w:ascii="Times New Roman" w:eastAsia="Times New Roman" w:hAnsi="Times New Roman" w:cs="Times New Roman"/>
          <w:sz w:val="24"/>
          <w:szCs w:val="24"/>
        </w:rPr>
      </w:pPr>
    </w:p>
    <w:p w14:paraId="7E605D1D" w14:textId="294FF3F6" w:rsidR="00A77BAE" w:rsidRDefault="006214FA">
      <w:r>
        <w:br w:type="page"/>
      </w:r>
    </w:p>
    <w:p w14:paraId="0091406F" w14:textId="2F34261C" w:rsidR="00A77BAE" w:rsidRDefault="00BC0827">
      <w:pPr>
        <w:rPr>
          <w:rFonts w:ascii="Times New Roman" w:eastAsia="Times New Roman" w:hAnsi="Times New Roman" w:cs="Times New Roman"/>
          <w:sz w:val="24"/>
          <w:szCs w:val="24"/>
        </w:rPr>
      </w:pPr>
      <w:r>
        <w:rPr>
          <w:noProof/>
        </w:rPr>
        <w:lastRenderedPageBreak/>
        <w:drawing>
          <wp:inline distT="0" distB="0" distL="0" distR="0" wp14:anchorId="7EA6C1CE" wp14:editId="0BD0CA9E">
            <wp:extent cx="5735320" cy="3003550"/>
            <wp:effectExtent l="0" t="0" r="0" b="6350"/>
            <wp:docPr id="4" name="Picture 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Chart, scatter chart&#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2488"/>
                    <a:stretch/>
                  </pic:blipFill>
                  <pic:spPr bwMode="auto">
                    <a:xfrm>
                      <a:off x="0" y="0"/>
                      <a:ext cx="5735320" cy="3003550"/>
                    </a:xfrm>
                    <a:prstGeom prst="rect">
                      <a:avLst/>
                    </a:prstGeom>
                    <a:noFill/>
                    <a:ln>
                      <a:noFill/>
                    </a:ln>
                    <a:extLst>
                      <a:ext uri="{53640926-AAD7-44D8-BBD7-CCE9431645EC}">
                        <a14:shadowObscured xmlns:a14="http://schemas.microsoft.com/office/drawing/2010/main"/>
                      </a:ext>
                    </a:extLst>
                  </pic:spPr>
                </pic:pic>
              </a:graphicData>
            </a:graphic>
          </wp:inline>
        </w:drawing>
      </w:r>
    </w:p>
    <w:p w14:paraId="5F61895C" w14:textId="46578059" w:rsidR="00A77BAE" w:rsidRDefault="006214F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S</w:t>
      </w:r>
      <w:r w:rsidR="00EF5CC2">
        <w:rPr>
          <w:rFonts w:ascii="Times New Roman" w:eastAsia="Times New Roman" w:hAnsi="Times New Roman" w:cs="Times New Roman"/>
          <w:sz w:val="24"/>
          <w:szCs w:val="24"/>
        </w:rPr>
        <w:t>2</w:t>
      </w:r>
      <w:r>
        <w:rPr>
          <w:rFonts w:ascii="Times New Roman" w:eastAsia="Times New Roman" w:hAnsi="Times New Roman" w:cs="Times New Roman"/>
          <w:sz w:val="24"/>
          <w:szCs w:val="24"/>
        </w:rPr>
        <w:t>. Cross-entropy plot used to identify hierarchical population structuring in black-footed tree-rats (</w:t>
      </w:r>
      <w:r>
        <w:rPr>
          <w:rFonts w:ascii="Times New Roman" w:eastAsia="Times New Roman" w:hAnsi="Times New Roman" w:cs="Times New Roman"/>
          <w:i/>
          <w:sz w:val="24"/>
          <w:szCs w:val="24"/>
        </w:rPr>
        <w:t>Mesembriomys gouldii</w:t>
      </w:r>
      <w:r>
        <w:rPr>
          <w:rFonts w:ascii="Times New Roman" w:eastAsia="Times New Roman" w:hAnsi="Times New Roman" w:cs="Times New Roman"/>
          <w:sz w:val="24"/>
          <w:szCs w:val="24"/>
        </w:rPr>
        <w:t>). Lower values of the cross-entropy criterion indicate a better fit to the data. A large drop in cross-entr</w:t>
      </w:r>
      <w:r w:rsidR="00F52DFB">
        <w:rPr>
          <w:rFonts w:ascii="Times New Roman" w:eastAsia="Times New Roman" w:hAnsi="Times New Roman" w:cs="Times New Roman"/>
          <w:sz w:val="24"/>
          <w:szCs w:val="24"/>
        </w:rPr>
        <w:t>op</w:t>
      </w:r>
      <w:r>
        <w:rPr>
          <w:rFonts w:ascii="Times New Roman" w:eastAsia="Times New Roman" w:hAnsi="Times New Roman" w:cs="Times New Roman"/>
          <w:sz w:val="24"/>
          <w:szCs w:val="24"/>
        </w:rPr>
        <w:t xml:space="preserve">y from the preceding point indicates that a </w:t>
      </w:r>
      <w:r>
        <w:rPr>
          <w:rFonts w:ascii="Times New Roman" w:eastAsia="Times New Roman" w:hAnsi="Times New Roman" w:cs="Times New Roman"/>
          <w:i/>
          <w:sz w:val="24"/>
          <w:szCs w:val="24"/>
        </w:rPr>
        <w:t>k</w:t>
      </w:r>
      <w:r>
        <w:rPr>
          <w:rFonts w:ascii="Times New Roman" w:eastAsia="Times New Roman" w:hAnsi="Times New Roman" w:cs="Times New Roman"/>
          <w:sz w:val="24"/>
          <w:szCs w:val="24"/>
        </w:rPr>
        <w:t xml:space="preserve"> value is well-supported.</w:t>
      </w:r>
    </w:p>
    <w:p w14:paraId="25E3A10A" w14:textId="28A5B3C8" w:rsidR="00F52DFB" w:rsidRDefault="00F52DFB">
      <w:pPr>
        <w:jc w:val="both"/>
        <w:rPr>
          <w:rFonts w:ascii="Times New Roman" w:eastAsia="Times New Roman" w:hAnsi="Times New Roman" w:cs="Times New Roman"/>
          <w:sz w:val="24"/>
          <w:szCs w:val="24"/>
        </w:rPr>
      </w:pPr>
    </w:p>
    <w:p w14:paraId="77EECD81" w14:textId="2BAEE63C" w:rsidR="00F52DFB" w:rsidRDefault="00F52DF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7A70D21" w14:textId="77777777" w:rsidR="00113B65" w:rsidRDefault="00113B65" w:rsidP="00113B65">
      <w:r>
        <w:rPr>
          <w:noProof/>
        </w:rPr>
        <w:lastRenderedPageBreak/>
        <w:drawing>
          <wp:inline distT="0" distB="0" distL="0" distR="0" wp14:anchorId="397CE4C1" wp14:editId="0760A26C">
            <wp:extent cx="5731510" cy="4615815"/>
            <wp:effectExtent l="0" t="0" r="254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731510" cy="4615815"/>
                    </a:xfrm>
                    <a:prstGeom prst="rect">
                      <a:avLst/>
                    </a:prstGeom>
                  </pic:spPr>
                </pic:pic>
              </a:graphicData>
            </a:graphic>
          </wp:inline>
        </w:drawing>
      </w:r>
    </w:p>
    <w:p w14:paraId="4EAF632F" w14:textId="6E9176F3" w:rsidR="00113B65" w:rsidRPr="00113B65" w:rsidRDefault="00113B65" w:rsidP="00113B65">
      <w:pPr>
        <w:rPr>
          <w:rFonts w:ascii="Times New Roman" w:hAnsi="Times New Roman" w:cs="Times New Roman"/>
          <w:sz w:val="24"/>
          <w:szCs w:val="24"/>
        </w:rPr>
      </w:pPr>
      <w:r w:rsidRPr="00113B65">
        <w:rPr>
          <w:rFonts w:ascii="Times New Roman" w:hAnsi="Times New Roman" w:cs="Times New Roman"/>
          <w:sz w:val="24"/>
          <w:szCs w:val="24"/>
        </w:rPr>
        <w:t>Figure</w:t>
      </w:r>
      <w:r w:rsidRPr="00113B65">
        <w:rPr>
          <w:rFonts w:ascii="Times New Roman" w:hAnsi="Times New Roman" w:cs="Times New Roman"/>
          <w:sz w:val="24"/>
          <w:szCs w:val="24"/>
        </w:rPr>
        <w:t xml:space="preserve"> S3</w:t>
      </w:r>
      <w:r w:rsidRPr="00113B65">
        <w:rPr>
          <w:rFonts w:ascii="Times New Roman" w:hAnsi="Times New Roman" w:cs="Times New Roman"/>
          <w:sz w:val="24"/>
          <w:szCs w:val="24"/>
        </w:rPr>
        <w:t xml:space="preserve">. The mean and standard deviation (SD) across 10 iterations for the composite likelihood L(m) (left axis, black circles) and proportion of variance explained (right axis, red circles) (top); and the second-order rate of change (Δm) across values of m (bottom). Both figures are the output produced by the R package ‘OptM’. </w:t>
      </w:r>
    </w:p>
    <w:p w14:paraId="56779E48" w14:textId="7EE7436A" w:rsidR="00113B65" w:rsidRDefault="00113B65" w:rsidP="00F52DFB">
      <w:pPr>
        <w:jc w:val="both"/>
        <w:rPr>
          <w:rFonts w:ascii="Times New Roman" w:hAnsi="Times New Roman" w:cs="Times New Roman"/>
          <w:sz w:val="24"/>
          <w:szCs w:val="24"/>
        </w:rPr>
      </w:pPr>
      <w:r>
        <w:rPr>
          <w:rFonts w:ascii="Times New Roman" w:hAnsi="Times New Roman" w:cs="Times New Roman"/>
          <w:sz w:val="24"/>
          <w:szCs w:val="24"/>
        </w:rPr>
        <w:br w:type="page"/>
      </w:r>
    </w:p>
    <w:p w14:paraId="09122303" w14:textId="6E6F55B7" w:rsidR="00113B65" w:rsidRDefault="00113B65" w:rsidP="00F52DFB">
      <w:pPr>
        <w:jc w:val="both"/>
        <w:rPr>
          <w:rFonts w:ascii="Times New Roman" w:hAnsi="Times New Roman" w:cs="Times New Roman"/>
          <w:sz w:val="24"/>
          <w:szCs w:val="24"/>
        </w:rPr>
      </w:pPr>
      <w:r>
        <w:rPr>
          <w:noProof/>
        </w:rPr>
        <w:lastRenderedPageBreak/>
        <w:drawing>
          <wp:inline distT="0" distB="0" distL="0" distR="0" wp14:anchorId="76614850" wp14:editId="0D202D5C">
            <wp:extent cx="5372100" cy="5372100"/>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rotWithShape="1">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rcRect l="8054" t="14370" r="14764" b="30998"/>
                    <a:stretch/>
                  </pic:blipFill>
                  <pic:spPr bwMode="auto">
                    <a:xfrm>
                      <a:off x="0" y="0"/>
                      <a:ext cx="5372100" cy="5372100"/>
                    </a:xfrm>
                    <a:prstGeom prst="rect">
                      <a:avLst/>
                    </a:prstGeom>
                    <a:ln>
                      <a:noFill/>
                    </a:ln>
                    <a:extLst>
                      <a:ext uri="{53640926-AAD7-44D8-BBD7-CCE9431645EC}">
                        <a14:shadowObscured xmlns:a14="http://schemas.microsoft.com/office/drawing/2010/main"/>
                      </a:ext>
                    </a:extLst>
                  </pic:spPr>
                </pic:pic>
              </a:graphicData>
            </a:graphic>
          </wp:inline>
        </w:drawing>
      </w:r>
    </w:p>
    <w:p w14:paraId="40384345" w14:textId="7730087E" w:rsidR="00113B65" w:rsidRDefault="00113B65" w:rsidP="00F52DFB">
      <w:pPr>
        <w:jc w:val="both"/>
        <w:rPr>
          <w:rFonts w:ascii="Times New Roman" w:hAnsi="Times New Roman" w:cs="Times New Roman"/>
          <w:sz w:val="24"/>
          <w:szCs w:val="24"/>
        </w:rPr>
      </w:pPr>
      <w:r w:rsidRPr="00113B65">
        <w:rPr>
          <w:rFonts w:ascii="Times New Roman" w:hAnsi="Times New Roman" w:cs="Times New Roman"/>
          <w:sz w:val="24"/>
          <w:szCs w:val="24"/>
        </w:rPr>
        <w:t>Figure S</w:t>
      </w:r>
      <w:r>
        <w:rPr>
          <w:rFonts w:ascii="Times New Roman" w:hAnsi="Times New Roman" w:cs="Times New Roman"/>
          <w:sz w:val="24"/>
          <w:szCs w:val="24"/>
        </w:rPr>
        <w:t>4</w:t>
      </w:r>
      <w:r w:rsidRPr="00113B65">
        <w:rPr>
          <w:rFonts w:ascii="Times New Roman" w:hAnsi="Times New Roman" w:cs="Times New Roman"/>
          <w:sz w:val="24"/>
          <w:szCs w:val="24"/>
        </w:rPr>
        <w:t>. TreeMix unrooted maximum likelihood tree of the black-footed tree-rat (</w:t>
      </w:r>
      <w:r w:rsidRPr="00113B65">
        <w:rPr>
          <w:rFonts w:ascii="Times New Roman" w:hAnsi="Times New Roman" w:cs="Times New Roman"/>
          <w:i/>
          <w:iCs/>
          <w:sz w:val="24"/>
          <w:szCs w:val="24"/>
        </w:rPr>
        <w:t>Mesembriomys gouldii</w:t>
      </w:r>
      <w:r w:rsidRPr="00113B65">
        <w:rPr>
          <w:rFonts w:ascii="Times New Roman" w:hAnsi="Times New Roman" w:cs="Times New Roman"/>
          <w:sz w:val="24"/>
          <w:szCs w:val="24"/>
        </w:rPr>
        <w:t>) based on 4764 SNPs with (a) no migration events and (b) allowing two migration events. Drift parameter is shown on the x-axis with horizontal branch lengths proportional to the amount of genetic drift that has occurred on the branch. The scale bar shows 10</w:t>
      </w:r>
      <w:r>
        <w:rPr>
          <w:rFonts w:ascii="Times New Roman" w:hAnsi="Times New Roman" w:cs="Times New Roman"/>
          <w:sz w:val="24"/>
          <w:szCs w:val="24"/>
        </w:rPr>
        <w:t>×</w:t>
      </w:r>
      <w:r w:rsidRPr="00113B65">
        <w:rPr>
          <w:rFonts w:ascii="Times New Roman" w:hAnsi="Times New Roman" w:cs="Times New Roman"/>
          <w:sz w:val="24"/>
          <w:szCs w:val="24"/>
        </w:rPr>
        <w:t xml:space="preserve"> the average standard error of the entries in the sample covariance matrix. The residual fit for each tree is also illustrated with large, positive residuals (blue/black colours) indicating population pairs that are more closely related to each other than suggested by the tree and may indicate potential admixture events. Migration arrows are coloured according to their weight based on the proportion of alleles in the descendent population that are derived from the ancestral population.</w:t>
      </w:r>
    </w:p>
    <w:p w14:paraId="53B93F79" w14:textId="11983348" w:rsidR="00113B65" w:rsidRDefault="00113B65" w:rsidP="00F52DFB">
      <w:pPr>
        <w:jc w:val="both"/>
        <w:rPr>
          <w:rFonts w:ascii="Times New Roman" w:hAnsi="Times New Roman" w:cs="Times New Roman"/>
          <w:sz w:val="24"/>
          <w:szCs w:val="24"/>
        </w:rPr>
      </w:pPr>
      <w:r>
        <w:rPr>
          <w:rFonts w:ascii="Times New Roman" w:hAnsi="Times New Roman" w:cs="Times New Roman"/>
          <w:sz w:val="24"/>
          <w:szCs w:val="24"/>
        </w:rPr>
        <w:br w:type="page"/>
      </w:r>
    </w:p>
    <w:p w14:paraId="333C3120" w14:textId="460014EF" w:rsidR="00F52DFB" w:rsidRPr="004F4EC5" w:rsidRDefault="00F52DFB" w:rsidP="00F52DFB">
      <w:pPr>
        <w:jc w:val="both"/>
        <w:rPr>
          <w:rFonts w:ascii="Times New Roman" w:eastAsia="Times New Roman" w:hAnsi="Times New Roman" w:cs="Times New Roman"/>
          <w:sz w:val="24"/>
          <w:szCs w:val="24"/>
        </w:rPr>
      </w:pPr>
      <w:r w:rsidRPr="0006321A">
        <w:rPr>
          <w:rFonts w:ascii="Times New Roman" w:hAnsi="Times New Roman" w:cs="Times New Roman"/>
          <w:sz w:val="24"/>
          <w:szCs w:val="24"/>
        </w:rPr>
        <w:lastRenderedPageBreak/>
        <w:t>Table S</w:t>
      </w:r>
      <w:r w:rsidR="004F3338">
        <w:rPr>
          <w:rFonts w:ascii="Times New Roman" w:hAnsi="Times New Roman" w:cs="Times New Roman"/>
          <w:sz w:val="24"/>
          <w:szCs w:val="24"/>
        </w:rPr>
        <w:t>3</w:t>
      </w:r>
      <w:r w:rsidRPr="0006321A">
        <w:rPr>
          <w:rFonts w:ascii="Times New Roman" w:hAnsi="Times New Roman" w:cs="Times New Roman"/>
          <w:sz w:val="24"/>
          <w:szCs w:val="24"/>
        </w:rPr>
        <w:t xml:space="preserve">. </w:t>
      </w:r>
      <w:r w:rsidRPr="004F4EC5">
        <w:rPr>
          <w:rFonts w:ascii="Times New Roman" w:eastAsia="Times New Roman" w:hAnsi="Times New Roman" w:cs="Times New Roman"/>
          <w:sz w:val="24"/>
          <w:szCs w:val="24"/>
        </w:rPr>
        <w:t xml:space="preserve">Optimisation scenarios for conservation of alleles in </w:t>
      </w:r>
      <w:r w:rsidRPr="008237F5">
        <w:rPr>
          <w:rFonts w:ascii="Times New Roman" w:eastAsia="Times New Roman" w:hAnsi="Times New Roman" w:cs="Times New Roman"/>
          <w:iCs/>
          <w:sz w:val="24"/>
          <w:szCs w:val="24"/>
        </w:rPr>
        <w:t>populations</w:t>
      </w:r>
      <w:r w:rsidRPr="004F4EC5">
        <w:rPr>
          <w:rFonts w:ascii="Times New Roman" w:eastAsia="Times New Roman" w:hAnsi="Times New Roman" w:cs="Times New Roman"/>
          <w:sz w:val="24"/>
          <w:szCs w:val="24"/>
        </w:rPr>
        <w:t xml:space="preserve"> of the black-footed tree-rat</w:t>
      </w:r>
      <w:r>
        <w:rPr>
          <w:rFonts w:ascii="Times New Roman" w:eastAsia="Times New Roman" w:hAnsi="Times New Roman" w:cs="Times New Roman"/>
          <w:sz w:val="24"/>
          <w:szCs w:val="24"/>
        </w:rPr>
        <w:t xml:space="preserve"> </w:t>
      </w:r>
      <w:r w:rsidRPr="004F4EC5">
        <w:rPr>
          <w:rFonts w:ascii="Times New Roman" w:eastAsia="Times New Roman" w:hAnsi="Times New Roman" w:cs="Times New Roman"/>
          <w:sz w:val="24"/>
          <w:szCs w:val="24"/>
        </w:rPr>
        <w:t>(</w:t>
      </w:r>
      <w:r w:rsidRPr="004F4EC5">
        <w:rPr>
          <w:rFonts w:ascii="Times New Roman" w:eastAsia="Times New Roman" w:hAnsi="Times New Roman" w:cs="Times New Roman"/>
          <w:i/>
          <w:sz w:val="24"/>
          <w:szCs w:val="24"/>
        </w:rPr>
        <w:t>Mesembriomys gouldii</w:t>
      </w:r>
      <w:r w:rsidRPr="004F4EC5">
        <w:rPr>
          <w:rFonts w:ascii="Times New Roman" w:eastAsia="Times New Roman" w:hAnsi="Times New Roman" w:cs="Times New Roman"/>
          <w:sz w:val="24"/>
          <w:szCs w:val="24"/>
        </w:rPr>
        <w:t>). Numbers show the proportion of times that each population was chosen in a given scenario from 100 iterations of randomly sampling four individuals per population and counting the number of alleles</w:t>
      </w:r>
      <w:r>
        <w:rPr>
          <w:rFonts w:ascii="Times New Roman" w:eastAsia="Times New Roman" w:hAnsi="Times New Roman" w:cs="Times New Roman"/>
          <w:sz w:val="24"/>
          <w:szCs w:val="24"/>
        </w:rPr>
        <w:t>.</w:t>
      </w:r>
    </w:p>
    <w:tbl>
      <w:tblPr>
        <w:tblW w:w="9016" w:type="dxa"/>
        <w:tblBorders>
          <w:top w:val="nil"/>
          <w:left w:val="nil"/>
          <w:bottom w:val="nil"/>
          <w:right w:val="nil"/>
          <w:insideH w:val="nil"/>
          <w:insideV w:val="nil"/>
        </w:tblBorders>
        <w:tblLayout w:type="fixed"/>
        <w:tblLook w:val="0400" w:firstRow="0" w:lastRow="0" w:firstColumn="0" w:lastColumn="0" w:noHBand="0" w:noVBand="1"/>
      </w:tblPr>
      <w:tblGrid>
        <w:gridCol w:w="2410"/>
        <w:gridCol w:w="1559"/>
        <w:gridCol w:w="1701"/>
        <w:gridCol w:w="1701"/>
        <w:gridCol w:w="1645"/>
      </w:tblGrid>
      <w:tr w:rsidR="00F52DFB" w:rsidRPr="004F4EC5" w14:paraId="2B7E7A73" w14:textId="77777777" w:rsidTr="00775797">
        <w:trPr>
          <w:trHeight w:val="454"/>
        </w:trPr>
        <w:tc>
          <w:tcPr>
            <w:tcW w:w="2410" w:type="dxa"/>
            <w:tcBorders>
              <w:top w:val="single" w:sz="4" w:space="0" w:color="000000"/>
              <w:bottom w:val="single" w:sz="4" w:space="0" w:color="000000"/>
            </w:tcBorders>
          </w:tcPr>
          <w:p w14:paraId="27356308" w14:textId="77777777" w:rsidR="00F52DFB" w:rsidRPr="00FD7638" w:rsidRDefault="00F52DFB" w:rsidP="00775797">
            <w:pPr>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Number of populations conserved</w:t>
            </w:r>
          </w:p>
        </w:tc>
        <w:tc>
          <w:tcPr>
            <w:tcW w:w="1559" w:type="dxa"/>
            <w:tcBorders>
              <w:top w:val="single" w:sz="4" w:space="0" w:color="000000"/>
              <w:bottom w:val="single" w:sz="4" w:space="0" w:color="000000"/>
            </w:tcBorders>
          </w:tcPr>
          <w:p w14:paraId="4624EB8B" w14:textId="77777777" w:rsidR="00F52DFB" w:rsidRPr="00FD7638" w:rsidRDefault="00F52DFB" w:rsidP="00775797">
            <w:pPr>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Weipa</w:t>
            </w:r>
          </w:p>
        </w:tc>
        <w:tc>
          <w:tcPr>
            <w:tcW w:w="1701" w:type="dxa"/>
            <w:tcBorders>
              <w:top w:val="single" w:sz="4" w:space="0" w:color="000000"/>
              <w:bottom w:val="single" w:sz="4" w:space="0" w:color="000000"/>
            </w:tcBorders>
          </w:tcPr>
          <w:p w14:paraId="116D11D5" w14:textId="77777777" w:rsidR="00F52DFB" w:rsidRPr="00FD7638" w:rsidRDefault="00F52DFB" w:rsidP="00775797">
            <w:pPr>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Melville Island</w:t>
            </w:r>
          </w:p>
        </w:tc>
        <w:tc>
          <w:tcPr>
            <w:tcW w:w="1701" w:type="dxa"/>
            <w:tcBorders>
              <w:top w:val="single" w:sz="4" w:space="0" w:color="000000"/>
              <w:bottom w:val="single" w:sz="4" w:space="0" w:color="000000"/>
            </w:tcBorders>
          </w:tcPr>
          <w:p w14:paraId="2051E628" w14:textId="77777777" w:rsidR="00F52DFB" w:rsidRPr="00FD7638" w:rsidRDefault="00F52DFB" w:rsidP="00775797">
            <w:pPr>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Darwin</w:t>
            </w:r>
          </w:p>
        </w:tc>
        <w:tc>
          <w:tcPr>
            <w:tcW w:w="1645" w:type="dxa"/>
            <w:tcBorders>
              <w:top w:val="single" w:sz="4" w:space="0" w:color="000000"/>
              <w:bottom w:val="single" w:sz="4" w:space="0" w:color="000000"/>
            </w:tcBorders>
          </w:tcPr>
          <w:p w14:paraId="00F754D7" w14:textId="77777777" w:rsidR="00F52DFB" w:rsidRPr="00FD7638" w:rsidRDefault="00F52DFB" w:rsidP="00775797">
            <w:pPr>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Cobourg Peninsula</w:t>
            </w:r>
          </w:p>
        </w:tc>
      </w:tr>
      <w:tr w:rsidR="00F52DFB" w:rsidRPr="004F4EC5" w14:paraId="2FD9962C" w14:textId="77777777" w:rsidTr="00775797">
        <w:trPr>
          <w:trHeight w:val="454"/>
        </w:trPr>
        <w:tc>
          <w:tcPr>
            <w:tcW w:w="2410" w:type="dxa"/>
            <w:tcBorders>
              <w:top w:val="single" w:sz="4" w:space="0" w:color="000000"/>
            </w:tcBorders>
          </w:tcPr>
          <w:p w14:paraId="2E2C460D"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color w:val="000000"/>
                <w:sz w:val="24"/>
                <w:szCs w:val="24"/>
              </w:rPr>
              <w:t>1</w:t>
            </w:r>
          </w:p>
        </w:tc>
        <w:tc>
          <w:tcPr>
            <w:tcW w:w="1559" w:type="dxa"/>
            <w:tcBorders>
              <w:top w:val="single" w:sz="4" w:space="0" w:color="000000"/>
            </w:tcBorders>
          </w:tcPr>
          <w:p w14:paraId="73882F82"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0</w:t>
            </w:r>
          </w:p>
        </w:tc>
        <w:tc>
          <w:tcPr>
            <w:tcW w:w="1701" w:type="dxa"/>
            <w:tcBorders>
              <w:top w:val="single" w:sz="4" w:space="0" w:color="000000"/>
            </w:tcBorders>
          </w:tcPr>
          <w:p w14:paraId="4A937B0F"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0</w:t>
            </w:r>
          </w:p>
        </w:tc>
        <w:tc>
          <w:tcPr>
            <w:tcW w:w="1701" w:type="dxa"/>
            <w:tcBorders>
              <w:top w:val="single" w:sz="4" w:space="0" w:color="000000"/>
            </w:tcBorders>
          </w:tcPr>
          <w:p w14:paraId="16E4D52E"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0.72</w:t>
            </w:r>
          </w:p>
        </w:tc>
        <w:tc>
          <w:tcPr>
            <w:tcW w:w="1645" w:type="dxa"/>
            <w:tcBorders>
              <w:top w:val="single" w:sz="4" w:space="0" w:color="000000"/>
            </w:tcBorders>
          </w:tcPr>
          <w:p w14:paraId="63D2FA4F"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0.28</w:t>
            </w:r>
          </w:p>
        </w:tc>
      </w:tr>
      <w:tr w:rsidR="00F52DFB" w:rsidRPr="004F4EC5" w14:paraId="2F9C63FA" w14:textId="77777777" w:rsidTr="00775797">
        <w:trPr>
          <w:trHeight w:val="454"/>
        </w:trPr>
        <w:tc>
          <w:tcPr>
            <w:tcW w:w="2410" w:type="dxa"/>
          </w:tcPr>
          <w:p w14:paraId="4962D7EC"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color w:val="000000"/>
                <w:sz w:val="24"/>
                <w:szCs w:val="24"/>
              </w:rPr>
              <w:t>2</w:t>
            </w:r>
          </w:p>
        </w:tc>
        <w:tc>
          <w:tcPr>
            <w:tcW w:w="1559" w:type="dxa"/>
          </w:tcPr>
          <w:p w14:paraId="70024C94"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0</w:t>
            </w:r>
          </w:p>
        </w:tc>
        <w:tc>
          <w:tcPr>
            <w:tcW w:w="1701" w:type="dxa"/>
          </w:tcPr>
          <w:p w14:paraId="2340AD6C"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0</w:t>
            </w:r>
          </w:p>
        </w:tc>
        <w:tc>
          <w:tcPr>
            <w:tcW w:w="1701" w:type="dxa"/>
          </w:tcPr>
          <w:p w14:paraId="0349D231"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1</w:t>
            </w:r>
          </w:p>
        </w:tc>
        <w:tc>
          <w:tcPr>
            <w:tcW w:w="1645" w:type="dxa"/>
          </w:tcPr>
          <w:p w14:paraId="42115FFE"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1</w:t>
            </w:r>
          </w:p>
        </w:tc>
      </w:tr>
      <w:tr w:rsidR="00F52DFB" w:rsidRPr="004F4EC5" w14:paraId="6190E982" w14:textId="77777777" w:rsidTr="00775797">
        <w:trPr>
          <w:trHeight w:val="454"/>
        </w:trPr>
        <w:tc>
          <w:tcPr>
            <w:tcW w:w="2410" w:type="dxa"/>
          </w:tcPr>
          <w:p w14:paraId="1DB429FD"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color w:val="000000"/>
                <w:sz w:val="24"/>
                <w:szCs w:val="24"/>
              </w:rPr>
              <w:t>3</w:t>
            </w:r>
          </w:p>
        </w:tc>
        <w:tc>
          <w:tcPr>
            <w:tcW w:w="1559" w:type="dxa"/>
          </w:tcPr>
          <w:p w14:paraId="23BBA348"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0.02</w:t>
            </w:r>
          </w:p>
        </w:tc>
        <w:tc>
          <w:tcPr>
            <w:tcW w:w="1701" w:type="dxa"/>
          </w:tcPr>
          <w:p w14:paraId="7073C8DC"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0.98</w:t>
            </w:r>
          </w:p>
        </w:tc>
        <w:tc>
          <w:tcPr>
            <w:tcW w:w="1701" w:type="dxa"/>
          </w:tcPr>
          <w:p w14:paraId="24ED999B"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1</w:t>
            </w:r>
          </w:p>
        </w:tc>
        <w:tc>
          <w:tcPr>
            <w:tcW w:w="1645" w:type="dxa"/>
          </w:tcPr>
          <w:p w14:paraId="4A2AA88C"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1</w:t>
            </w:r>
          </w:p>
        </w:tc>
      </w:tr>
      <w:tr w:rsidR="00F52DFB" w:rsidRPr="004F4EC5" w14:paraId="6A256023" w14:textId="77777777" w:rsidTr="00775797">
        <w:trPr>
          <w:trHeight w:val="454"/>
        </w:trPr>
        <w:tc>
          <w:tcPr>
            <w:tcW w:w="2410" w:type="dxa"/>
            <w:tcBorders>
              <w:bottom w:val="single" w:sz="4" w:space="0" w:color="000000"/>
            </w:tcBorders>
          </w:tcPr>
          <w:p w14:paraId="0F5B1A96"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color w:val="000000"/>
                <w:sz w:val="24"/>
                <w:szCs w:val="24"/>
              </w:rPr>
              <w:t>4</w:t>
            </w:r>
          </w:p>
        </w:tc>
        <w:tc>
          <w:tcPr>
            <w:tcW w:w="1559" w:type="dxa"/>
            <w:tcBorders>
              <w:bottom w:val="single" w:sz="4" w:space="0" w:color="000000"/>
            </w:tcBorders>
          </w:tcPr>
          <w:p w14:paraId="3517B7B9"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1</w:t>
            </w:r>
          </w:p>
        </w:tc>
        <w:tc>
          <w:tcPr>
            <w:tcW w:w="1701" w:type="dxa"/>
            <w:tcBorders>
              <w:bottom w:val="single" w:sz="4" w:space="0" w:color="000000"/>
            </w:tcBorders>
          </w:tcPr>
          <w:p w14:paraId="69EFF5C4"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1</w:t>
            </w:r>
          </w:p>
        </w:tc>
        <w:tc>
          <w:tcPr>
            <w:tcW w:w="1701" w:type="dxa"/>
            <w:tcBorders>
              <w:bottom w:val="single" w:sz="4" w:space="0" w:color="000000"/>
            </w:tcBorders>
          </w:tcPr>
          <w:p w14:paraId="35B45DEF"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1</w:t>
            </w:r>
          </w:p>
        </w:tc>
        <w:tc>
          <w:tcPr>
            <w:tcW w:w="1645" w:type="dxa"/>
            <w:tcBorders>
              <w:bottom w:val="single" w:sz="4" w:space="0" w:color="000000"/>
            </w:tcBorders>
          </w:tcPr>
          <w:p w14:paraId="63846BB8" w14:textId="77777777" w:rsidR="00F52DFB" w:rsidRPr="00FD7638" w:rsidRDefault="00F52DFB" w:rsidP="00775797">
            <w:pPr>
              <w:spacing w:line="480" w:lineRule="auto"/>
              <w:rPr>
                <w:rFonts w:ascii="Times New Roman" w:eastAsia="Times New Roman" w:hAnsi="Times New Roman" w:cs="Times New Roman"/>
                <w:sz w:val="24"/>
                <w:szCs w:val="24"/>
              </w:rPr>
            </w:pPr>
            <w:r w:rsidRPr="00FD7638">
              <w:rPr>
                <w:rFonts w:ascii="Times New Roman" w:eastAsia="Times New Roman" w:hAnsi="Times New Roman" w:cs="Times New Roman"/>
                <w:sz w:val="24"/>
                <w:szCs w:val="24"/>
              </w:rPr>
              <w:t>1</w:t>
            </w:r>
          </w:p>
        </w:tc>
      </w:tr>
    </w:tbl>
    <w:p w14:paraId="6FC35260" w14:textId="25A6F560" w:rsidR="00F52DFB" w:rsidRDefault="00F52DFB" w:rsidP="00F52DFB">
      <w:pPr>
        <w:spacing w:line="240" w:lineRule="auto"/>
        <w:rPr>
          <w:rFonts w:ascii="Times New Roman" w:eastAsia="Times New Roman" w:hAnsi="Times New Roman" w:cs="Times New Roman"/>
          <w:sz w:val="24"/>
          <w:szCs w:val="24"/>
        </w:rPr>
      </w:pPr>
    </w:p>
    <w:sectPr w:rsidR="00F52DFB">
      <w:foot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BB4EF" w14:textId="77777777" w:rsidR="007142D3" w:rsidRDefault="007142D3" w:rsidP="00CD005B">
      <w:pPr>
        <w:spacing w:after="0" w:line="240" w:lineRule="auto"/>
      </w:pPr>
      <w:r>
        <w:separator/>
      </w:r>
    </w:p>
  </w:endnote>
  <w:endnote w:type="continuationSeparator" w:id="0">
    <w:p w14:paraId="1E87458E" w14:textId="77777777" w:rsidR="007142D3" w:rsidRDefault="007142D3" w:rsidP="00CD0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1559642"/>
      <w:docPartObj>
        <w:docPartGallery w:val="Page Numbers (Bottom of Page)"/>
        <w:docPartUnique/>
      </w:docPartObj>
    </w:sdtPr>
    <w:sdtEndPr>
      <w:rPr>
        <w:noProof/>
      </w:rPr>
    </w:sdtEndPr>
    <w:sdtContent>
      <w:p w14:paraId="0DF60D03" w14:textId="3539799F" w:rsidR="00CD005B" w:rsidRDefault="00CD00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DA4C80" w14:textId="77777777" w:rsidR="00CD005B" w:rsidRDefault="00CD0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FC03E" w14:textId="77777777" w:rsidR="007142D3" w:rsidRDefault="007142D3" w:rsidP="00CD005B">
      <w:pPr>
        <w:spacing w:after="0" w:line="240" w:lineRule="auto"/>
      </w:pPr>
      <w:r>
        <w:separator/>
      </w:r>
    </w:p>
  </w:footnote>
  <w:footnote w:type="continuationSeparator" w:id="0">
    <w:p w14:paraId="1C094285" w14:textId="77777777" w:rsidR="007142D3" w:rsidRDefault="007142D3" w:rsidP="00CD00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AE"/>
    <w:rsid w:val="00024498"/>
    <w:rsid w:val="0006321A"/>
    <w:rsid w:val="000E6839"/>
    <w:rsid w:val="00113B65"/>
    <w:rsid w:val="00214F70"/>
    <w:rsid w:val="002224BB"/>
    <w:rsid w:val="002C6F43"/>
    <w:rsid w:val="002E51E9"/>
    <w:rsid w:val="003B66C4"/>
    <w:rsid w:val="00451F0E"/>
    <w:rsid w:val="004F3338"/>
    <w:rsid w:val="005B749E"/>
    <w:rsid w:val="006214FA"/>
    <w:rsid w:val="00633752"/>
    <w:rsid w:val="00644D57"/>
    <w:rsid w:val="006D1BE1"/>
    <w:rsid w:val="007142D3"/>
    <w:rsid w:val="00760D82"/>
    <w:rsid w:val="00813CEC"/>
    <w:rsid w:val="00A62BE6"/>
    <w:rsid w:val="00A77BAE"/>
    <w:rsid w:val="00A80228"/>
    <w:rsid w:val="00AD3749"/>
    <w:rsid w:val="00BA12D6"/>
    <w:rsid w:val="00BC0827"/>
    <w:rsid w:val="00C41DB7"/>
    <w:rsid w:val="00C432BE"/>
    <w:rsid w:val="00CD005B"/>
    <w:rsid w:val="00D146DA"/>
    <w:rsid w:val="00D71C9A"/>
    <w:rsid w:val="00E5600F"/>
    <w:rsid w:val="00EF5CC2"/>
    <w:rsid w:val="00F07914"/>
    <w:rsid w:val="00F52DFB"/>
    <w:rsid w:val="00F548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DC78A"/>
  <w15:docId w15:val="{446B8074-E6D1-42F2-8258-DAAEBDD9A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F52DFB"/>
    <w:pPr>
      <w:spacing w:after="0" w:line="240" w:lineRule="auto"/>
    </w:pPr>
  </w:style>
  <w:style w:type="paragraph" w:styleId="Header">
    <w:name w:val="header"/>
    <w:basedOn w:val="Normal"/>
    <w:link w:val="HeaderChar"/>
    <w:uiPriority w:val="99"/>
    <w:unhideWhenUsed/>
    <w:rsid w:val="00CD00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05B"/>
  </w:style>
  <w:style w:type="paragraph" w:styleId="Footer">
    <w:name w:val="footer"/>
    <w:basedOn w:val="Normal"/>
    <w:link w:val="FooterChar"/>
    <w:uiPriority w:val="99"/>
    <w:unhideWhenUsed/>
    <w:rsid w:val="00CD00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4469">
      <w:bodyDiv w:val="1"/>
      <w:marLeft w:val="0"/>
      <w:marRight w:val="0"/>
      <w:marTop w:val="0"/>
      <w:marBottom w:val="0"/>
      <w:divBdr>
        <w:top w:val="none" w:sz="0" w:space="0" w:color="auto"/>
        <w:left w:val="none" w:sz="0" w:space="0" w:color="auto"/>
        <w:bottom w:val="none" w:sz="0" w:space="0" w:color="auto"/>
        <w:right w:val="none" w:sz="0" w:space="0" w:color="auto"/>
      </w:divBdr>
    </w:div>
    <w:div w:id="457843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sv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sv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8</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Brenton Von Takach</cp:lastModifiedBy>
  <cp:revision>27</cp:revision>
  <dcterms:created xsi:type="dcterms:W3CDTF">2022-05-31T02:38:00Z</dcterms:created>
  <dcterms:modified xsi:type="dcterms:W3CDTF">2022-12-09T07:52:00Z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zotero-version="6.0.16"&gt;&lt;session id="2qT2cdjR"/&gt;&lt;style id="http://www.zotero.org/styles/journal-of-ecology" hasBibliography="1" bibliographyStyleHasBeenSet="0"/&gt;&lt;prefs&gt;&lt;pref name="fieldType" value="Field"/&gt;&lt;/prefs&gt;&lt;/data&gt;</vt:lpwstr>
  </property>
</Properties>
</file>