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20AD" w:rsidRDefault="00883626">
      <w:pPr>
        <w:widowControl/>
        <w:spacing w:line="480" w:lineRule="auto"/>
        <w:rPr>
          <w:rFonts w:ascii="Times New Roman" w:hAnsi="Times New Roman"/>
        </w:rPr>
      </w:pPr>
      <w:bookmarkStart w:id="0" w:name="_GoBack"/>
      <w:bookmarkEnd w:id="0"/>
      <w:r>
        <w:rPr>
          <w:rFonts w:ascii="Times New Roman" w:eastAsia="TimesNewRomanPS-BoldMT" w:hAnsi="Times New Roman" w:cs="TimesNewRomanPS-BoldMT"/>
          <w:b/>
          <w:bCs/>
          <w:color w:val="000000"/>
          <w:sz w:val="28"/>
          <w:szCs w:val="28"/>
        </w:rPr>
        <w:t>Supplementary material: A decision-making framework to maximise the evolutionary potential of populations - Genetic and genomic insights from the common midwife toad (</w:t>
      </w:r>
      <w:r>
        <w:rPr>
          <w:rFonts w:ascii="Times New Roman" w:eastAsia="TimesNewRomanPS-BoldItalicMT" w:hAnsi="Times New Roman" w:cs="TimesNewRomanPS-BoldItalicMT"/>
          <w:b/>
          <w:bCs/>
          <w:i/>
          <w:iCs/>
          <w:color w:val="000000"/>
          <w:sz w:val="28"/>
          <w:szCs w:val="28"/>
        </w:rPr>
        <w:t>Alytes obstetricans</w:t>
      </w:r>
      <w:r>
        <w:rPr>
          <w:rFonts w:ascii="Times New Roman" w:eastAsia="TimesNewRomanPS-BoldMT" w:hAnsi="Times New Roman" w:cs="TimesNewRomanPS-BoldMT"/>
          <w:b/>
          <w:bCs/>
          <w:color w:val="000000"/>
          <w:sz w:val="28"/>
          <w:szCs w:val="28"/>
        </w:rPr>
        <w:t>) at its range limits</w:t>
      </w:r>
    </w:p>
    <w:p w:rsidR="00F520AD" w:rsidRDefault="00F520AD">
      <w:pPr>
        <w:widowControl/>
        <w:spacing w:line="480" w:lineRule="auto"/>
        <w:rPr>
          <w:rFonts w:eastAsia="TimesNewRomanPSMT" w:cs="TimesNewRomanPSMT" w:hint="eastAsia"/>
          <w:color w:val="000000"/>
        </w:rPr>
      </w:pPr>
    </w:p>
    <w:p w:rsidR="00261277" w:rsidRDefault="00261277" w:rsidP="00261277">
      <w:pPr>
        <w:pStyle w:val="normal1"/>
        <w:spacing w:line="480" w:lineRule="auto"/>
      </w:pPr>
      <w:r>
        <w:rPr>
          <w:rFonts w:ascii="Times New Roman" w:eastAsia="Times New Roman" w:hAnsi="Times New Roman" w:cs="Times New Roman"/>
          <w:sz w:val="24"/>
          <w:szCs w:val="24"/>
        </w:rPr>
        <w:t>Christopher D. Barratt</w:t>
      </w:r>
      <w:r>
        <w:rPr>
          <w:rFonts w:ascii="Times New Roman" w:eastAsia="Times New Roman" w:hAnsi="Times New Roman" w:cs="Times New Roman"/>
          <w:sz w:val="24"/>
          <w:szCs w:val="24"/>
          <w:vertAlign w:val="superscript"/>
        </w:rPr>
        <w:t>1,2,3</w:t>
      </w:r>
      <w:r>
        <w:rPr>
          <w:rFonts w:ascii="Times New Roman" w:eastAsia="Times New Roman" w:hAnsi="Times New Roman" w:cs="Times New Roman"/>
          <w:sz w:val="24"/>
          <w:szCs w:val="24"/>
        </w:rPr>
        <w:t>, Kathleen Preißler</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Pauline R. Jennert</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Falk Eckhardt</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Mirjam Nadjafzadeh</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Sebastian Steinfartz</w:t>
      </w:r>
      <w:r>
        <w:rPr>
          <w:rFonts w:ascii="Times New Roman" w:eastAsia="Times New Roman" w:hAnsi="Times New Roman" w:cs="Times New Roman"/>
          <w:sz w:val="24"/>
          <w:szCs w:val="24"/>
          <w:vertAlign w:val="superscript"/>
        </w:rPr>
        <w:t>4</w:t>
      </w:r>
    </w:p>
    <w:p w:rsidR="00261277" w:rsidRDefault="00261277" w:rsidP="00261277">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61277" w:rsidRDefault="00261277" w:rsidP="00261277">
      <w:pPr>
        <w:pStyle w:val="normal1"/>
        <w:spacing w:line="480" w:lineRule="auto"/>
      </w:pPr>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German Centre for Integrative Biodiversity Research (iDiv) Halle-Jena-Leipzig, Puschstrasse 4, 04103 Leipzig, Germany</w:t>
      </w:r>
    </w:p>
    <w:p w:rsidR="00261277" w:rsidRDefault="00261277" w:rsidP="00261277">
      <w:pPr>
        <w:pStyle w:val="normal1"/>
        <w:spacing w:line="480" w:lineRule="auto"/>
      </w:pP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University of Leipzig, Ritterstrasse 26, 04109, Leipzig, Germany</w:t>
      </w:r>
    </w:p>
    <w:p w:rsidR="00261277" w:rsidRDefault="00261277" w:rsidP="00261277">
      <w:pPr>
        <w:pStyle w:val="normal1"/>
        <w:spacing w:line="480" w:lineRule="auto"/>
      </w:pPr>
      <w:r>
        <w:rPr>
          <w:rFonts w:ascii="Times New Roman" w:eastAsia="Times New Roman" w:hAnsi="Times New Roman" w:cs="Times New Roman"/>
          <w:sz w:val="24"/>
          <w:szCs w:val="24"/>
          <w:vertAlign w:val="superscript"/>
        </w:rPr>
        <w:t xml:space="preserve">3 </w:t>
      </w:r>
      <w:r>
        <w:rPr>
          <w:rFonts w:ascii="Times New Roman" w:eastAsia="Times New Roman" w:hAnsi="Times New Roman" w:cs="Times New Roman"/>
          <w:sz w:val="24"/>
          <w:szCs w:val="24"/>
        </w:rPr>
        <w:t>Naturalis Biodiversity Center, Darwinweg 2, 2333 CR Leiden, the Netherlands</w:t>
      </w:r>
    </w:p>
    <w:p w:rsidR="00261277" w:rsidRDefault="00261277" w:rsidP="00261277">
      <w:pPr>
        <w:pStyle w:val="normal1"/>
        <w:spacing w:line="480" w:lineRule="auto"/>
      </w:pPr>
      <w:r>
        <w:rPr>
          <w:rFonts w:ascii="Times New Roman" w:eastAsia="Times New Roman" w:hAnsi="Times New Roman" w:cs="Times New Roman"/>
          <w:sz w:val="24"/>
          <w:szCs w:val="24"/>
          <w:vertAlign w:val="superscript"/>
        </w:rPr>
        <w:t xml:space="preserve">4 </w:t>
      </w:r>
      <w:r>
        <w:rPr>
          <w:rFonts w:ascii="Times New Roman" w:eastAsia="Times New Roman" w:hAnsi="Times New Roman" w:cs="Times New Roman"/>
          <w:sz w:val="24"/>
          <w:szCs w:val="24"/>
        </w:rPr>
        <w:t>University of Leipzig, Institute of Biology, Molecular Evolution and Systematics of Animals, Talstrasse 33, 04103 Leipzig, Germany</w:t>
      </w:r>
    </w:p>
    <w:p w:rsidR="00261277" w:rsidRDefault="00261277" w:rsidP="00261277">
      <w:pPr>
        <w:pStyle w:val="normal1"/>
        <w:spacing w:line="480" w:lineRule="auto"/>
      </w:pPr>
      <w:r>
        <w:rPr>
          <w:rFonts w:ascii="Times New Roman" w:eastAsia="Times New Roman" w:hAnsi="Times New Roman" w:cs="Times New Roman"/>
          <w:sz w:val="24"/>
          <w:szCs w:val="24"/>
          <w:vertAlign w:val="superscript"/>
        </w:rPr>
        <w:t xml:space="preserve">5 </w:t>
      </w:r>
      <w:r>
        <w:rPr>
          <w:rFonts w:ascii="Times New Roman" w:eastAsia="Times New Roman" w:hAnsi="Times New Roman" w:cs="Times New Roman"/>
          <w:sz w:val="24"/>
          <w:szCs w:val="24"/>
        </w:rPr>
        <w:t>NABU (Nature and Biodiversity Conservation Union) Lower Saxony, Alleestrasse 36, 30167 Hannover, Germany</w:t>
      </w:r>
    </w:p>
    <w:p w:rsidR="00F520AD" w:rsidRDefault="00F520AD">
      <w:pPr>
        <w:widowControl/>
        <w:spacing w:line="480" w:lineRule="auto"/>
        <w:rPr>
          <w:rFonts w:eastAsia="TimesNewRomanPSMT" w:cs="TimesNewRomanPSMT" w:hint="eastAsia"/>
          <w:color w:val="000000"/>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BoldMT" w:hAnsi="Times New Roman" w:cs="TimesNewRomanPS-BoldMT"/>
          <w:b/>
          <w:bCs/>
          <w:color w:val="000000"/>
        </w:rPr>
      </w:pPr>
      <w:r>
        <w:rPr>
          <w:rFonts w:ascii="Times New Roman" w:eastAsia="TimesNewRomanPS-BoldMT" w:hAnsi="Times New Roman" w:cs="TimesNewRomanPS-BoldMT"/>
          <w:b/>
          <w:bCs/>
          <w:color w:val="000000"/>
        </w:rPr>
        <w:t>Supplementary Material</w:t>
      </w:r>
    </w:p>
    <w:p w:rsidR="00F520AD" w:rsidRDefault="00883626">
      <w:pPr>
        <w:widowControl/>
        <w:spacing w:line="480" w:lineRule="auto"/>
        <w:rPr>
          <w:rFonts w:ascii="Times New Roman" w:eastAsia="TimesNewRomanPS-BoldMT" w:hAnsi="Times New Roman" w:cs="TimesNewRomanPS-BoldMT"/>
          <w:b/>
          <w:bCs/>
          <w:color w:val="000000"/>
        </w:rPr>
      </w:pPr>
      <w:r>
        <w:rPr>
          <w:rFonts w:ascii="Times New Roman" w:eastAsia="TimesNewRomanPS-BoldMT" w:hAnsi="Times New Roman" w:cs="TimesNewRomanPS-BoldMT"/>
          <w:b/>
          <w:bCs/>
          <w:color w:val="000000"/>
        </w:rPr>
        <w:t>Text S1.</w:t>
      </w: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ItalicMT" w:hAnsi="Times New Roman" w:cs="TimesNewRomanPS-ItalicMT"/>
          <w:i/>
          <w:iCs/>
          <w:color w:val="000000"/>
        </w:rPr>
      </w:pPr>
      <w:r>
        <w:rPr>
          <w:rFonts w:ascii="Times New Roman" w:eastAsia="TimesNewRomanPS-ItalicMT" w:hAnsi="Times New Roman" w:cs="TimesNewRomanPS-ItalicMT"/>
          <w:i/>
          <w:iCs/>
          <w:color w:val="000000"/>
        </w:rPr>
        <w:t xml:space="preserve">Chloroform-Isoamyl alcohol DNA isolation protocol </w:t>
      </w:r>
    </w:p>
    <w:p w:rsidR="00F520AD" w:rsidRDefault="00883626">
      <w:pPr>
        <w:widowControl/>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 xml:space="preserve">To extract high quality DNA from our samples, we modified the protocol from Gilbert </w:t>
      </w:r>
      <w:r>
        <w:rPr>
          <w:rFonts w:ascii="Times New Roman" w:eastAsia="TimesNewRomanPSMT" w:hAnsi="Times New Roman" w:cs="TimesNewRomanPSMT"/>
          <w:color w:val="000000"/>
        </w:rPr>
        <w:t>et al. (2007) as below:</w:t>
      </w: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MT" w:hAnsi="Times New Roman" w:cs="TimesNewRomanPSMT"/>
          <w:color w:val="000000"/>
          <w:u w:val="single"/>
        </w:rPr>
      </w:pPr>
      <w:r>
        <w:rPr>
          <w:rFonts w:ascii="Times New Roman" w:eastAsia="TimesNewRomanPSMT" w:hAnsi="Times New Roman" w:cs="TimesNewRomanPSMT"/>
          <w:color w:val="000000"/>
          <w:u w:val="single"/>
        </w:rPr>
        <w:t>C digestion buffer</w:t>
      </w:r>
    </w:p>
    <w:p w:rsidR="00F520AD" w:rsidRDefault="00883626">
      <w:pPr>
        <w:widowControl/>
        <w:numPr>
          <w:ilvl w:val="0"/>
          <w:numId w:val="1"/>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 xml:space="preserve">3 mM CaCl2                                                                                                                                        </w:t>
      </w:r>
    </w:p>
    <w:p w:rsidR="00F520AD" w:rsidRDefault="00883626">
      <w:pPr>
        <w:widowControl/>
        <w:numPr>
          <w:ilvl w:val="0"/>
          <w:numId w:val="1"/>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100 mM Tris  (ph 8)</w:t>
      </w:r>
    </w:p>
    <w:p w:rsidR="00F520AD" w:rsidRDefault="00883626">
      <w:pPr>
        <w:widowControl/>
        <w:numPr>
          <w:ilvl w:val="0"/>
          <w:numId w:val="1"/>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100 mM NaCl</w:t>
      </w:r>
    </w:p>
    <w:p w:rsidR="00F520AD" w:rsidRDefault="00883626">
      <w:pPr>
        <w:widowControl/>
        <w:numPr>
          <w:ilvl w:val="0"/>
          <w:numId w:val="1"/>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2 % SDS (Sodium dodecyl sulphate)</w:t>
      </w:r>
    </w:p>
    <w:p w:rsidR="00F520AD" w:rsidRDefault="00883626">
      <w:pPr>
        <w:widowControl/>
        <w:numPr>
          <w:ilvl w:val="0"/>
          <w:numId w:val="1"/>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40 mM DTT (Dithiotreitol)</w:t>
      </w: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MT" w:hAnsi="Times New Roman" w:cs="TimesNewRomanPSMT"/>
          <w:color w:val="000000"/>
          <w:u w:val="single"/>
        </w:rPr>
      </w:pPr>
      <w:r>
        <w:rPr>
          <w:rFonts w:ascii="Times New Roman" w:eastAsia="TimesNewRomanPSMT" w:hAnsi="Times New Roman" w:cs="TimesNewRomanPSMT"/>
          <w:color w:val="000000"/>
          <w:u w:val="single"/>
        </w:rPr>
        <w:t>Protocol</w:t>
      </w:r>
    </w:p>
    <w:p w:rsidR="00F520AD" w:rsidRDefault="00883626">
      <w:pPr>
        <w:widowControl/>
        <w:spacing w:line="480" w:lineRule="auto"/>
        <w:rPr>
          <w:rFonts w:ascii="Times New Roman" w:hAnsi="Times New Roman"/>
        </w:rPr>
      </w:pPr>
      <w:r>
        <w:rPr>
          <w:rFonts w:ascii="Times New Roman" w:eastAsia="TimesNewRomanPSMT" w:hAnsi="Times New Roman" w:cs="TimesNewRomanPSMT"/>
          <w:color w:val="000000"/>
        </w:rPr>
        <w:t>Preheat C digestion buffer to 55 °C.</w:t>
      </w:r>
    </w:p>
    <w:p w:rsidR="00F520AD" w:rsidRDefault="00883626">
      <w:pPr>
        <w:widowControl/>
        <w:numPr>
          <w:ilvl w:val="0"/>
          <w:numId w:val="2"/>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Crush sample if necessary</w:t>
      </w:r>
    </w:p>
    <w:p w:rsidR="00F520AD" w:rsidRDefault="00883626">
      <w:pPr>
        <w:widowControl/>
        <w:numPr>
          <w:ilvl w:val="0"/>
          <w:numId w:val="2"/>
        </w:numPr>
        <w:tabs>
          <w:tab w:val="left" w:pos="630"/>
        </w:tabs>
        <w:spacing w:line="480" w:lineRule="auto"/>
        <w:rPr>
          <w:rFonts w:ascii="Times New Roman" w:hAnsi="Times New Roman"/>
        </w:rPr>
      </w:pPr>
      <w:r>
        <w:rPr>
          <w:rFonts w:ascii="Times New Roman" w:eastAsia="TimesNewRomanPSMT" w:hAnsi="Times New Roman" w:cs="TimesNewRomanPSMT"/>
          <w:color w:val="000000"/>
        </w:rPr>
        <w:t>Add 500 µl C digestion buffer and 100 µl proteinase K. Vortex.</w:t>
      </w:r>
    </w:p>
    <w:p w:rsidR="00F520AD" w:rsidRDefault="00883626">
      <w:pPr>
        <w:widowControl/>
        <w:numPr>
          <w:ilvl w:val="0"/>
          <w:numId w:val="2"/>
        </w:numPr>
        <w:tabs>
          <w:tab w:val="left" w:pos="630"/>
        </w:tabs>
        <w:spacing w:line="480" w:lineRule="auto"/>
        <w:rPr>
          <w:rFonts w:ascii="Times New Roman" w:hAnsi="Times New Roman"/>
        </w:rPr>
      </w:pPr>
      <w:r>
        <w:rPr>
          <w:rFonts w:ascii="Times New Roman" w:eastAsia="TimesNewRomanPSMT" w:hAnsi="Times New Roman" w:cs="TimesNewRomanPSMT"/>
          <w:color w:val="000000"/>
        </w:rPr>
        <w:t>Incubate overnight at 55 °C on a shaking platform.</w:t>
      </w:r>
    </w:p>
    <w:p w:rsidR="00F520AD" w:rsidRDefault="00883626">
      <w:pPr>
        <w:widowControl/>
        <w:spacing w:line="480" w:lineRule="auto"/>
        <w:rPr>
          <w:rFonts w:ascii="Times New Roman" w:hAnsi="Times New Roman"/>
        </w:rPr>
      </w:pPr>
      <w:r>
        <w:rPr>
          <w:rFonts w:ascii="Times New Roman" w:eastAsia="TimesNewRomanPSMT" w:hAnsi="Times New Roman" w:cs="TimesNewRomanPSMT"/>
          <w:color w:val="000000"/>
        </w:rPr>
        <w:t>Cool down Centrifuge to 4 °C.</w:t>
      </w:r>
    </w:p>
    <w:p w:rsidR="00F520AD" w:rsidRDefault="00883626">
      <w:pPr>
        <w:widowControl/>
        <w:numPr>
          <w:ilvl w:val="0"/>
          <w:numId w:val="3"/>
        </w:numPr>
        <w:tabs>
          <w:tab w:val="left" w:pos="630"/>
        </w:tabs>
        <w:spacing w:line="480" w:lineRule="auto"/>
        <w:rPr>
          <w:rFonts w:ascii="Times New Roman" w:hAnsi="Times New Roman"/>
        </w:rPr>
      </w:pPr>
      <w:r>
        <w:rPr>
          <w:rFonts w:ascii="Times New Roman" w:eastAsia="TimesNewRomanPSMT" w:hAnsi="Times New Roman" w:cs="TimesNewRomanPSMT"/>
          <w:color w:val="000000"/>
        </w:rPr>
        <w:t>Add 10 µl RN</w:t>
      </w:r>
      <w:r>
        <w:rPr>
          <w:rFonts w:ascii="Times New Roman" w:eastAsia="TimesNewRomanPSMT" w:hAnsi="Times New Roman" w:cs="TimesNewRomanPSMT"/>
          <w:color w:val="000000"/>
        </w:rPr>
        <w:t>ase A (10 mg/ml). Vortex.</w:t>
      </w:r>
    </w:p>
    <w:p w:rsidR="00F520AD" w:rsidRDefault="00883626">
      <w:pPr>
        <w:widowControl/>
        <w:numPr>
          <w:ilvl w:val="0"/>
          <w:numId w:val="3"/>
        </w:numPr>
        <w:tabs>
          <w:tab w:val="left" w:pos="630"/>
        </w:tabs>
        <w:spacing w:line="480" w:lineRule="auto"/>
        <w:rPr>
          <w:rFonts w:ascii="Times New Roman" w:hAnsi="Times New Roman"/>
        </w:rPr>
      </w:pPr>
      <w:r>
        <w:rPr>
          <w:rFonts w:ascii="Times New Roman" w:eastAsia="TimesNewRomanPSMT" w:hAnsi="Times New Roman" w:cs="TimesNewRomanPSMT"/>
          <w:color w:val="000000"/>
        </w:rPr>
        <w:t>Incubate at 37 °C for 30 min.</w:t>
      </w:r>
    </w:p>
    <w:p w:rsidR="00F520AD" w:rsidRDefault="00883626">
      <w:pPr>
        <w:widowControl/>
        <w:numPr>
          <w:ilvl w:val="0"/>
          <w:numId w:val="3"/>
        </w:numPr>
        <w:tabs>
          <w:tab w:val="left" w:pos="630"/>
        </w:tabs>
        <w:spacing w:line="480" w:lineRule="auto"/>
        <w:rPr>
          <w:rFonts w:ascii="Times New Roman" w:hAnsi="Times New Roman"/>
        </w:rPr>
      </w:pPr>
      <w:r>
        <w:rPr>
          <w:rFonts w:ascii="Times New Roman" w:eastAsia="TimesNewRomanPSMT" w:hAnsi="Times New Roman" w:cs="TimesNewRomanPSMT"/>
          <w:color w:val="000000"/>
        </w:rPr>
        <w:t>Add 1 Volume (550 µl) chloroform- isoamyl alcohol (24:1)</w:t>
      </w:r>
    </w:p>
    <w:p w:rsidR="00F520AD" w:rsidRDefault="00883626">
      <w:pPr>
        <w:widowControl/>
        <w:numPr>
          <w:ilvl w:val="0"/>
          <w:numId w:val="3"/>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Vortex 10-20 sec.</w:t>
      </w:r>
    </w:p>
    <w:p w:rsidR="00F520AD" w:rsidRDefault="00883626">
      <w:pPr>
        <w:widowControl/>
        <w:numPr>
          <w:ilvl w:val="0"/>
          <w:numId w:val="3"/>
        </w:numPr>
        <w:tabs>
          <w:tab w:val="left" w:pos="630"/>
        </w:tabs>
        <w:spacing w:line="480" w:lineRule="auto"/>
        <w:rPr>
          <w:rFonts w:ascii="Times New Roman" w:hAnsi="Times New Roman"/>
        </w:rPr>
      </w:pPr>
      <w:r>
        <w:rPr>
          <w:rFonts w:ascii="Times New Roman" w:eastAsia="TimesNewRomanPSMT" w:hAnsi="Times New Roman" w:cs="TimesNewRomanPSMT"/>
          <w:color w:val="000000"/>
        </w:rPr>
        <w:lastRenderedPageBreak/>
        <w:t>Centrifuge at 14.000 rcf for 3 min at 4  °C.</w:t>
      </w:r>
    </w:p>
    <w:p w:rsidR="00F520AD" w:rsidRDefault="00883626">
      <w:pPr>
        <w:widowControl/>
        <w:numPr>
          <w:ilvl w:val="0"/>
          <w:numId w:val="3"/>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Carefully pick up upper phase with pipette and transfer in new tube.</w:t>
      </w:r>
    </w:p>
    <w:p w:rsidR="00F520AD" w:rsidRDefault="00883626">
      <w:pPr>
        <w:widowControl/>
        <w:numPr>
          <w:ilvl w:val="0"/>
          <w:numId w:val="3"/>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Repeat step</w:t>
      </w:r>
      <w:r>
        <w:rPr>
          <w:rFonts w:ascii="Times New Roman" w:eastAsia="TimesNewRomanPSMT" w:hAnsi="Times New Roman" w:cs="TimesNewRomanPSMT"/>
          <w:color w:val="000000"/>
        </w:rPr>
        <w:t xml:space="preserve"> 2.</w:t>
      </w:r>
    </w:p>
    <w:p w:rsidR="00F520AD" w:rsidRDefault="00883626">
      <w:pPr>
        <w:widowControl/>
        <w:numPr>
          <w:ilvl w:val="0"/>
          <w:numId w:val="3"/>
        </w:numPr>
        <w:tabs>
          <w:tab w:val="left" w:pos="630"/>
        </w:tabs>
        <w:spacing w:line="480" w:lineRule="auto"/>
        <w:rPr>
          <w:rFonts w:ascii="Times New Roman" w:hAnsi="Times New Roman"/>
        </w:rPr>
      </w:pPr>
      <w:r>
        <w:rPr>
          <w:rFonts w:ascii="Times New Roman" w:eastAsia="TimesNewRomanPSMT" w:hAnsi="Times New Roman" w:cs="TimesNewRomanPSMT"/>
          <w:color w:val="000000"/>
        </w:rPr>
        <w:t>Add 1/5 Volume (100 µl) 4M LiCl. Vortex.</w:t>
      </w:r>
    </w:p>
    <w:p w:rsidR="00F520AD" w:rsidRDefault="00883626">
      <w:pPr>
        <w:widowControl/>
        <w:numPr>
          <w:ilvl w:val="0"/>
          <w:numId w:val="3"/>
        </w:numPr>
        <w:tabs>
          <w:tab w:val="left" w:pos="630"/>
        </w:tabs>
        <w:spacing w:line="480" w:lineRule="auto"/>
        <w:rPr>
          <w:rFonts w:ascii="Times New Roman" w:hAnsi="Times New Roman"/>
        </w:rPr>
      </w:pPr>
      <w:r>
        <w:rPr>
          <w:rFonts w:ascii="Times New Roman" w:eastAsia="TimesNewRomanPSMT" w:hAnsi="Times New Roman" w:cs="TimesNewRomanPSMT"/>
          <w:color w:val="000000"/>
        </w:rPr>
        <w:t>Add 2/3 Volume (400 µl) isopropanol</w:t>
      </w:r>
    </w:p>
    <w:p w:rsidR="00F520AD" w:rsidRDefault="00883626">
      <w:pPr>
        <w:widowControl/>
        <w:numPr>
          <w:ilvl w:val="0"/>
          <w:numId w:val="3"/>
        </w:numPr>
        <w:tabs>
          <w:tab w:val="left" w:pos="630"/>
        </w:tabs>
        <w:spacing w:line="480" w:lineRule="auto"/>
        <w:rPr>
          <w:rFonts w:ascii="Times New Roman" w:hAnsi="Times New Roman"/>
        </w:rPr>
      </w:pPr>
      <w:r>
        <w:rPr>
          <w:rFonts w:ascii="Times New Roman" w:eastAsia="TimesNewRomanPSMT" w:hAnsi="Times New Roman" w:cs="TimesNewRomanPSMT"/>
          <w:color w:val="000000"/>
        </w:rPr>
        <w:t>Store at -20 °C for at least 30 min (preferably overnight).</w:t>
      </w:r>
    </w:p>
    <w:p w:rsidR="00F520AD" w:rsidRDefault="00883626">
      <w:pPr>
        <w:widowControl/>
        <w:spacing w:line="480" w:lineRule="auto"/>
        <w:rPr>
          <w:rFonts w:ascii="Times New Roman" w:hAnsi="Times New Roman"/>
        </w:rPr>
      </w:pPr>
      <w:r>
        <w:rPr>
          <w:rFonts w:ascii="Times New Roman" w:eastAsia="TimesNewRomanPSMT" w:hAnsi="Times New Roman" w:cs="TimesNewRomanPSMT"/>
          <w:color w:val="000000"/>
        </w:rPr>
        <w:t>Cool down Centrifuge to 4 °C. Preheat thermomixer to 41 °C.</w:t>
      </w:r>
    </w:p>
    <w:p w:rsidR="00F520AD" w:rsidRDefault="00883626">
      <w:pPr>
        <w:widowControl/>
        <w:numPr>
          <w:ilvl w:val="0"/>
          <w:numId w:val="4"/>
        </w:numPr>
        <w:tabs>
          <w:tab w:val="left" w:pos="630"/>
        </w:tabs>
        <w:spacing w:line="480" w:lineRule="auto"/>
        <w:rPr>
          <w:rFonts w:ascii="Times New Roman" w:hAnsi="Times New Roman"/>
        </w:rPr>
      </w:pPr>
      <w:r>
        <w:rPr>
          <w:rFonts w:ascii="Times New Roman" w:eastAsia="TimesNewRomanPSMT" w:hAnsi="Times New Roman" w:cs="TimesNewRomanPSMT"/>
          <w:color w:val="000000"/>
        </w:rPr>
        <w:t>Centrifuge 30 min at 12.000 rcf at 4 °C.</w:t>
      </w:r>
    </w:p>
    <w:p w:rsidR="00F520AD" w:rsidRDefault="00883626">
      <w:pPr>
        <w:widowControl/>
        <w:numPr>
          <w:ilvl w:val="0"/>
          <w:numId w:val="4"/>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 xml:space="preserve">Carefully pick up liquid phase with pipette to not destruct DNA pellet at bottom side of tube and discard. </w:t>
      </w:r>
    </w:p>
    <w:p w:rsidR="00F520AD" w:rsidRDefault="00883626">
      <w:pPr>
        <w:widowControl/>
        <w:numPr>
          <w:ilvl w:val="0"/>
          <w:numId w:val="4"/>
        </w:numPr>
        <w:tabs>
          <w:tab w:val="left" w:pos="630"/>
        </w:tabs>
        <w:spacing w:line="480" w:lineRule="auto"/>
        <w:rPr>
          <w:rFonts w:ascii="Times New Roman" w:hAnsi="Times New Roman"/>
        </w:rPr>
      </w:pPr>
      <w:r>
        <w:rPr>
          <w:rFonts w:ascii="Times New Roman" w:eastAsia="TimesNewRomanPSMT" w:hAnsi="Times New Roman" w:cs="TimesNewRomanPSMT"/>
          <w:color w:val="000000"/>
        </w:rPr>
        <w:t>Add 500 µl ethanol (70%, cooled).</w:t>
      </w:r>
    </w:p>
    <w:p w:rsidR="00F520AD" w:rsidRDefault="00883626">
      <w:pPr>
        <w:widowControl/>
        <w:numPr>
          <w:ilvl w:val="0"/>
          <w:numId w:val="4"/>
        </w:numPr>
        <w:tabs>
          <w:tab w:val="left" w:pos="630"/>
        </w:tabs>
        <w:spacing w:line="480" w:lineRule="auto"/>
        <w:rPr>
          <w:rFonts w:ascii="Times New Roman" w:hAnsi="Times New Roman"/>
        </w:rPr>
      </w:pPr>
      <w:r>
        <w:rPr>
          <w:rFonts w:ascii="Times New Roman" w:eastAsia="TimesNewRomanPSMT" w:hAnsi="Times New Roman" w:cs="TimesNewRomanPSMT"/>
          <w:color w:val="000000"/>
        </w:rPr>
        <w:t>Centrifuge 15 min at 12.000 rcf at 4 °C.</w:t>
      </w:r>
    </w:p>
    <w:p w:rsidR="00F520AD" w:rsidRDefault="00883626">
      <w:pPr>
        <w:widowControl/>
        <w:numPr>
          <w:ilvl w:val="0"/>
          <w:numId w:val="4"/>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Carefully pick up liquid phase with pipette to not destruct DNA pellet at</w:t>
      </w:r>
      <w:r>
        <w:rPr>
          <w:rFonts w:ascii="Times New Roman" w:eastAsia="TimesNewRomanPSMT" w:hAnsi="Times New Roman" w:cs="TimesNewRomanPSMT"/>
          <w:color w:val="000000"/>
        </w:rPr>
        <w:t xml:space="preserve"> bottom side of tube and discard.</w:t>
      </w:r>
    </w:p>
    <w:p w:rsidR="00F520AD" w:rsidRDefault="00883626">
      <w:pPr>
        <w:widowControl/>
        <w:numPr>
          <w:ilvl w:val="0"/>
          <w:numId w:val="4"/>
        </w:numPr>
        <w:tabs>
          <w:tab w:val="left" w:pos="630"/>
        </w:tabs>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Repeat step 2.</w:t>
      </w:r>
    </w:p>
    <w:p w:rsidR="00F520AD" w:rsidRDefault="00883626">
      <w:pPr>
        <w:widowControl/>
        <w:numPr>
          <w:ilvl w:val="0"/>
          <w:numId w:val="4"/>
        </w:numPr>
        <w:tabs>
          <w:tab w:val="left" w:pos="630"/>
        </w:tabs>
        <w:spacing w:line="480" w:lineRule="auto"/>
        <w:rPr>
          <w:rFonts w:ascii="Times New Roman" w:hAnsi="Times New Roman"/>
        </w:rPr>
      </w:pPr>
      <w:r>
        <w:rPr>
          <w:rFonts w:ascii="Times New Roman" w:eastAsia="TimesNewRomanPSMT" w:hAnsi="Times New Roman" w:cs="TimesNewRomanPSMT"/>
          <w:color w:val="000000"/>
        </w:rPr>
        <w:t>Dry DNA-Pellet in SpeedVac for 10 min at 30 °C.</w:t>
      </w:r>
    </w:p>
    <w:p w:rsidR="00F520AD" w:rsidRDefault="00883626">
      <w:pPr>
        <w:widowControl/>
        <w:numPr>
          <w:ilvl w:val="0"/>
          <w:numId w:val="4"/>
        </w:numPr>
        <w:tabs>
          <w:tab w:val="left" w:pos="630"/>
        </w:tabs>
        <w:spacing w:line="480" w:lineRule="auto"/>
        <w:rPr>
          <w:rFonts w:ascii="Times New Roman" w:hAnsi="Times New Roman"/>
        </w:rPr>
      </w:pPr>
      <w:r>
        <w:rPr>
          <w:rFonts w:ascii="Times New Roman" w:eastAsia="TimesNewRomanPSMT" w:hAnsi="Times New Roman" w:cs="TimesNewRomanPSMT"/>
          <w:color w:val="000000"/>
        </w:rPr>
        <w:t>Add 100 µl TE buffer</w:t>
      </w:r>
    </w:p>
    <w:p w:rsidR="00F520AD" w:rsidRDefault="00883626">
      <w:pPr>
        <w:widowControl/>
        <w:numPr>
          <w:ilvl w:val="0"/>
          <w:numId w:val="4"/>
        </w:numPr>
        <w:tabs>
          <w:tab w:val="left" w:pos="630"/>
        </w:tabs>
        <w:spacing w:line="480" w:lineRule="auto"/>
        <w:rPr>
          <w:rFonts w:ascii="Times New Roman" w:hAnsi="Times New Roman"/>
        </w:rPr>
      </w:pPr>
      <w:r>
        <w:rPr>
          <w:rFonts w:ascii="Times New Roman" w:eastAsia="TimesNewRomanPSMT" w:hAnsi="Times New Roman" w:cs="TimesNewRomanPSMT"/>
          <w:color w:val="000000"/>
        </w:rPr>
        <w:t>Incubate 1 h at 41 °C on shaking platform.</w:t>
      </w:r>
    </w:p>
    <w:p w:rsidR="00F520AD" w:rsidRDefault="00883626">
      <w:pPr>
        <w:widowControl/>
        <w:numPr>
          <w:ilvl w:val="0"/>
          <w:numId w:val="4"/>
        </w:numPr>
        <w:tabs>
          <w:tab w:val="left" w:pos="630"/>
        </w:tabs>
        <w:spacing w:line="480" w:lineRule="auto"/>
        <w:rPr>
          <w:rFonts w:ascii="Times New Roman" w:hAnsi="Times New Roman"/>
        </w:rPr>
      </w:pPr>
      <w:r>
        <w:rPr>
          <w:rFonts w:ascii="Times New Roman" w:eastAsia="TimesNewRomanPSMT" w:hAnsi="Times New Roman" w:cs="TimesNewRomanPSMT"/>
          <w:color w:val="000000"/>
        </w:rPr>
        <w:t>Store DNA at -20 °C or -80 °C.</w:t>
      </w: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ItalicMT" w:hAnsi="Times New Roman" w:cs="TimesNewRomanPS-ItalicMT"/>
          <w:i/>
          <w:iCs/>
          <w:color w:val="000000"/>
        </w:rPr>
      </w:pPr>
      <w:r>
        <w:rPr>
          <w:rFonts w:ascii="Times New Roman" w:eastAsia="TimesNewRomanPS-ItalicMT" w:hAnsi="Times New Roman" w:cs="TimesNewRomanPS-ItalicMT"/>
          <w:i/>
          <w:iCs/>
          <w:color w:val="000000"/>
        </w:rPr>
        <w:t>ddRAD-seq library preparation</w:t>
      </w:r>
    </w:p>
    <w:p w:rsidR="00E2770F" w:rsidRDefault="00883626">
      <w:pPr>
        <w:widowControl/>
        <w:spacing w:line="480" w:lineRule="auto"/>
        <w:rPr>
          <w:rFonts w:ascii="Times New Roman" w:hAnsi="Times New Roman"/>
        </w:rPr>
      </w:pPr>
      <w:r>
        <w:rPr>
          <w:rFonts w:ascii="Times New Roman" w:eastAsia="TimesNewRomanPSMT" w:hAnsi="Times New Roman" w:cs="TimesNewRomanPSMT"/>
          <w:color w:val="000000"/>
        </w:rPr>
        <w:t>Genomic DNA from the population w</w:t>
      </w:r>
      <w:r>
        <w:rPr>
          <w:rFonts w:ascii="Times New Roman" w:eastAsia="TimesNewRomanPSMT" w:hAnsi="Times New Roman" w:cs="TimesNewRomanPSMT"/>
          <w:color w:val="000000"/>
        </w:rPr>
        <w:t>as digested with restriction endonucleases</w:t>
      </w:r>
      <w:r>
        <w:rPr>
          <w:rFonts w:ascii="Times New Roman" w:eastAsia="TimesNewRomanPS-ItalicMT" w:hAnsi="Times New Roman" w:cs="TimesNewRomanPS-ItalicMT"/>
          <w:i/>
          <w:iCs/>
          <w:color w:val="000000"/>
        </w:rPr>
        <w:t xml:space="preserve"> SbfI</w:t>
      </w:r>
      <w:r>
        <w:rPr>
          <w:rFonts w:ascii="Times New Roman" w:eastAsia="TimesNewRomanPSMT" w:hAnsi="Times New Roman" w:cs="TimesNewRomanPSMT"/>
          <w:color w:val="000000"/>
        </w:rPr>
        <w:t xml:space="preserve"> (rare cutter) and</w:t>
      </w:r>
      <w:r>
        <w:rPr>
          <w:rFonts w:ascii="Times New Roman" w:eastAsia="TimesNewRomanPS-ItalicMT" w:hAnsi="Times New Roman" w:cs="TimesNewRomanPS-ItalicMT"/>
          <w:i/>
          <w:iCs/>
          <w:color w:val="000000"/>
        </w:rPr>
        <w:t xml:space="preserve"> MseI </w:t>
      </w:r>
      <w:r>
        <w:rPr>
          <w:rFonts w:ascii="Times New Roman" w:eastAsia="TimesNewRomanPSMT" w:hAnsi="Times New Roman" w:cs="TimesNewRomanPSMT"/>
          <w:color w:val="000000"/>
        </w:rPr>
        <w:t xml:space="preserve">(frequent cutter) and processed into ddRAD-seq libraries similar to the method of Truong et al. 2012. Briefly, ~125 ng of genomic DNA was digested for 120 min at </w:t>
      </w:r>
      <w:r>
        <w:rPr>
          <w:rFonts w:ascii="Times New Roman" w:eastAsia="TimesNewRomanPSMT" w:hAnsi="Times New Roman" w:cs="TimesNewRomanPSMT"/>
          <w:color w:val="000000"/>
        </w:rPr>
        <w:lastRenderedPageBreak/>
        <w:t>37°C in a 20 μL reactio</w:t>
      </w:r>
      <w:r>
        <w:rPr>
          <w:rFonts w:ascii="Times New Roman" w:eastAsia="TimesNewRomanPSMT" w:hAnsi="Times New Roman" w:cs="TimesNewRomanPSMT"/>
          <w:color w:val="000000"/>
        </w:rPr>
        <w:t>n with 2.5 units of</w:t>
      </w:r>
      <w:r>
        <w:rPr>
          <w:rFonts w:ascii="Times New Roman" w:eastAsia="TimesNewRomanPS-ItalicMT" w:hAnsi="Times New Roman" w:cs="TimesNewRomanPS-ItalicMT"/>
          <w:i/>
          <w:iCs/>
          <w:color w:val="000000"/>
        </w:rPr>
        <w:t xml:space="preserve"> SbfI</w:t>
      </w:r>
      <w:r>
        <w:rPr>
          <w:rFonts w:ascii="Times New Roman" w:eastAsia="TimesNewRomanPSMT" w:hAnsi="Times New Roman" w:cs="TimesNewRomanPSMT"/>
          <w:color w:val="000000"/>
        </w:rPr>
        <w:t xml:space="preserve"> and 2.75 units of </w:t>
      </w:r>
      <w:r>
        <w:rPr>
          <w:rFonts w:ascii="Times New Roman" w:eastAsia="TimesNewRomanPS-ItalicMT" w:hAnsi="Times New Roman" w:cs="TimesNewRomanPS-ItalicMT"/>
          <w:i/>
          <w:iCs/>
          <w:color w:val="000000"/>
        </w:rPr>
        <w:t xml:space="preserve">MseI </w:t>
      </w:r>
      <w:r>
        <w:rPr>
          <w:rFonts w:ascii="Times New Roman" w:eastAsia="TimesNewRomanPSMT" w:hAnsi="Times New Roman" w:cs="TimesNewRomanPSMT"/>
          <w:color w:val="000000"/>
        </w:rPr>
        <w:t xml:space="preserve">(New England Biolabs [NEB]). </w:t>
      </w:r>
    </w:p>
    <w:p w:rsidR="00F520AD" w:rsidRDefault="00883626" w:rsidP="00E2770F">
      <w:pPr>
        <w:widowControl/>
        <w:spacing w:line="480" w:lineRule="auto"/>
        <w:ind w:firstLine="720"/>
        <w:rPr>
          <w:rFonts w:ascii="Times New Roman" w:hAnsi="Times New Roman"/>
        </w:rPr>
      </w:pPr>
      <w:r>
        <w:rPr>
          <w:rFonts w:ascii="Times New Roman" w:eastAsia="TimesNewRomanPSMT" w:hAnsi="Times New Roman" w:cs="TimesNewRomanPSMT"/>
          <w:color w:val="000000"/>
        </w:rPr>
        <w:t>After digestion, samples were heat-inactivated for 10 min at 80°C followed by addition of 1.25 μL 1 μM “P1”</w:t>
      </w:r>
      <w:r>
        <w:rPr>
          <w:rFonts w:ascii="Times New Roman" w:eastAsia="TimesNewRomanPS-ItalicMT" w:hAnsi="Times New Roman" w:cs="TimesNewRomanPS-ItalicMT"/>
          <w:i/>
          <w:iCs/>
          <w:color w:val="000000"/>
        </w:rPr>
        <w:t xml:space="preserve"> PstI/SbfI</w:t>
      </w:r>
      <w:r>
        <w:rPr>
          <w:rFonts w:ascii="Times New Roman" w:eastAsia="TimesNewRomanPSMT" w:hAnsi="Times New Roman" w:cs="TimesNewRomanPSMT"/>
          <w:color w:val="000000"/>
        </w:rPr>
        <w:t xml:space="preserve"> adapter and 0.1 μL 250 μM “P2” </w:t>
      </w:r>
      <w:r>
        <w:rPr>
          <w:rFonts w:ascii="Times New Roman" w:eastAsia="TimesNewRomanPS-ItalicMT" w:hAnsi="Times New Roman" w:cs="TimesNewRomanPS-ItalicMT"/>
          <w:i/>
          <w:iCs/>
          <w:color w:val="000000"/>
        </w:rPr>
        <w:t>MseI</w:t>
      </w:r>
      <w:r>
        <w:rPr>
          <w:rFonts w:ascii="Times New Roman" w:eastAsia="TimesNewRomanPSMT" w:hAnsi="Times New Roman" w:cs="TimesNewRomanPSMT"/>
          <w:color w:val="000000"/>
        </w:rPr>
        <w:t xml:space="preserve"> adapter. P1 adapters eac</w:t>
      </w:r>
      <w:r>
        <w:rPr>
          <w:rFonts w:ascii="Times New Roman" w:eastAsia="TimesNewRomanPSMT" w:hAnsi="Times New Roman" w:cs="TimesNewRomanPSMT"/>
          <w:color w:val="000000"/>
        </w:rPr>
        <w:t>h contain a unique multiplex sequence index (barcode) which is read during the first five nucleotides of the Illumina sequence read. P1 and P2 adapters were added to each sample along with 36 units of T4 DNA Ligase (high concentration [HC], Enzymatics, Inc</w:t>
      </w:r>
      <w:r>
        <w:rPr>
          <w:rFonts w:ascii="Times New Roman" w:eastAsia="TimesNewRomanPSMT" w:hAnsi="Times New Roman" w:cs="TimesNewRomanPSMT"/>
          <w:color w:val="000000"/>
        </w:rPr>
        <w:t>), 0.3125 units of</w:t>
      </w:r>
      <w:r>
        <w:rPr>
          <w:rFonts w:ascii="Times New Roman" w:eastAsia="TimesNewRomanPS-ItalicMT" w:hAnsi="Times New Roman" w:cs="TimesNewRomanPS-ItalicMT"/>
          <w:i/>
          <w:iCs/>
          <w:color w:val="000000"/>
        </w:rPr>
        <w:t xml:space="preserve"> MseI</w:t>
      </w:r>
      <w:r>
        <w:rPr>
          <w:rFonts w:ascii="Times New Roman" w:eastAsia="TimesNewRomanPSMT" w:hAnsi="Times New Roman" w:cs="TimesNewRomanPSMT"/>
          <w:color w:val="000000"/>
        </w:rPr>
        <w:t>, 0.25 units of</w:t>
      </w:r>
      <w:r>
        <w:rPr>
          <w:rFonts w:ascii="Times New Roman" w:eastAsia="TimesNewRomanPS-ItalicMT" w:hAnsi="Times New Roman" w:cs="TimesNewRomanPS-ItalicMT"/>
          <w:i/>
          <w:iCs/>
          <w:color w:val="000000"/>
        </w:rPr>
        <w:t xml:space="preserve"> SbfI</w:t>
      </w:r>
      <w:r>
        <w:rPr>
          <w:rFonts w:ascii="Times New Roman" w:eastAsia="TimesNewRomanPSMT" w:hAnsi="Times New Roman" w:cs="TimesNewRomanPSMT"/>
          <w:color w:val="000000"/>
        </w:rPr>
        <w:t xml:space="preserve"> (NEB), RL Buffers A and B (Keygene) and 10 mM ATP in a final reaction volume of 25 μL, which was then incubated at 37°C for 180 minutes. Samples were diluted 1:10 in water and 2.5 μL of this product was used in a</w:t>
      </w:r>
      <w:r>
        <w:rPr>
          <w:rFonts w:ascii="Times New Roman" w:eastAsia="TimesNewRomanPSMT" w:hAnsi="Times New Roman" w:cs="TimesNewRomanPSMT"/>
          <w:color w:val="000000"/>
        </w:rPr>
        <w:t xml:space="preserve"> PCR amplification with 10x PCR Buffer 1 (Applied Biosystems), 0.1 μL 20 nM dNTP mix, 0.3 μL of 50 ng/μL MseI primer, 0.05 μL of PstI primer (compatible with SbfI-ligated ends), and 0.2 units of AmpliTaq DNA Polymerase (Applied Biosystems). The PCR program</w:t>
      </w:r>
      <w:r>
        <w:rPr>
          <w:rFonts w:ascii="Times New Roman" w:eastAsia="TimesNewRomanPSMT" w:hAnsi="Times New Roman" w:cs="TimesNewRomanPSMT"/>
          <w:color w:val="000000"/>
        </w:rPr>
        <w:t xml:space="preserve"> was as follows:</w:t>
      </w: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hAnsi="Times New Roman"/>
        </w:rPr>
      </w:pPr>
      <w:r>
        <w:rPr>
          <w:rFonts w:ascii="Times New Roman" w:eastAsia="TimesNewRomanPSMT" w:hAnsi="Times New Roman" w:cs="TimesNewRomanPSMT"/>
          <w:color w:val="000000"/>
        </w:rPr>
        <w:t>2 min 72°C</w:t>
      </w:r>
    </w:p>
    <w:p w:rsidR="00F520AD" w:rsidRDefault="00883626">
      <w:pPr>
        <w:widowControl/>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13 cycles of:</w:t>
      </w:r>
    </w:p>
    <w:p w:rsidR="00F520AD" w:rsidRDefault="00883626">
      <w:pPr>
        <w:widowControl/>
        <w:numPr>
          <w:ilvl w:val="0"/>
          <w:numId w:val="5"/>
        </w:numPr>
        <w:tabs>
          <w:tab w:val="left" w:pos="630"/>
        </w:tabs>
        <w:spacing w:line="480" w:lineRule="auto"/>
        <w:rPr>
          <w:rFonts w:ascii="Times New Roman" w:hAnsi="Times New Roman"/>
        </w:rPr>
      </w:pPr>
      <w:r>
        <w:rPr>
          <w:rFonts w:ascii="Times New Roman" w:eastAsia="TimesNewRomanPSMT" w:hAnsi="Times New Roman" w:cs="TimesNewRomanPSMT"/>
          <w:color w:val="000000"/>
        </w:rPr>
        <w:t xml:space="preserve">    30 sec 94°C</w:t>
      </w:r>
    </w:p>
    <w:p w:rsidR="00F520AD" w:rsidRDefault="00883626">
      <w:pPr>
        <w:widowControl/>
        <w:numPr>
          <w:ilvl w:val="0"/>
          <w:numId w:val="5"/>
        </w:numPr>
        <w:tabs>
          <w:tab w:val="left" w:pos="630"/>
        </w:tabs>
        <w:spacing w:line="480" w:lineRule="auto"/>
        <w:rPr>
          <w:rFonts w:ascii="Times New Roman" w:hAnsi="Times New Roman"/>
        </w:rPr>
      </w:pPr>
      <w:r>
        <w:rPr>
          <w:rFonts w:ascii="Times New Roman" w:eastAsia="TimesNewRomanPSMT" w:hAnsi="Times New Roman" w:cs="TimesNewRomanPSMT"/>
          <w:color w:val="000000"/>
        </w:rPr>
        <w:t xml:space="preserve">    2 min 67°C, decreasing -0.7°C per cycle</w:t>
      </w:r>
    </w:p>
    <w:p w:rsidR="00F520AD" w:rsidRDefault="00883626">
      <w:pPr>
        <w:widowControl/>
        <w:numPr>
          <w:ilvl w:val="0"/>
          <w:numId w:val="5"/>
        </w:numPr>
        <w:tabs>
          <w:tab w:val="left" w:pos="630"/>
        </w:tabs>
        <w:spacing w:line="480" w:lineRule="auto"/>
        <w:rPr>
          <w:rFonts w:ascii="Times New Roman" w:hAnsi="Times New Roman"/>
        </w:rPr>
      </w:pPr>
      <w:r>
        <w:rPr>
          <w:rFonts w:ascii="Times New Roman" w:eastAsia="TimesNewRomanPSMT" w:hAnsi="Times New Roman" w:cs="TimesNewRomanPSMT"/>
          <w:color w:val="000000"/>
        </w:rPr>
        <w:t xml:space="preserve">    2 min 72°C</w:t>
      </w:r>
    </w:p>
    <w:p w:rsidR="00F520AD" w:rsidRDefault="00883626">
      <w:pPr>
        <w:widowControl/>
        <w:spacing w:line="480" w:lineRule="auto"/>
        <w:rPr>
          <w:rFonts w:ascii="Times New Roman" w:eastAsia="TimesNewRomanPSMT" w:hAnsi="Times New Roman" w:cs="TimesNewRomanPSMT"/>
          <w:color w:val="000000"/>
        </w:rPr>
      </w:pPr>
      <w:r>
        <w:rPr>
          <w:rFonts w:ascii="Times New Roman" w:eastAsia="TimesNewRomanPSMT" w:hAnsi="Times New Roman" w:cs="TimesNewRomanPSMT"/>
          <w:color w:val="000000"/>
        </w:rPr>
        <w:t>37 cycles of:</w:t>
      </w:r>
    </w:p>
    <w:p w:rsidR="00F520AD" w:rsidRDefault="00883626">
      <w:pPr>
        <w:widowControl/>
        <w:numPr>
          <w:ilvl w:val="0"/>
          <w:numId w:val="6"/>
        </w:numPr>
        <w:tabs>
          <w:tab w:val="left" w:pos="630"/>
        </w:tabs>
        <w:spacing w:line="480" w:lineRule="auto"/>
        <w:rPr>
          <w:rFonts w:ascii="Times New Roman" w:hAnsi="Times New Roman"/>
        </w:rPr>
      </w:pPr>
      <w:r>
        <w:rPr>
          <w:rFonts w:ascii="Times New Roman" w:eastAsia="TimesNewRomanPSMT" w:hAnsi="Times New Roman" w:cs="TimesNewRomanPSMT"/>
          <w:color w:val="000000"/>
        </w:rPr>
        <w:t xml:space="preserve">    30 sec 94°C</w:t>
      </w:r>
    </w:p>
    <w:p w:rsidR="00F520AD" w:rsidRDefault="00883626">
      <w:pPr>
        <w:widowControl/>
        <w:numPr>
          <w:ilvl w:val="0"/>
          <w:numId w:val="6"/>
        </w:numPr>
        <w:tabs>
          <w:tab w:val="left" w:pos="630"/>
        </w:tabs>
        <w:spacing w:line="480" w:lineRule="auto"/>
        <w:rPr>
          <w:rFonts w:ascii="Times New Roman" w:hAnsi="Times New Roman"/>
        </w:rPr>
      </w:pPr>
      <w:r>
        <w:rPr>
          <w:rFonts w:ascii="Times New Roman" w:eastAsia="TimesNewRomanPSMT" w:hAnsi="Times New Roman" w:cs="TimesNewRomanPSMT"/>
          <w:color w:val="000000"/>
        </w:rPr>
        <w:t xml:space="preserve">    2 min 58°C</w:t>
      </w:r>
    </w:p>
    <w:p w:rsidR="00F520AD" w:rsidRDefault="00883626">
      <w:pPr>
        <w:widowControl/>
        <w:numPr>
          <w:ilvl w:val="0"/>
          <w:numId w:val="6"/>
        </w:numPr>
        <w:tabs>
          <w:tab w:val="left" w:pos="630"/>
        </w:tabs>
        <w:spacing w:line="480" w:lineRule="auto"/>
        <w:rPr>
          <w:rFonts w:ascii="Times New Roman" w:hAnsi="Times New Roman"/>
        </w:rPr>
      </w:pPr>
      <w:r>
        <w:rPr>
          <w:rFonts w:ascii="Times New Roman" w:eastAsia="TimesNewRomanPSMT" w:hAnsi="Times New Roman" w:cs="TimesNewRomanPSMT"/>
          <w:color w:val="000000"/>
        </w:rPr>
        <w:t xml:space="preserve">    2 min 72°C</w:t>
      </w:r>
    </w:p>
    <w:p w:rsidR="00F520AD" w:rsidRDefault="00883626">
      <w:pPr>
        <w:widowControl/>
        <w:spacing w:line="480" w:lineRule="auto"/>
        <w:rPr>
          <w:rFonts w:ascii="Times New Roman" w:hAnsi="Times New Roman"/>
        </w:rPr>
      </w:pPr>
      <w:r>
        <w:rPr>
          <w:rFonts w:ascii="Times New Roman" w:eastAsia="TimesNewRomanPSMT" w:hAnsi="Times New Roman" w:cs="TimesNewRomanPSMT"/>
          <w:color w:val="000000"/>
        </w:rPr>
        <w:t>Hold 4°C</w:t>
      </w:r>
    </w:p>
    <w:p w:rsidR="00F520AD" w:rsidRDefault="00F520AD">
      <w:pPr>
        <w:widowControl/>
        <w:spacing w:line="480" w:lineRule="auto"/>
        <w:rPr>
          <w:rFonts w:ascii="Times New Roman" w:hAnsi="Times New Roman"/>
        </w:rPr>
      </w:pPr>
    </w:p>
    <w:p w:rsidR="00F520AD" w:rsidRDefault="00883626" w:rsidP="00E2770F">
      <w:pPr>
        <w:widowControl/>
        <w:spacing w:line="480" w:lineRule="auto"/>
        <w:ind w:firstLine="720"/>
        <w:rPr>
          <w:rFonts w:ascii="Times New Roman" w:hAnsi="Times New Roman"/>
        </w:rPr>
      </w:pPr>
      <w:r>
        <w:rPr>
          <w:rFonts w:ascii="Times New Roman" w:eastAsia="TimesNewRomanPSMT" w:hAnsi="Times New Roman" w:cs="TimesNewRomanPSMT"/>
          <w:color w:val="000000"/>
        </w:rPr>
        <w:t xml:space="preserve">The amplified product from each sample was pooled and mixed </w:t>
      </w:r>
      <w:r>
        <w:rPr>
          <w:rFonts w:ascii="Times New Roman" w:eastAsia="TimesNewRomanPSMT" w:hAnsi="Times New Roman" w:cs="TimesNewRomanPSMT"/>
          <w:color w:val="000000"/>
        </w:rPr>
        <w:t xml:space="preserve">thoroughly. 125 μL of the pooled product was purified with a MinElute Enzymatic Reaction Cleanup Kit (Qiagen), eluted in 15 μL, and run on a 1.5% agarose gel. DNA 300 bp to 800 bp was excised and purified using the MinElute Gel Extraction Kit (Qiagen).The </w:t>
      </w:r>
      <w:r>
        <w:rPr>
          <w:rFonts w:ascii="Times New Roman" w:eastAsia="TimesNewRomanPSMT" w:hAnsi="Times New Roman" w:cs="TimesNewRomanPSMT"/>
          <w:color w:val="000000"/>
        </w:rPr>
        <w:t>final library was sent to the University of Oregon GC3F facility in Eugene (Oregon, USA) for 1x118 bp sequencing using an SP100 chip on the NovaSeq 6000.</w:t>
      </w:r>
    </w:p>
    <w:p w:rsidR="00F520AD" w:rsidRDefault="00F520AD">
      <w:pPr>
        <w:widowControl/>
        <w:spacing w:line="480" w:lineRule="auto"/>
        <w:rPr>
          <w:rFonts w:ascii="Times New Roman" w:eastAsia="TimesNewRomanPS-ItalicMT" w:hAnsi="Times New Roman" w:cs="TimesNewRomanPS-ItalicMT"/>
          <w:i/>
          <w:iCs/>
          <w:color w:val="000000"/>
        </w:rPr>
      </w:pPr>
    </w:p>
    <w:p w:rsidR="00F520AD" w:rsidRDefault="00883626">
      <w:pPr>
        <w:widowControl/>
        <w:spacing w:line="480" w:lineRule="auto"/>
        <w:rPr>
          <w:rFonts w:ascii="Times New Roman" w:eastAsia="TimesNewRomanPS-ItalicMT" w:hAnsi="Times New Roman" w:cs="TimesNewRomanPS-ItalicMT"/>
          <w:i/>
          <w:iCs/>
          <w:color w:val="000000"/>
        </w:rPr>
      </w:pPr>
      <w:r>
        <w:rPr>
          <w:rFonts w:ascii="Times New Roman" w:eastAsia="TimesNewRomanPS-ItalicMT" w:hAnsi="Times New Roman" w:cs="TimesNewRomanPS-ItalicMT"/>
          <w:i/>
          <w:iCs/>
          <w:color w:val="000000"/>
        </w:rPr>
        <w:t>ddRAD-seq Stacks parameter optimization</w:t>
      </w:r>
    </w:p>
    <w:p w:rsidR="00F520AD" w:rsidRDefault="00883626">
      <w:pPr>
        <w:widowControl/>
        <w:spacing w:line="480" w:lineRule="auto"/>
        <w:rPr>
          <w:rFonts w:ascii="Times New Roman" w:hAnsi="Times New Roman"/>
        </w:rPr>
      </w:pPr>
      <w:r>
        <w:rPr>
          <w:rFonts w:ascii="Times New Roman" w:eastAsia="TimesNewRomanPSMT" w:hAnsi="Times New Roman" w:cs="TimesNewRomanPSMT"/>
          <w:color w:val="000000"/>
        </w:rPr>
        <w:t xml:space="preserve">We ran </w:t>
      </w:r>
      <w:r>
        <w:rPr>
          <w:rFonts w:ascii="Times New Roman" w:eastAsia="TimesNewRomanPS-ItalicMT" w:hAnsi="Times New Roman" w:cs="TimesNewRomanPS-ItalicMT"/>
          <w:i/>
          <w:iCs/>
          <w:color w:val="000000"/>
        </w:rPr>
        <w:t>denovo_map.pl</w:t>
      </w:r>
      <w:r>
        <w:rPr>
          <w:rFonts w:ascii="Times New Roman" w:eastAsia="TimesNewRomanPSMT" w:hAnsi="Times New Roman" w:cs="TimesNewRomanPSMT"/>
          <w:color w:val="000000"/>
        </w:rPr>
        <w:t>, iterating across a range of values of m</w:t>
      </w:r>
      <w:r>
        <w:rPr>
          <w:rFonts w:ascii="Times New Roman" w:eastAsia="TimesNewRomanPSMT" w:hAnsi="Times New Roman" w:cs="TimesNewRomanPSMT"/>
          <w:color w:val="000000"/>
        </w:rPr>
        <w:t xml:space="preserve"> (minimum depth of coverage required to create a stack, set between 3-10), M (number of mismatches allowed between stacks within individuals, set between 1-9) and r (minimum percentage of individuals in a locality required to process a locus for that local</w:t>
      </w:r>
      <w:r>
        <w:rPr>
          <w:rFonts w:ascii="Times New Roman" w:eastAsia="TimesNewRomanPSMT" w:hAnsi="Times New Roman" w:cs="TimesNewRomanPSMT"/>
          <w:color w:val="000000"/>
        </w:rPr>
        <w:t xml:space="preserve">ity, set at maximum 60, 40 and 20% missing data permitted). From each of the 72 </w:t>
      </w:r>
      <w:r>
        <w:rPr>
          <w:rFonts w:ascii="Times New Roman" w:eastAsia="TimesNewRomanPS-ItalicMT" w:hAnsi="Times New Roman" w:cs="TimesNewRomanPS-ItalicMT"/>
          <w:i/>
          <w:iCs/>
          <w:color w:val="000000"/>
        </w:rPr>
        <w:t>denovo_map.pl</w:t>
      </w:r>
      <w:r>
        <w:rPr>
          <w:rFonts w:ascii="Times New Roman" w:eastAsia="TimesNewRomanPSMT" w:hAnsi="Times New Roman" w:cs="TimesNewRomanPSMT"/>
          <w:color w:val="000000"/>
        </w:rPr>
        <w:t xml:space="preserve"> runs we extracted the total number of assembled sites, total number of polymorphic sites and percentage (%) of polymorphic loci as well as the total number of SNP</w:t>
      </w:r>
      <w:r>
        <w:rPr>
          <w:rFonts w:ascii="Times New Roman" w:eastAsia="TimesNewRomanPSMT" w:hAnsi="Times New Roman" w:cs="TimesNewRomanPSMT"/>
          <w:color w:val="000000"/>
        </w:rPr>
        <w:t xml:space="preserve">s and used this to assess the optimal parameter combination to run the complete dataset. </w:t>
      </w:r>
    </w:p>
    <w:p w:rsidR="00F520AD" w:rsidRDefault="00883626">
      <w:pPr>
        <w:widowControl/>
        <w:spacing w:line="480" w:lineRule="auto"/>
        <w:ind w:firstLine="720"/>
        <w:rPr>
          <w:rFonts w:hint="eastAsia"/>
        </w:rPr>
      </w:pPr>
      <w:r>
        <w:rPr>
          <w:rFonts w:ascii="Times New Roman" w:eastAsia="TimesNewRomanPSMT" w:hAnsi="Times New Roman" w:cs="TimesNewRomanPSMT"/>
          <w:color w:val="000000"/>
        </w:rPr>
        <w:t>Across our test runs of denovo_map.pl to optimize parameter settings, total numbers of assembled sites, number of polymorphic sites, % polymorphic loci and total SNPs</w:t>
      </w:r>
      <w:r>
        <w:rPr>
          <w:rFonts w:ascii="Times New Roman" w:eastAsia="TimesNewRomanPSMT" w:hAnsi="Times New Roman" w:cs="TimesNewRomanPSMT"/>
          <w:color w:val="000000"/>
        </w:rPr>
        <w:t xml:space="preserve"> varied substantially, predictably with higher amounts of sites, loci and SNPs as parameters were relaxed (i.e. higher M values - more mismatches allowed between stacks within individuals, lower m values – greater numbers of lower coverage loci, lower r va</w:t>
      </w:r>
      <w:r>
        <w:rPr>
          <w:rFonts w:ascii="Times New Roman" w:eastAsia="TimesNewRomanPSMT" w:hAnsi="Times New Roman" w:cs="TimesNewRomanPSMT"/>
          <w:color w:val="000000"/>
        </w:rPr>
        <w:t>lues – more missing data permitted). Our aim was to maximise informative loci and SNPs rather than focusing on sheer numbers of possible confounded data, thus we focused on the r80 datasets (i.e. max 20% missing data) as recommended by Paris et al. (2016).</w:t>
      </w:r>
      <w:r>
        <w:rPr>
          <w:rFonts w:ascii="Times New Roman" w:eastAsia="TimesNewRomanPSMT" w:hAnsi="Times New Roman" w:cs="TimesNewRomanPSMT"/>
          <w:color w:val="000000"/>
        </w:rPr>
        <w:t xml:space="preserve"> Within the higher quality r80 datasets, assembled sites, polymorphic sites and numbers of SNPs were actually higher with lower values of M (i.e. fewer mismatches permitted), which may be due to paralogous loci being over filtered, especially given the est</w:t>
      </w:r>
      <w:r>
        <w:rPr>
          <w:rFonts w:ascii="Times New Roman" w:eastAsia="TimesNewRomanPSMT" w:hAnsi="Times New Roman" w:cs="TimesNewRomanPSMT"/>
          <w:color w:val="000000"/>
        </w:rPr>
        <w:t xml:space="preserve">imated large genome size of </w:t>
      </w:r>
      <w:r>
        <w:rPr>
          <w:rFonts w:ascii="Times New Roman" w:eastAsia="TimesNewRomanPS-ItalicMT" w:hAnsi="Times New Roman" w:cs="TimesNewRomanPS-ItalicMT"/>
          <w:i/>
          <w:iCs/>
          <w:color w:val="000000"/>
        </w:rPr>
        <w:t xml:space="preserve">A. obstetricans </w:t>
      </w:r>
      <w:r>
        <w:rPr>
          <w:rFonts w:ascii="Times New Roman" w:eastAsia="TimesNewRomanPSMT" w:hAnsi="Times New Roman" w:cs="TimesNewRomanPSMT"/>
          <w:color w:val="000000"/>
        </w:rPr>
        <w:t xml:space="preserve">(between 8 and 9.78 Gb, see </w:t>
      </w:r>
      <w:hyperlink r:id="rId7">
        <w:r>
          <w:rPr>
            <w:rStyle w:val="Hyperlink"/>
            <w:rFonts w:ascii="Times New Roman" w:hAnsi="Times New Roman"/>
          </w:rPr>
          <w:t>https://www.genomesize.com/</w:t>
        </w:r>
      </w:hyperlink>
      <w:r>
        <w:rPr>
          <w:rFonts w:ascii="Times New Roman" w:eastAsia="ArialMT" w:hAnsi="Times New Roman" w:cs="ArialMT"/>
          <w:color w:val="000000"/>
          <w:sz w:val="22"/>
          <w:szCs w:val="22"/>
        </w:rPr>
        <w:t xml:space="preserve">).  </w:t>
      </w:r>
    </w:p>
    <w:p w:rsidR="00F520AD" w:rsidRDefault="00883626">
      <w:pPr>
        <w:widowControl/>
        <w:spacing w:line="480" w:lineRule="auto"/>
        <w:rPr>
          <w:rFonts w:ascii="Times New Roman" w:eastAsia="ArialMT" w:hAnsi="Times New Roman" w:cs="ArialMT"/>
          <w:color w:val="000000"/>
          <w:sz w:val="22"/>
          <w:szCs w:val="22"/>
        </w:rPr>
      </w:pPr>
      <w:r>
        <w:rPr>
          <w:noProof/>
        </w:rPr>
        <w:drawing>
          <wp:inline distT="0" distB="0" distL="0" distR="0">
            <wp:extent cx="5396230" cy="5346700"/>
            <wp:effectExtent l="0" t="0" r="0" b="0"/>
            <wp:docPr id="1" name="Objec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ct0"/>
                    <pic:cNvPicPr>
                      <a:picLocks noChangeAspect="1" noChangeArrowheads="1"/>
                    </pic:cNvPicPr>
                  </pic:nvPicPr>
                  <pic:blipFill>
                    <a:blip r:embed="rId8"/>
                    <a:stretch>
                      <a:fillRect/>
                    </a:stretch>
                  </pic:blipFill>
                  <pic:spPr bwMode="auto">
                    <a:xfrm>
                      <a:off x="0" y="0"/>
                      <a:ext cx="5396230" cy="5346700"/>
                    </a:xfrm>
                    <a:prstGeom prst="rect">
                      <a:avLst/>
                    </a:prstGeom>
                  </pic:spPr>
                </pic:pic>
              </a:graphicData>
            </a:graphic>
          </wp:inline>
        </w:drawing>
      </w:r>
    </w:p>
    <w:p w:rsidR="00F520AD" w:rsidRDefault="00883626">
      <w:pPr>
        <w:widowControl/>
        <w:spacing w:line="276" w:lineRule="auto"/>
        <w:rPr>
          <w:rFonts w:ascii="Times New Roman" w:hAnsi="Times New Roman"/>
        </w:rPr>
      </w:pPr>
      <w:r>
        <w:rPr>
          <w:rFonts w:ascii="Times New Roman" w:eastAsia="TimesNewRomanPS-BoldMT" w:hAnsi="Times New Roman" w:cs="TimesNewRomanPS-BoldMT"/>
          <w:b/>
          <w:bCs/>
          <w:color w:val="000000"/>
        </w:rPr>
        <w:t xml:space="preserve">Fig. S1. </w:t>
      </w:r>
      <w:r>
        <w:rPr>
          <w:rFonts w:ascii="Times New Roman" w:eastAsia="TimesNewRomanPSMT" w:hAnsi="Times New Roman" w:cs="TimesNewRomanPSMT"/>
          <w:color w:val="000000"/>
        </w:rPr>
        <w:t>Parameter optimization in Stacks. First four panels represent total number of assembled sites,</w:t>
      </w:r>
      <w:r>
        <w:rPr>
          <w:rFonts w:ascii="Times New Roman" w:eastAsia="TimesNewRomanPSMT" w:hAnsi="Times New Roman" w:cs="TimesNewRomanPSMT"/>
          <w:color w:val="000000"/>
        </w:rPr>
        <w:t xml:space="preserve"> number of polymorphic sites, percent polymorphic loci and total SNPs for each value of m in Stacks. Final panel shows the number of new polymorphic sites attained when increasing m across different parameter combinations. All plots show maximum % missing </w:t>
      </w:r>
      <w:r>
        <w:rPr>
          <w:rFonts w:ascii="Times New Roman" w:eastAsia="TimesNewRomanPSMT" w:hAnsi="Times New Roman" w:cs="TimesNewRomanPSMT"/>
          <w:color w:val="000000"/>
        </w:rPr>
        <w:t>data permitted (r80 = squares, max. 20%, r60 = triangles, max. 40%, r40 = circles, max. 60%), and for each replicate of m (coverage of Stacks loci between 3 and 10, represented by colours) and M (1-9, x axis).</w:t>
      </w:r>
    </w:p>
    <w:p w:rsidR="00F520AD" w:rsidRDefault="00F520AD">
      <w:pPr>
        <w:widowControl/>
        <w:spacing w:line="480" w:lineRule="auto"/>
        <w:rPr>
          <w:rFonts w:eastAsia="TimesNewRomanPSMT" w:cs="TimesNewRomanPSMT" w:hint="eastAsia"/>
          <w:color w:val="000000"/>
        </w:rPr>
      </w:pP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MT" w:hAnsi="Times New Roman" w:cs="TimesNewRomanPSMT"/>
          <w:color w:val="000000"/>
        </w:rPr>
      </w:pPr>
      <w:r>
        <w:rPr>
          <w:noProof/>
        </w:rPr>
        <w:drawing>
          <wp:inline distT="0" distB="0" distL="0" distR="0">
            <wp:extent cx="5734050" cy="2711450"/>
            <wp:effectExtent l="0" t="0" r="0" b="0"/>
            <wp:docPr id="2" name="Objec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ject1"/>
                    <pic:cNvPicPr>
                      <a:picLocks noChangeAspect="1" noChangeArrowheads="1"/>
                    </pic:cNvPicPr>
                  </pic:nvPicPr>
                  <pic:blipFill>
                    <a:blip r:embed="rId9"/>
                    <a:stretch>
                      <a:fillRect/>
                    </a:stretch>
                  </pic:blipFill>
                  <pic:spPr bwMode="auto">
                    <a:xfrm>
                      <a:off x="0" y="0"/>
                      <a:ext cx="5734050" cy="2711450"/>
                    </a:xfrm>
                    <a:prstGeom prst="rect">
                      <a:avLst/>
                    </a:prstGeom>
                  </pic:spPr>
                </pic:pic>
              </a:graphicData>
            </a:graphic>
          </wp:inline>
        </w:drawing>
      </w:r>
    </w:p>
    <w:p w:rsidR="00F520AD" w:rsidRDefault="00883626">
      <w:pPr>
        <w:widowControl/>
        <w:spacing w:line="276" w:lineRule="auto"/>
        <w:rPr>
          <w:rFonts w:ascii="Times New Roman" w:hAnsi="Times New Roman"/>
        </w:rPr>
      </w:pPr>
      <w:r>
        <w:rPr>
          <w:rFonts w:ascii="Times New Roman" w:eastAsia="TimesNewRomanPS-BoldMT" w:hAnsi="Times New Roman" w:cs="TimesNewRomanPS-BoldMT"/>
          <w:b/>
          <w:bCs/>
          <w:color w:val="000000"/>
        </w:rPr>
        <w:t xml:space="preserve">Fig. S2. </w:t>
      </w:r>
      <w:r>
        <w:rPr>
          <w:rFonts w:ascii="Times New Roman" w:eastAsia="TimesNewRomanPSMT" w:hAnsi="Times New Roman" w:cs="TimesNewRomanPSMT"/>
          <w:color w:val="000000"/>
        </w:rPr>
        <w:t>Population assignment for Structu</w:t>
      </w:r>
      <w:r>
        <w:rPr>
          <w:rFonts w:ascii="Times New Roman" w:eastAsia="TimesNewRomanPSMT" w:hAnsi="Times New Roman" w:cs="TimesNewRomanPSMT"/>
          <w:color w:val="000000"/>
        </w:rPr>
        <w:t>re analysis of microsatellite data, using 100,000 iterations, including admixture and location priors.</w:t>
      </w: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MT" w:hAnsi="Times New Roman" w:cs="TimesNewRomanPSMT"/>
          <w:color w:val="000000"/>
        </w:rPr>
      </w:pPr>
      <w:r>
        <w:rPr>
          <w:noProof/>
        </w:rPr>
        <w:drawing>
          <wp:inline distT="0" distB="0" distL="0" distR="0">
            <wp:extent cx="5954395" cy="2496185"/>
            <wp:effectExtent l="0" t="0" r="0" b="0"/>
            <wp:docPr id="3" name="Objec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ject2"/>
                    <pic:cNvPicPr>
                      <a:picLocks noChangeAspect="1" noChangeArrowheads="1"/>
                    </pic:cNvPicPr>
                  </pic:nvPicPr>
                  <pic:blipFill>
                    <a:blip r:embed="rId10"/>
                    <a:stretch>
                      <a:fillRect/>
                    </a:stretch>
                  </pic:blipFill>
                  <pic:spPr bwMode="auto">
                    <a:xfrm>
                      <a:off x="0" y="0"/>
                      <a:ext cx="5954395" cy="2496185"/>
                    </a:xfrm>
                    <a:prstGeom prst="rect">
                      <a:avLst/>
                    </a:prstGeom>
                  </pic:spPr>
                </pic:pic>
              </a:graphicData>
            </a:graphic>
          </wp:inline>
        </w:drawing>
      </w:r>
    </w:p>
    <w:p w:rsidR="00F520AD" w:rsidRDefault="00883626">
      <w:pPr>
        <w:widowControl/>
        <w:spacing w:line="276" w:lineRule="auto"/>
        <w:rPr>
          <w:rFonts w:ascii="Times New Roman" w:hAnsi="Times New Roman"/>
        </w:rPr>
      </w:pPr>
      <w:r>
        <w:rPr>
          <w:rFonts w:ascii="Times New Roman" w:eastAsia="TimesNewRomanPS-BoldMT" w:hAnsi="Times New Roman" w:cs="TimesNewRomanPS-BoldMT"/>
          <w:b/>
          <w:bCs/>
          <w:color w:val="000000"/>
        </w:rPr>
        <w:t xml:space="preserve">Fig. S3. </w:t>
      </w:r>
      <w:r>
        <w:rPr>
          <w:rFonts w:ascii="Times New Roman" w:eastAsia="TimesNewRomanPSMT" w:hAnsi="Times New Roman" w:cs="TimesNewRomanPSMT"/>
          <w:color w:val="000000"/>
        </w:rPr>
        <w:t xml:space="preserve">Maps of Allelic richness, observed and expected heterozygosity, and private alleles, using A) microsatellite and </w:t>
      </w:r>
      <w:r w:rsidR="004E3800">
        <w:rPr>
          <w:rFonts w:ascii="Times New Roman" w:eastAsia="TimesNewRomanPSMT" w:hAnsi="Times New Roman" w:cs="TimesNewRomanPSMT"/>
          <w:color w:val="000000"/>
        </w:rPr>
        <w:t>B</w:t>
      </w:r>
      <w:r>
        <w:rPr>
          <w:rFonts w:ascii="Times New Roman" w:eastAsia="TimesNewRomanPSMT" w:hAnsi="Times New Roman" w:cs="TimesNewRomanPSMT"/>
          <w:color w:val="000000"/>
        </w:rPr>
        <w:t>) ddRAD-seq data. Loc</w:t>
      </w:r>
      <w:r w:rsidR="00E2770F">
        <w:rPr>
          <w:rFonts w:ascii="Times New Roman" w:eastAsia="TimesNewRomanPSMT" w:hAnsi="Times New Roman" w:cs="TimesNewRomanPSMT"/>
          <w:color w:val="000000"/>
        </w:rPr>
        <w:t>a</w:t>
      </w:r>
      <w:r>
        <w:rPr>
          <w:rFonts w:ascii="Times New Roman" w:eastAsia="TimesNewRomanPSMT" w:hAnsi="Times New Roman" w:cs="TimesNewRomanPSMT"/>
          <w:color w:val="000000"/>
        </w:rPr>
        <w:t xml:space="preserve">lities are numbered matching Table 1, colours represent variation in metrics across localities (legends inset for each panel). </w:t>
      </w:r>
    </w:p>
    <w:p w:rsidR="00F520AD" w:rsidRDefault="00F520AD">
      <w:pPr>
        <w:widowControl/>
        <w:spacing w:line="276" w:lineRule="auto"/>
        <w:rPr>
          <w:rFonts w:ascii="Times New Roman" w:hAnsi="Times New Roman"/>
        </w:rPr>
      </w:pPr>
    </w:p>
    <w:p w:rsidR="00F520AD" w:rsidRDefault="00F520AD">
      <w:pPr>
        <w:widowControl/>
        <w:spacing w:line="276" w:lineRule="auto"/>
        <w:rPr>
          <w:rFonts w:ascii="Times New Roman" w:hAnsi="Times New Roman"/>
        </w:rPr>
      </w:pPr>
    </w:p>
    <w:p w:rsidR="00F520AD" w:rsidRDefault="00883626">
      <w:pPr>
        <w:widowControl/>
        <w:spacing w:line="480" w:lineRule="auto"/>
        <w:rPr>
          <w:rFonts w:ascii="Times New Roman" w:eastAsia="TimesNewRomanPSMT" w:hAnsi="Times New Roman" w:cs="TimesNewRomanPSMT"/>
          <w:color w:val="000000"/>
        </w:rPr>
      </w:pPr>
      <w:r>
        <w:rPr>
          <w:noProof/>
        </w:rPr>
        <w:drawing>
          <wp:inline distT="0" distB="0" distL="0" distR="0">
            <wp:extent cx="4926965" cy="5441315"/>
            <wp:effectExtent l="0" t="0" r="0" b="0"/>
            <wp:docPr id="4" name="Objec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ject3"/>
                    <pic:cNvPicPr>
                      <a:picLocks noChangeAspect="1" noChangeArrowheads="1"/>
                    </pic:cNvPicPr>
                  </pic:nvPicPr>
                  <pic:blipFill>
                    <a:blip r:embed="rId11"/>
                    <a:srcRect l="231" t="7905" r="38481" b="53223"/>
                    <a:stretch>
                      <a:fillRect/>
                    </a:stretch>
                  </pic:blipFill>
                  <pic:spPr bwMode="auto">
                    <a:xfrm>
                      <a:off x="0" y="0"/>
                      <a:ext cx="4926965" cy="5441315"/>
                    </a:xfrm>
                    <a:prstGeom prst="rect">
                      <a:avLst/>
                    </a:prstGeom>
                  </pic:spPr>
                </pic:pic>
              </a:graphicData>
            </a:graphic>
          </wp:inline>
        </w:drawing>
      </w:r>
    </w:p>
    <w:p w:rsidR="00F520AD" w:rsidRDefault="00883626">
      <w:pPr>
        <w:widowControl/>
        <w:spacing w:line="276" w:lineRule="auto"/>
        <w:rPr>
          <w:rFonts w:ascii="Times New Roman" w:hAnsi="Times New Roman"/>
        </w:rPr>
      </w:pPr>
      <w:r>
        <w:rPr>
          <w:rFonts w:ascii="Times New Roman" w:eastAsia="TimesNewRomanPS-BoldMT" w:hAnsi="Times New Roman" w:cs="TimesNewRomanPS-BoldMT"/>
          <w:b/>
          <w:bCs/>
          <w:color w:val="000000"/>
        </w:rPr>
        <w:t>Fig. S4.</w:t>
      </w:r>
      <w:r>
        <w:rPr>
          <w:rFonts w:ascii="Times New Roman" w:eastAsia="TimesNewRomanPSMT" w:hAnsi="Times New Roman" w:cs="TimesNewRomanPSMT"/>
          <w:color w:val="000000"/>
        </w:rPr>
        <w:t xml:space="preserve"> Population assignment for k between 1 and 6 using A) microsatellites, B) ddRAD-seq data. Numbers of localities matc</w:t>
      </w:r>
      <w:r>
        <w:rPr>
          <w:rFonts w:ascii="Times New Roman" w:eastAsia="TimesNewRomanPSMT" w:hAnsi="Times New Roman" w:cs="TimesNewRomanPSMT"/>
          <w:color w:val="000000"/>
        </w:rPr>
        <w:t>h Table 1 in the main manuscript.</w:t>
      </w:r>
    </w:p>
    <w:p w:rsidR="00F520AD" w:rsidRDefault="00F520AD">
      <w:pPr>
        <w:widowControl/>
        <w:spacing w:line="480" w:lineRule="auto"/>
        <w:rPr>
          <w:rFonts w:ascii="Times New Roman" w:hAnsi="Times New Roman"/>
        </w:rPr>
      </w:pPr>
    </w:p>
    <w:p w:rsidR="00F520AD" w:rsidRDefault="00F520AD">
      <w:pPr>
        <w:widowControl/>
        <w:spacing w:line="276" w:lineRule="auto"/>
        <w:rPr>
          <w:rFonts w:ascii="Times New Roman" w:hAnsi="Times New Roman"/>
        </w:rPr>
      </w:pPr>
    </w:p>
    <w:p w:rsidR="00F520AD" w:rsidRDefault="00883626">
      <w:pPr>
        <w:widowControl/>
        <w:spacing w:line="480" w:lineRule="auto"/>
        <w:rPr>
          <w:rFonts w:ascii="Times New Roman" w:eastAsia="TimesNewRomanPSMT" w:hAnsi="Times New Roman" w:cs="TimesNewRomanPSMT"/>
          <w:color w:val="000000"/>
        </w:rPr>
      </w:pPr>
      <w:r>
        <w:rPr>
          <w:noProof/>
        </w:rPr>
        <w:drawing>
          <wp:inline distT="0" distB="0" distL="0" distR="0">
            <wp:extent cx="5731510" cy="2755900"/>
            <wp:effectExtent l="0" t="0" r="0" b="0"/>
            <wp:docPr id="5" name="Objec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ject4"/>
                    <pic:cNvPicPr>
                      <a:picLocks noChangeAspect="1" noChangeArrowheads="1"/>
                    </pic:cNvPicPr>
                  </pic:nvPicPr>
                  <pic:blipFill>
                    <a:blip r:embed="rId12"/>
                    <a:stretch>
                      <a:fillRect/>
                    </a:stretch>
                  </pic:blipFill>
                  <pic:spPr bwMode="auto">
                    <a:xfrm>
                      <a:off x="0" y="0"/>
                      <a:ext cx="5731510" cy="2755900"/>
                    </a:xfrm>
                    <a:prstGeom prst="rect">
                      <a:avLst/>
                    </a:prstGeom>
                  </pic:spPr>
                </pic:pic>
              </a:graphicData>
            </a:graphic>
          </wp:inline>
        </w:drawing>
      </w:r>
    </w:p>
    <w:p w:rsidR="00F520AD" w:rsidRDefault="00883626">
      <w:pPr>
        <w:widowControl/>
        <w:spacing w:line="276" w:lineRule="auto"/>
        <w:rPr>
          <w:rFonts w:ascii="Times New Roman" w:hAnsi="Times New Roman"/>
        </w:rPr>
      </w:pPr>
      <w:r>
        <w:rPr>
          <w:rFonts w:ascii="Times New Roman" w:eastAsia="TimesNewRomanPS-BoldMT" w:hAnsi="Times New Roman" w:cs="TimesNewRomanPS-BoldMT"/>
          <w:b/>
          <w:bCs/>
          <w:color w:val="000000"/>
        </w:rPr>
        <w:t xml:space="preserve">Fig. S5. </w:t>
      </w:r>
      <w:r>
        <w:rPr>
          <w:rFonts w:ascii="Times New Roman" w:eastAsia="TimesNewRomanPSMT" w:hAnsi="Times New Roman" w:cs="TimesNewRomanPSMT"/>
          <w:color w:val="000000"/>
        </w:rPr>
        <w:t xml:space="preserve">Discriminant Analysis of Principal Components based on A) microsatellites (467 individuals) and B) ddRAD-seq data (70 individuals). Population clusters coloured to match Fig. 3 in main text, Inset panels show </w:t>
      </w:r>
      <w:r>
        <w:rPr>
          <w:rFonts w:ascii="Times New Roman" w:eastAsia="TimesNewRomanPSMT" w:hAnsi="Times New Roman" w:cs="TimesNewRomanPSMT"/>
          <w:color w:val="000000"/>
        </w:rPr>
        <w:t>Bayesian Information Criterion (BIC) values for number of population clusters (k=1-6) and eigenvalues for each discriminant function retained in the DAPC.</w:t>
      </w: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MT" w:hAnsi="Times New Roman" w:cs="TimesNewRomanPSMT"/>
          <w:color w:val="000000"/>
        </w:rPr>
      </w:pPr>
      <w:r>
        <w:rPr>
          <w:noProof/>
        </w:rPr>
        <w:drawing>
          <wp:inline distT="0" distB="0" distL="0" distR="0">
            <wp:extent cx="5431790" cy="7579360"/>
            <wp:effectExtent l="0" t="0" r="0" b="0"/>
            <wp:docPr id="6" name="Objec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ject5"/>
                    <pic:cNvPicPr>
                      <a:picLocks noChangeAspect="1" noChangeArrowheads="1"/>
                    </pic:cNvPicPr>
                  </pic:nvPicPr>
                  <pic:blipFill>
                    <a:blip r:embed="rId13"/>
                    <a:stretch>
                      <a:fillRect/>
                    </a:stretch>
                  </pic:blipFill>
                  <pic:spPr bwMode="auto">
                    <a:xfrm>
                      <a:off x="0" y="0"/>
                      <a:ext cx="5431790" cy="7579360"/>
                    </a:xfrm>
                    <a:prstGeom prst="rect">
                      <a:avLst/>
                    </a:prstGeom>
                  </pic:spPr>
                </pic:pic>
              </a:graphicData>
            </a:graphic>
          </wp:inline>
        </w:drawing>
      </w:r>
    </w:p>
    <w:p w:rsidR="00F520AD" w:rsidRDefault="00883626">
      <w:pPr>
        <w:widowControl/>
        <w:spacing w:line="276" w:lineRule="auto"/>
        <w:rPr>
          <w:rFonts w:ascii="Times New Roman" w:hAnsi="Times New Roman"/>
        </w:rPr>
      </w:pPr>
      <w:r>
        <w:rPr>
          <w:rFonts w:ascii="Times New Roman" w:eastAsia="TimesNewRomanPS-BoldMT" w:hAnsi="Times New Roman" w:cs="TimesNewRomanPS-BoldMT"/>
          <w:b/>
          <w:bCs/>
          <w:color w:val="000000"/>
        </w:rPr>
        <w:t>Fig. S6.</w:t>
      </w:r>
      <w:r>
        <w:rPr>
          <w:rFonts w:ascii="Times New Roman" w:eastAsia="TimesNewRomanPSMT" w:hAnsi="Times New Roman" w:cs="TimesNewRomanPSMT"/>
          <w:color w:val="000000"/>
        </w:rPr>
        <w:t xml:space="preserve"> A) RDA plot of population clusters in ordination space and their clustering relative to t</w:t>
      </w:r>
      <w:r>
        <w:rPr>
          <w:rFonts w:ascii="Times New Roman" w:eastAsia="TimesNewRomanPSMT" w:hAnsi="Times New Roman" w:cs="TimesNewRomanPSMT"/>
          <w:color w:val="000000"/>
        </w:rPr>
        <w:t xml:space="preserve">he environmental predictors used. k=6 is plotted to demonstrate that four populations is a reasonable assumption. B) SNPs identified as potentially under selection with a SD&gt;2.5 from the mean loadings of the RDA relative to the environmental predictors. </w:t>
      </w:r>
    </w:p>
    <w:p w:rsidR="00F520AD" w:rsidRDefault="00F520AD">
      <w:pPr>
        <w:widowControl/>
        <w:spacing w:line="480" w:lineRule="auto"/>
        <w:rPr>
          <w:rFonts w:ascii="Times New Roman" w:hAnsi="Times New Roman"/>
        </w:rPr>
      </w:pPr>
    </w:p>
    <w:p w:rsidR="00F520AD" w:rsidRDefault="00883626">
      <w:pPr>
        <w:widowControl/>
        <w:spacing w:line="480" w:lineRule="auto"/>
        <w:rPr>
          <w:rFonts w:ascii="Times New Roman" w:eastAsia="TimesNewRomanPS-BoldMT" w:hAnsi="Times New Roman" w:cs="TimesNewRomanPS-BoldMT"/>
          <w:b/>
          <w:bCs/>
          <w:color w:val="000000"/>
        </w:rPr>
      </w:pPr>
      <w:r>
        <w:rPr>
          <w:noProof/>
        </w:rPr>
        <w:drawing>
          <wp:inline distT="0" distB="0" distL="0" distR="0">
            <wp:extent cx="5724525" cy="4663440"/>
            <wp:effectExtent l="0" t="0" r="0" b="0"/>
            <wp:docPr id="7" name="Objec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ject6"/>
                    <pic:cNvPicPr>
                      <a:picLocks noChangeAspect="1" noChangeArrowheads="1"/>
                    </pic:cNvPicPr>
                  </pic:nvPicPr>
                  <pic:blipFill>
                    <a:blip r:embed="rId14"/>
                    <a:stretch>
                      <a:fillRect/>
                    </a:stretch>
                  </pic:blipFill>
                  <pic:spPr bwMode="auto">
                    <a:xfrm>
                      <a:off x="0" y="0"/>
                      <a:ext cx="5724525" cy="4663440"/>
                    </a:xfrm>
                    <a:prstGeom prst="rect">
                      <a:avLst/>
                    </a:prstGeom>
                  </pic:spPr>
                </pic:pic>
              </a:graphicData>
            </a:graphic>
          </wp:inline>
        </w:drawing>
      </w:r>
    </w:p>
    <w:p w:rsidR="00F520AD" w:rsidRDefault="00883626">
      <w:pPr>
        <w:widowControl/>
        <w:spacing w:line="276" w:lineRule="auto"/>
        <w:rPr>
          <w:rFonts w:ascii="Times New Roman" w:hAnsi="Times New Roman"/>
        </w:rPr>
      </w:pPr>
      <w:r>
        <w:rPr>
          <w:rFonts w:ascii="Times New Roman" w:eastAsia="TimesNewRomanPS-BoldMT" w:hAnsi="Times New Roman" w:cs="TimesNewRomanPS-BoldMT"/>
          <w:b/>
          <w:bCs/>
          <w:color w:val="000000"/>
        </w:rPr>
        <w:t>Fig. S7.</w:t>
      </w:r>
      <w:r>
        <w:rPr>
          <w:rFonts w:ascii="Times New Roman" w:eastAsia="TimesNewRomanPSMT" w:hAnsi="Times New Roman" w:cs="TimesNewRomanPSMT"/>
          <w:color w:val="000000"/>
        </w:rPr>
        <w:t xml:space="preserve"> Spatial variation of the four predictors used in our Genotype-Environment Association Analyses. Sampling localities for </w:t>
      </w:r>
      <w:r>
        <w:rPr>
          <w:rFonts w:ascii="Times New Roman" w:eastAsia="TimesNewRomanPS-ItalicMT" w:hAnsi="Times New Roman" w:cs="TimesNewRomanPS-ItalicMT"/>
          <w:i/>
          <w:iCs/>
          <w:color w:val="000000"/>
        </w:rPr>
        <w:t xml:space="preserve">Alytes obstetricans </w:t>
      </w:r>
      <w:r>
        <w:rPr>
          <w:rFonts w:ascii="Times New Roman" w:eastAsia="TimesNewRomanPSMT" w:hAnsi="Times New Roman" w:cs="TimesNewRomanPSMT"/>
          <w:color w:val="000000"/>
        </w:rPr>
        <w:t xml:space="preserve">are represented by black dots. A) Maximum temperature of the warmest month (Bioclim_5), measured in </w:t>
      </w:r>
      <w:r>
        <w:rPr>
          <w:rFonts w:ascii="Times New Roman" w:eastAsia="TimesNewRomanPSMT" w:hAnsi="Times New Roman" w:cs="TimesNewRomanPSMT"/>
          <w:color w:val="000000"/>
          <w:vertAlign w:val="superscript"/>
        </w:rPr>
        <w:t>o</w:t>
      </w:r>
      <w:r>
        <w:rPr>
          <w:rFonts w:ascii="Times New Roman" w:eastAsia="TimesNewRomanPSMT" w:hAnsi="Times New Roman" w:cs="TimesNewRomanPSMT"/>
          <w:color w:val="000000"/>
        </w:rPr>
        <w:t>C. B</w:t>
      </w:r>
      <w:r>
        <w:rPr>
          <w:rFonts w:ascii="Times New Roman" w:eastAsia="TimesNewRomanPSMT" w:hAnsi="Times New Roman" w:cs="TimesNewRomanPSMT"/>
          <w:color w:val="000000"/>
        </w:rPr>
        <w:t>) Precipitation of the warmest quarter (Bioclim_18), measured in mm. C) Compound Topographic Index (CTI), measured as a ratio of upslope to slope angle). D) Terrain Roughness Index (TRI), measured as the change in metres elevation per pixel.</w:t>
      </w:r>
    </w:p>
    <w:p w:rsidR="00F520AD" w:rsidRDefault="00F520AD">
      <w:pPr>
        <w:widowControl/>
        <w:spacing w:line="276"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883626">
      <w:pPr>
        <w:widowControl/>
        <w:spacing w:line="276" w:lineRule="auto"/>
        <w:rPr>
          <w:rFonts w:hint="eastAsia"/>
        </w:rPr>
      </w:pPr>
      <w:r>
        <w:rPr>
          <w:rFonts w:ascii="Times New Roman" w:eastAsia="TimesNewRomanPS-BoldMT" w:hAnsi="Times New Roman" w:cs="TimesNewRomanPS-BoldMT"/>
          <w:b/>
          <w:bCs/>
          <w:color w:val="000000"/>
        </w:rPr>
        <w:t xml:space="preserve">Table </w:t>
      </w:r>
      <w:r>
        <w:rPr>
          <w:rFonts w:ascii="Times New Roman" w:eastAsia="TimesNewRomanPS-BoldMT" w:hAnsi="Times New Roman" w:cs="TimesNewRomanPS-BoldMT"/>
          <w:b/>
          <w:bCs/>
          <w:color w:val="000000"/>
        </w:rPr>
        <w:t>S1</w:t>
      </w:r>
      <w:r>
        <w:rPr>
          <w:rFonts w:ascii="Times New Roman" w:eastAsia="TimesNewRomanPSMT" w:hAnsi="Times New Roman" w:cs="TimesNewRomanPSMT"/>
          <w:color w:val="000000"/>
        </w:rPr>
        <w:t>. Pairwise genetic differentiation (F</w:t>
      </w:r>
      <w:r>
        <w:rPr>
          <w:rFonts w:ascii="Times New Roman" w:eastAsia="TimesNewRomanPSMT" w:hAnsi="Times New Roman" w:cs="TimesNewRomanPSMT"/>
          <w:color w:val="000000"/>
          <w:vertAlign w:val="subscript"/>
        </w:rPr>
        <w:t>ST</w:t>
      </w:r>
      <w:r>
        <w:rPr>
          <w:rFonts w:ascii="Times New Roman" w:eastAsia="TimesNewRomanPSMT" w:hAnsi="Times New Roman" w:cs="TimesNewRomanPSMT"/>
          <w:color w:val="000000"/>
        </w:rPr>
        <w:t>) between sampling localities calculated using Microsatellite and ddRAD-seq data. F</w:t>
      </w:r>
      <w:r>
        <w:rPr>
          <w:rFonts w:ascii="Times New Roman" w:eastAsia="TimesNewRomanPSMT" w:hAnsi="Times New Roman" w:cs="TimesNewRomanPSMT"/>
          <w:color w:val="000000"/>
          <w:vertAlign w:val="subscript"/>
        </w:rPr>
        <w:t xml:space="preserve">ST  </w:t>
      </w:r>
      <w:r>
        <w:rPr>
          <w:rFonts w:ascii="Times New Roman" w:eastAsia="TimesNewRomanPSMT" w:hAnsi="Times New Roman" w:cs="TimesNewRomanPSMT"/>
          <w:color w:val="000000"/>
        </w:rPr>
        <w:t>calculated using the approach of Weir and Cockerham (1984) to account for uneven sampling with an alpha significance level of 0.</w:t>
      </w:r>
      <w:r>
        <w:rPr>
          <w:rFonts w:ascii="Times New Roman" w:eastAsia="TimesNewRomanPSMT" w:hAnsi="Times New Roman" w:cs="TimesNewRomanPSMT"/>
          <w:color w:val="000000"/>
        </w:rPr>
        <w:t>05 based on 100 bootstrap replicates.</w:t>
      </w:r>
    </w:p>
    <w:p w:rsidR="00F520AD" w:rsidRDefault="00883626">
      <w:pPr>
        <w:widowControl/>
        <w:spacing w:line="480" w:lineRule="auto"/>
        <w:rPr>
          <w:rFonts w:ascii="Times New Roman" w:eastAsia="TimesNewRomanPSMT" w:hAnsi="Times New Roman" w:cs="TimesNewRomanPSMT"/>
          <w:color w:val="000000"/>
        </w:rPr>
      </w:pPr>
      <w:r>
        <w:rPr>
          <w:noProof/>
        </w:rPr>
        <w:drawing>
          <wp:inline distT="0" distB="0" distL="0" distR="0">
            <wp:extent cx="5731510" cy="4521200"/>
            <wp:effectExtent l="0" t="0" r="0" b="0"/>
            <wp:docPr id="8" name="Objec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ject7"/>
                    <pic:cNvPicPr>
                      <a:picLocks noChangeAspect="1" noChangeArrowheads="1"/>
                    </pic:cNvPicPr>
                  </pic:nvPicPr>
                  <pic:blipFill>
                    <a:blip r:embed="rId15"/>
                    <a:stretch>
                      <a:fillRect/>
                    </a:stretch>
                  </pic:blipFill>
                  <pic:spPr bwMode="auto">
                    <a:xfrm>
                      <a:off x="0" y="0"/>
                      <a:ext cx="5731510" cy="4521200"/>
                    </a:xfrm>
                    <a:prstGeom prst="rect">
                      <a:avLst/>
                    </a:prstGeom>
                  </pic:spPr>
                </pic:pic>
              </a:graphicData>
            </a:graphic>
          </wp:inline>
        </w:drawing>
      </w: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F520AD" w:rsidRDefault="00F520AD">
      <w:pPr>
        <w:widowControl/>
        <w:spacing w:line="480" w:lineRule="auto"/>
        <w:rPr>
          <w:rFonts w:ascii="Times New Roman" w:hAnsi="Times New Roman"/>
        </w:rPr>
      </w:pPr>
    </w:p>
    <w:p w:rsidR="004E3800" w:rsidRDefault="004E3800">
      <w:pPr>
        <w:widowControl/>
        <w:spacing w:line="480" w:lineRule="auto"/>
        <w:rPr>
          <w:rFonts w:ascii="Times New Roman" w:hAnsi="Times New Roman"/>
        </w:rPr>
      </w:pPr>
    </w:p>
    <w:p w:rsidR="004E3800" w:rsidRDefault="004E3800">
      <w:pPr>
        <w:widowControl/>
        <w:spacing w:line="480" w:lineRule="auto"/>
        <w:rPr>
          <w:rFonts w:ascii="Times New Roman" w:hAnsi="Times New Roman"/>
        </w:rPr>
      </w:pPr>
    </w:p>
    <w:p w:rsidR="004E3800" w:rsidRDefault="004E3800">
      <w:pPr>
        <w:widowControl/>
        <w:spacing w:line="480" w:lineRule="auto"/>
        <w:rPr>
          <w:rFonts w:ascii="Times New Roman" w:hAnsi="Times New Roman"/>
        </w:rPr>
      </w:pPr>
    </w:p>
    <w:p w:rsidR="00F520AD" w:rsidRDefault="00883626">
      <w:pPr>
        <w:widowControl/>
        <w:spacing w:line="480" w:lineRule="auto"/>
        <w:rPr>
          <w:rFonts w:ascii="Times New Roman" w:hAnsi="Times New Roman"/>
        </w:rPr>
      </w:pPr>
      <w:r>
        <w:rPr>
          <w:rFonts w:ascii="Times New Roman" w:eastAsia="TimesNewRomanPS-BoldMT" w:hAnsi="Times New Roman" w:cs="TimesNewRomanPS-BoldMT"/>
          <w:b/>
          <w:bCs/>
          <w:color w:val="000000"/>
        </w:rPr>
        <w:t>Table S2</w:t>
      </w:r>
      <w:r>
        <w:rPr>
          <w:rFonts w:ascii="Times New Roman" w:eastAsia="TimesNewRomanPSMT" w:hAnsi="Times New Roman" w:cs="TimesNewRomanPSMT"/>
          <w:color w:val="000000"/>
        </w:rPr>
        <w:t>. Genetic diversity estimates from ddRAD-seq data using both fixed and variant sites.</w:t>
      </w:r>
    </w:p>
    <w:tbl>
      <w:tblPr>
        <w:tblW w:w="7393" w:type="dxa"/>
        <w:jc w:val="center"/>
        <w:tblLayout w:type="fixed"/>
        <w:tblCellMar>
          <w:top w:w="80" w:type="dxa"/>
          <w:left w:w="80" w:type="dxa"/>
          <w:bottom w:w="80" w:type="dxa"/>
          <w:right w:w="80" w:type="dxa"/>
        </w:tblCellMar>
        <w:tblLook w:val="04A0" w:firstRow="1" w:lastRow="0" w:firstColumn="1" w:lastColumn="0" w:noHBand="0" w:noVBand="1"/>
      </w:tblPr>
      <w:tblGrid>
        <w:gridCol w:w="1964"/>
        <w:gridCol w:w="1351"/>
        <w:gridCol w:w="1183"/>
        <w:gridCol w:w="735"/>
        <w:gridCol w:w="1006"/>
        <w:gridCol w:w="1154"/>
      </w:tblGrid>
      <w:tr w:rsidR="00F520AD">
        <w:trPr>
          <w:trHeight w:hRule="exact" w:val="863"/>
          <w:jc w:val="center"/>
        </w:trPr>
        <w:tc>
          <w:tcPr>
            <w:tcW w:w="1963" w:type="dxa"/>
            <w:tcBorders>
              <w:top w:val="single" w:sz="8" w:space="0" w:color="000000"/>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BoldMT" w:hAnsi="Times New Roman" w:cs="TimesNewRomanPS-BoldMT"/>
                <w:b/>
                <w:bCs/>
                <w:color w:val="000000"/>
                <w:sz w:val="20"/>
                <w:szCs w:val="20"/>
              </w:rPr>
              <w:t>Sampling locality</w:t>
            </w:r>
          </w:p>
        </w:tc>
        <w:tc>
          <w:tcPr>
            <w:tcW w:w="1351" w:type="dxa"/>
            <w:tcBorders>
              <w:top w:val="single" w:sz="8" w:space="0" w:color="000000"/>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BoldMT" w:hAnsi="Times New Roman" w:cs="TimesNewRomanPS-BoldMT"/>
                <w:b/>
                <w:bCs/>
                <w:color w:val="000000"/>
                <w:sz w:val="20"/>
                <w:szCs w:val="20"/>
              </w:rPr>
              <w:t>Latitude</w:t>
            </w:r>
          </w:p>
        </w:tc>
        <w:tc>
          <w:tcPr>
            <w:tcW w:w="1183" w:type="dxa"/>
            <w:tcBorders>
              <w:top w:val="single" w:sz="8" w:space="0" w:color="000000"/>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BoldMT" w:hAnsi="Times New Roman" w:cs="TimesNewRomanPS-BoldMT"/>
                <w:b/>
                <w:bCs/>
                <w:color w:val="000000"/>
                <w:sz w:val="20"/>
                <w:szCs w:val="20"/>
              </w:rPr>
              <w:t>Longitude</w:t>
            </w:r>
          </w:p>
        </w:tc>
        <w:tc>
          <w:tcPr>
            <w:tcW w:w="735" w:type="dxa"/>
            <w:tcBorders>
              <w:top w:val="single" w:sz="8" w:space="0" w:color="000000"/>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BoldMT" w:hAnsi="Times New Roman" w:cs="TimesNewRomanPS-BoldMT"/>
                <w:b/>
                <w:bCs/>
                <w:color w:val="000000"/>
                <w:sz w:val="20"/>
                <w:szCs w:val="20"/>
              </w:rPr>
              <w:t>PA</w:t>
            </w:r>
          </w:p>
        </w:tc>
        <w:tc>
          <w:tcPr>
            <w:tcW w:w="1006" w:type="dxa"/>
            <w:tcBorders>
              <w:top w:val="single" w:sz="8" w:space="0" w:color="000000"/>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BoldMT" w:hAnsi="Times New Roman" w:cs="TimesNewRomanPS-BoldMT"/>
                <w:b/>
                <w:bCs/>
                <w:color w:val="000000"/>
                <w:sz w:val="20"/>
                <w:szCs w:val="20"/>
              </w:rPr>
              <w:t>Ho</w:t>
            </w:r>
          </w:p>
        </w:tc>
        <w:tc>
          <w:tcPr>
            <w:tcW w:w="1154" w:type="dxa"/>
            <w:tcBorders>
              <w:top w:val="single" w:sz="8" w:space="0" w:color="000000"/>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BoldMT" w:hAnsi="Times New Roman" w:cs="TimesNewRomanPS-BoldMT"/>
                <w:b/>
                <w:bCs/>
                <w:color w:val="000000"/>
                <w:sz w:val="20"/>
                <w:szCs w:val="20"/>
              </w:rPr>
              <w:t>He</w:t>
            </w:r>
          </w:p>
        </w:tc>
      </w:tr>
      <w:tr w:rsidR="00F520AD">
        <w:trPr>
          <w:trHeight w:hRule="exact" w:val="350"/>
          <w:jc w:val="center"/>
        </w:trPr>
        <w:tc>
          <w:tcPr>
            <w:tcW w:w="1963" w:type="dxa"/>
            <w:tcBorders>
              <w:top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Tuchtberg (25)</w:t>
            </w:r>
          </w:p>
        </w:tc>
        <w:tc>
          <w:tcPr>
            <w:tcW w:w="1351" w:type="dxa"/>
            <w:tcBorders>
              <w:top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51.954653</w:t>
            </w:r>
          </w:p>
        </w:tc>
        <w:tc>
          <w:tcPr>
            <w:tcW w:w="1183" w:type="dxa"/>
            <w:tcBorders>
              <w:top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9.592075</w:t>
            </w:r>
          </w:p>
        </w:tc>
        <w:tc>
          <w:tcPr>
            <w:tcW w:w="735" w:type="dxa"/>
            <w:tcBorders>
              <w:top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966</w:t>
            </w:r>
          </w:p>
        </w:tc>
        <w:tc>
          <w:tcPr>
            <w:tcW w:w="1006" w:type="dxa"/>
            <w:tcBorders>
              <w:top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0.00161</w:t>
            </w:r>
          </w:p>
        </w:tc>
        <w:tc>
          <w:tcPr>
            <w:tcW w:w="1154" w:type="dxa"/>
            <w:tcBorders>
              <w:top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0.00095</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Thueste (11)</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52.021861</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9.653794</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1146</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0.00171</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0.00104</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Wolfshagen (29)</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51.91185</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10.329069</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2291</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0.0016</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0.00085</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Salzhemmendorf (23)</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52.055406</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9.604947</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4403</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0.0012</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0.00062</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Stolberg (14)</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50.77247</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6.29052</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1970</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0.00173</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0.00106</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Helenenwiese (03)</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51.530744</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9.768711</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665</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0.00155</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0.00092</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Lutterhausen (08)</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51.660211</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9.835944</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299</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0.00141</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0.00078</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Obernkirchen (02)</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52.265169</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9.208136</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5020</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0.00156</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0.00091</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Oberstreu (33)</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50.410436</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10.251206</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8439</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0.00116</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0.00074</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Langenberg (28)</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51.901783</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10.504325</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1888</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0.00154</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0.00094</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Herzogenrath (20)</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50.82914</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6.10896</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3478</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0.00172</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0.00107</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Sickenberg (31)</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51.286983</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10.009067</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1878</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0.00171</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0.00108</w:t>
            </w:r>
          </w:p>
        </w:tc>
      </w:tr>
      <w:tr w:rsidR="00F520AD">
        <w:trPr>
          <w:trHeight w:hRule="exact" w:val="350"/>
          <w:jc w:val="center"/>
        </w:trPr>
        <w:tc>
          <w:tcPr>
            <w:tcW w:w="196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Bramburg (36)</w:t>
            </w:r>
          </w:p>
        </w:tc>
        <w:tc>
          <w:tcPr>
            <w:tcW w:w="1351"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51.604287</w:t>
            </w:r>
          </w:p>
        </w:tc>
        <w:tc>
          <w:tcPr>
            <w:tcW w:w="1183"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9.738438</w:t>
            </w:r>
          </w:p>
        </w:tc>
        <w:tc>
          <w:tcPr>
            <w:tcW w:w="735"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1661</w:t>
            </w:r>
          </w:p>
        </w:tc>
        <w:tc>
          <w:tcPr>
            <w:tcW w:w="1006"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0.00171</w:t>
            </w:r>
          </w:p>
        </w:tc>
        <w:tc>
          <w:tcPr>
            <w:tcW w:w="1154" w:type="dxa"/>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0.00113</w:t>
            </w:r>
          </w:p>
        </w:tc>
      </w:tr>
      <w:tr w:rsidR="00F520AD">
        <w:trPr>
          <w:trHeight w:hRule="exact" w:val="350"/>
          <w:jc w:val="center"/>
        </w:trPr>
        <w:tc>
          <w:tcPr>
            <w:tcW w:w="1963" w:type="dxa"/>
            <w:tcBorders>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Boneburg (37)</w:t>
            </w:r>
          </w:p>
        </w:tc>
        <w:tc>
          <w:tcPr>
            <w:tcW w:w="1351" w:type="dxa"/>
            <w:tcBorders>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51.662</w:t>
            </w:r>
          </w:p>
        </w:tc>
        <w:tc>
          <w:tcPr>
            <w:tcW w:w="1183" w:type="dxa"/>
            <w:tcBorders>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9.0289</w:t>
            </w:r>
          </w:p>
        </w:tc>
        <w:tc>
          <w:tcPr>
            <w:tcW w:w="735" w:type="dxa"/>
            <w:tcBorders>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3138</w:t>
            </w:r>
          </w:p>
        </w:tc>
        <w:tc>
          <w:tcPr>
            <w:tcW w:w="1006" w:type="dxa"/>
            <w:tcBorders>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0.00111</w:t>
            </w:r>
          </w:p>
        </w:tc>
        <w:tc>
          <w:tcPr>
            <w:tcW w:w="1154" w:type="dxa"/>
            <w:tcBorders>
              <w:bottom w:val="single" w:sz="8" w:space="0" w:color="000000"/>
            </w:tcBorders>
            <w:shd w:val="clear" w:color="auto" w:fill="FFFFFF"/>
            <w:vAlign w:val="bottom"/>
          </w:tcPr>
          <w:p w:rsidR="00F520AD" w:rsidRDefault="00883626">
            <w:pPr>
              <w:pStyle w:val="TableContents"/>
              <w:widowControl/>
              <w:spacing w:line="480" w:lineRule="auto"/>
              <w:rPr>
                <w:rFonts w:ascii="Times New Roman" w:hAnsi="Times New Roman"/>
              </w:rPr>
            </w:pPr>
            <w:r>
              <w:rPr>
                <w:rFonts w:ascii="Times New Roman" w:eastAsia="TimesNewRomanPSMT" w:hAnsi="Times New Roman" w:cs="TimesNewRomanPSMT"/>
                <w:color w:val="000000"/>
                <w:sz w:val="20"/>
                <w:szCs w:val="20"/>
              </w:rPr>
              <w:t>0.00056</w:t>
            </w:r>
          </w:p>
        </w:tc>
      </w:tr>
    </w:tbl>
    <w:p w:rsidR="00F520AD" w:rsidRDefault="00F520AD">
      <w:pPr>
        <w:widowControl/>
        <w:spacing w:line="480" w:lineRule="auto"/>
        <w:rPr>
          <w:rFonts w:eastAsia="Calibri" w:cs="Calibri"/>
          <w:color w:val="000000"/>
        </w:rPr>
      </w:pPr>
    </w:p>
    <w:p w:rsidR="00F520AD" w:rsidRDefault="00883626">
      <w:pPr>
        <w:widowControl/>
        <w:spacing w:line="480" w:lineRule="auto"/>
        <w:rPr>
          <w:rFonts w:ascii="Times New Roman" w:eastAsia="TimesNewRomanPS-BoldMT" w:hAnsi="Times New Roman" w:cs="TimesNewRomanPS-BoldMT"/>
          <w:b/>
          <w:bCs/>
          <w:color w:val="000000"/>
        </w:rPr>
      </w:pPr>
      <w:r>
        <w:rPr>
          <w:rFonts w:ascii="Times New Roman" w:eastAsia="TimesNewRomanPS-BoldMT" w:hAnsi="Times New Roman" w:cs="TimesNewRomanPS-BoldMT"/>
          <w:b/>
          <w:bCs/>
          <w:color w:val="000000"/>
        </w:rPr>
        <w:t>References</w:t>
      </w:r>
    </w:p>
    <w:p w:rsidR="00F520AD" w:rsidRDefault="00883626">
      <w:pPr>
        <w:widowControl/>
        <w:spacing w:line="480" w:lineRule="auto"/>
        <w:ind w:left="510" w:hanging="624"/>
        <w:rPr>
          <w:rFonts w:hint="eastAsia"/>
        </w:rPr>
      </w:pPr>
      <w:r>
        <w:rPr>
          <w:rFonts w:ascii="Times New Roman" w:eastAsia="TimesNewRomanPSMT" w:hAnsi="Times New Roman" w:cs="TimesNewRomanPSMT"/>
          <w:color w:val="000000"/>
        </w:rPr>
        <w:t xml:space="preserve">Gilbert, M. T. P., Haselkorn, T., Bunce, M., Sanchez, J. J., Lucas, S. B., Jewell, L. D., et al.  (2007). The Isolation of Nucleic Acids from Fixed, Paraffin-Embedded Tissues–Which Methods Are Useful When? PLOS ONE, 2(6), e537. </w:t>
      </w:r>
      <w:hyperlink r:id="rId16">
        <w:r>
          <w:rPr>
            <w:rStyle w:val="Hyperlink"/>
            <w:rFonts w:ascii="Times New Roman" w:hAnsi="Times New Roman"/>
          </w:rPr>
          <w:t>https://doi.org/10.1371/journal.pone.0000537</w:t>
        </w:r>
      </w:hyperlink>
    </w:p>
    <w:p w:rsidR="00F520AD" w:rsidRDefault="00883626">
      <w:pPr>
        <w:widowControl/>
        <w:spacing w:line="480" w:lineRule="auto"/>
        <w:ind w:left="510" w:hanging="510"/>
        <w:rPr>
          <w:rFonts w:hint="eastAsia"/>
        </w:rPr>
      </w:pPr>
      <w:r>
        <w:rPr>
          <w:rFonts w:ascii="Times New Roman" w:eastAsia="TimesNewRomanPSMT" w:hAnsi="Times New Roman" w:cs="TimesNewRomanPSMT"/>
          <w:color w:val="000000"/>
        </w:rPr>
        <w:t>Maia-Carvalho, B., Gonçalves, H., Martínez-Solano, I., Gutiérrez-Rodríguez, J., Lopes, S., et al. (2014). Intraspecific genetic variation in the common midwife toad (</w:t>
      </w:r>
      <w:r>
        <w:rPr>
          <w:rFonts w:ascii="Times New Roman" w:eastAsia="TimesNewRomanPSMT" w:hAnsi="Times New Roman" w:cs="TimesNewRomanPSMT"/>
          <w:i/>
          <w:iCs/>
          <w:color w:val="000000"/>
        </w:rPr>
        <w:t>Alytes ob</w:t>
      </w:r>
      <w:r>
        <w:rPr>
          <w:rFonts w:ascii="Times New Roman" w:eastAsia="TimesNewRomanPSMT" w:hAnsi="Times New Roman" w:cs="TimesNewRomanPSMT"/>
          <w:i/>
          <w:iCs/>
          <w:color w:val="000000"/>
        </w:rPr>
        <w:t>stetricans</w:t>
      </w:r>
      <w:r>
        <w:rPr>
          <w:rFonts w:ascii="Times New Roman" w:eastAsia="TimesNewRomanPSMT" w:hAnsi="Times New Roman" w:cs="TimesNewRomanPSMT"/>
          <w:color w:val="000000"/>
        </w:rPr>
        <w:t xml:space="preserve">): Subspecies assignment using mitochondrial and microsatellite markers. </w:t>
      </w:r>
      <w:r>
        <w:rPr>
          <w:rFonts w:ascii="Times New Roman" w:eastAsia="TimesNewRomanPSMT" w:hAnsi="Times New Roman" w:cs="TimesNewRomanPSMT"/>
          <w:i/>
          <w:iCs/>
          <w:color w:val="000000"/>
        </w:rPr>
        <w:t>Journal of Zoological Systematics and Evolutionary Research</w:t>
      </w:r>
      <w:r>
        <w:rPr>
          <w:rFonts w:ascii="Times New Roman" w:eastAsia="TimesNewRomanPSMT" w:hAnsi="Times New Roman" w:cs="TimesNewRomanPSMT"/>
          <w:color w:val="000000"/>
        </w:rPr>
        <w:t xml:space="preserve">, </w:t>
      </w:r>
      <w:r>
        <w:rPr>
          <w:rFonts w:ascii="Times New Roman" w:eastAsia="TimesNewRomanPSMT" w:hAnsi="Times New Roman" w:cs="TimesNewRomanPSMT"/>
          <w:i/>
          <w:iCs/>
          <w:color w:val="000000"/>
        </w:rPr>
        <w:t>52</w:t>
      </w:r>
      <w:r>
        <w:rPr>
          <w:rFonts w:ascii="Times New Roman" w:eastAsia="TimesNewRomanPSMT" w:hAnsi="Times New Roman" w:cs="TimesNewRomanPSMT"/>
          <w:color w:val="000000"/>
        </w:rPr>
        <w:t xml:space="preserve">(2), 170–175. </w:t>
      </w:r>
      <w:hyperlink r:id="rId17">
        <w:r>
          <w:rPr>
            <w:rStyle w:val="Hyperlink"/>
            <w:rFonts w:ascii="Times New Roman" w:hAnsi="Times New Roman"/>
          </w:rPr>
          <w:t>https://doi.org/10.1111/jzs.12048</w:t>
        </w:r>
      </w:hyperlink>
    </w:p>
    <w:p w:rsidR="00F520AD" w:rsidRDefault="00883626">
      <w:pPr>
        <w:widowControl/>
        <w:spacing w:line="480" w:lineRule="auto"/>
        <w:ind w:left="510" w:hanging="510"/>
        <w:rPr>
          <w:rFonts w:hint="eastAsia"/>
        </w:rPr>
      </w:pPr>
      <w:r>
        <w:rPr>
          <w:rFonts w:ascii="Times New Roman" w:eastAsia="TimesNewRomanPSMT" w:hAnsi="Times New Roman" w:cs="TimesNewRomanPSMT"/>
          <w:color w:val="000000"/>
        </w:rPr>
        <w:t xml:space="preserve">Tobler, </w:t>
      </w:r>
      <w:r>
        <w:rPr>
          <w:rFonts w:ascii="Times New Roman" w:eastAsia="TimesNewRomanPSMT" w:hAnsi="Times New Roman" w:cs="TimesNewRomanPSMT"/>
          <w:color w:val="000000"/>
        </w:rPr>
        <w:t>U., Garner, T. W. J., &amp; Schmidt, B. R. (2013). Genetic attributes of midwife toad (</w:t>
      </w:r>
      <w:r>
        <w:rPr>
          <w:rFonts w:ascii="Times New Roman" w:eastAsia="TimesNewRomanPSMT" w:hAnsi="Times New Roman" w:cs="TimesNewRomanPSMT"/>
          <w:i/>
          <w:iCs/>
          <w:color w:val="000000"/>
        </w:rPr>
        <w:t>Alytes obstetricans</w:t>
      </w:r>
      <w:r>
        <w:rPr>
          <w:rFonts w:ascii="Times New Roman" w:eastAsia="TimesNewRomanPSMT" w:hAnsi="Times New Roman" w:cs="TimesNewRomanPSMT"/>
          <w:color w:val="000000"/>
        </w:rPr>
        <w:t xml:space="preserve">) populations do not correlate with degree of species decline. </w:t>
      </w:r>
      <w:r>
        <w:rPr>
          <w:rFonts w:ascii="Times New Roman" w:eastAsia="TimesNewRomanPSMT" w:hAnsi="Times New Roman" w:cs="TimesNewRomanPSMT"/>
          <w:i/>
          <w:iCs/>
          <w:color w:val="000000"/>
        </w:rPr>
        <w:t>Ecology and Evolution</w:t>
      </w:r>
      <w:r>
        <w:rPr>
          <w:rFonts w:ascii="Times New Roman" w:eastAsia="TimesNewRomanPSMT" w:hAnsi="Times New Roman" w:cs="TimesNewRomanPSMT"/>
          <w:color w:val="000000"/>
        </w:rPr>
        <w:t xml:space="preserve">, </w:t>
      </w:r>
      <w:r>
        <w:rPr>
          <w:rFonts w:ascii="Times New Roman" w:eastAsia="TimesNewRomanPSMT" w:hAnsi="Times New Roman" w:cs="TimesNewRomanPSMT"/>
          <w:i/>
          <w:iCs/>
          <w:color w:val="000000"/>
        </w:rPr>
        <w:t>3</w:t>
      </w:r>
      <w:r>
        <w:rPr>
          <w:rFonts w:ascii="Times New Roman" w:eastAsia="TimesNewRomanPSMT" w:hAnsi="Times New Roman" w:cs="TimesNewRomanPSMT"/>
          <w:color w:val="000000"/>
        </w:rPr>
        <w:t xml:space="preserve">(9), 2806–2819. </w:t>
      </w:r>
      <w:hyperlink r:id="rId18">
        <w:r>
          <w:rPr>
            <w:rStyle w:val="Hyperlink"/>
            <w:rFonts w:ascii="Times New Roman" w:hAnsi="Times New Roman"/>
          </w:rPr>
          <w:t>https://doi.org/10.1002/ece3.677</w:t>
        </w:r>
      </w:hyperlink>
    </w:p>
    <w:p w:rsidR="00F520AD" w:rsidRDefault="00883626">
      <w:pPr>
        <w:widowControl/>
        <w:spacing w:line="480" w:lineRule="auto"/>
        <w:ind w:left="510" w:hanging="510"/>
        <w:rPr>
          <w:rFonts w:hint="eastAsia"/>
        </w:rPr>
      </w:pPr>
      <w:r>
        <w:rPr>
          <w:rFonts w:ascii="Times New Roman" w:eastAsia="TimesNewRomanPSMT" w:hAnsi="Times New Roman" w:cs="TimesNewRomanPSMT"/>
          <w:color w:val="000000"/>
        </w:rPr>
        <w:t>Truong, H. T., Ramos, A. M., Yalcin, F., de Ruiter, M., van der Poel, H. J. A., et al. (2012) Sequence-Based Genotyping for Marker Discovery and Co-Dominant Scoring in Germplasm and Populations. PLOS ONE 7(5): e37565. http</w:t>
      </w:r>
      <w:r>
        <w:rPr>
          <w:rFonts w:ascii="Times New Roman" w:eastAsia="TimesNewRomanPSMT" w:hAnsi="Times New Roman" w:cs="TimesNewRomanPSMT"/>
          <w:color w:val="000000"/>
        </w:rPr>
        <w:t>s://doi.org/10.1371/journal.pone.0037565</w:t>
      </w:r>
    </w:p>
    <w:sectPr w:rsidR="00F520AD">
      <w:headerReference w:type="even" r:id="rId19"/>
      <w:headerReference w:type="default" r:id="rId20"/>
      <w:headerReference w:type="first" r:id="rId21"/>
      <w:pgSz w:w="11906" w:h="16838"/>
      <w:pgMar w:top="1723" w:right="1440" w:bottom="1440" w:left="1440" w:header="1440" w:footer="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DE6" w:rsidRDefault="002D5DE6">
      <w:pPr>
        <w:rPr>
          <w:rFonts w:hint="eastAsia"/>
        </w:rPr>
      </w:pPr>
      <w:r>
        <w:separator/>
      </w:r>
    </w:p>
  </w:endnote>
  <w:endnote w:type="continuationSeparator" w:id="0">
    <w:p w:rsidR="002D5DE6" w:rsidRDefault="002D5DE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Arial Unicode MS"/>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40502020204"/>
    <w:charset w:val="4D"/>
    <w:family w:val="swiss"/>
    <w:pitch w:val="variable"/>
    <w:sig w:usb0="8100AAF7" w:usb1="0000807B" w:usb2="00000008" w:usb3="00000000" w:csb0="0000009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panose1 w:val="00000000000000000000"/>
    <w:charset w:val="00"/>
    <w:family w:val="roman"/>
    <w:notTrueType/>
    <w:pitch w:val="default"/>
  </w:font>
  <w:font w:name="TimesNewRomanPSMT">
    <w:altName w:val="Yu Gothic"/>
    <w:panose1 w:val="00000000000000000000"/>
    <w:charset w:val="80"/>
    <w:family w:val="auto"/>
    <w:notTrueType/>
    <w:pitch w:val="default"/>
    <w:sig w:usb0="00000003" w:usb1="08070000" w:usb2="00000010" w:usb3="00000000" w:csb0="0002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ArialMT">
    <w:altName w:val="Arial"/>
    <w:charset w:val="01"/>
    <w:family w:val="roman"/>
    <w:pitch w:val="variable"/>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DE6" w:rsidRDefault="002D5DE6">
      <w:pPr>
        <w:rPr>
          <w:rFonts w:hint="eastAsia"/>
        </w:rPr>
      </w:pPr>
      <w:r>
        <w:separator/>
      </w:r>
    </w:p>
  </w:footnote>
  <w:footnote w:type="continuationSeparator" w:id="0">
    <w:p w:rsidR="002D5DE6" w:rsidRDefault="002D5DE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20AD" w:rsidRDefault="00F520AD">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20AD" w:rsidRDefault="00883626">
    <w:pPr>
      <w:widowControl/>
      <w:spacing w:line="276" w:lineRule="auto"/>
      <w:jc w:val="right"/>
      <w:rPr>
        <w:rFonts w:ascii="ArialMT" w:eastAsia="ArialMT" w:hAnsi="ArialMT" w:cs="ArialMT"/>
        <w:color w:val="000000"/>
        <w:sz w:val="22"/>
        <w:szCs w:val="22"/>
      </w:rPr>
    </w:pPr>
    <w:r>
      <w:rPr>
        <w:rFonts w:ascii="ArialMT" w:eastAsia="ArialMT" w:hAnsi="ArialMT" w:cs="ArialMT"/>
        <w:color w:val="000000"/>
        <w:sz w:val="22"/>
        <w:szCs w:val="22"/>
      </w:rPr>
      <w:fldChar w:fldCharType="begin"/>
    </w:r>
    <w:r>
      <w:rPr>
        <w:rFonts w:ascii="ArialMT" w:eastAsia="ArialMT" w:hAnsi="ArialMT" w:cs="ArialMT"/>
        <w:color w:val="000000"/>
        <w:sz w:val="22"/>
        <w:szCs w:val="22"/>
      </w:rPr>
      <w:instrText xml:space="preserve"> PAGE </w:instrText>
    </w:r>
    <w:r>
      <w:rPr>
        <w:rFonts w:ascii="ArialMT" w:eastAsia="ArialMT" w:hAnsi="ArialMT" w:cs="ArialMT"/>
        <w:color w:val="000000"/>
        <w:sz w:val="22"/>
        <w:szCs w:val="22"/>
      </w:rPr>
      <w:fldChar w:fldCharType="separate"/>
    </w:r>
    <w:r>
      <w:rPr>
        <w:rFonts w:ascii="ArialMT" w:eastAsia="ArialMT" w:hAnsi="ArialMT" w:cs="ArialMT"/>
        <w:color w:val="000000"/>
        <w:sz w:val="22"/>
        <w:szCs w:val="22"/>
      </w:rPr>
      <w:t>14</w:t>
    </w:r>
    <w:r>
      <w:rPr>
        <w:rFonts w:ascii="ArialMT" w:eastAsia="ArialMT" w:hAnsi="ArialMT" w:cs="ArialMT"/>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20AD" w:rsidRDefault="00883626">
    <w:pPr>
      <w:widowControl/>
      <w:spacing w:line="276" w:lineRule="auto"/>
      <w:jc w:val="right"/>
      <w:rPr>
        <w:rFonts w:ascii="ArialMT" w:eastAsia="ArialMT" w:hAnsi="ArialMT" w:cs="ArialMT"/>
        <w:color w:val="000000"/>
        <w:sz w:val="22"/>
        <w:szCs w:val="22"/>
      </w:rPr>
    </w:pPr>
    <w:r>
      <w:rPr>
        <w:rFonts w:ascii="ArialMT" w:eastAsia="ArialMT" w:hAnsi="ArialMT" w:cs="ArialMT"/>
        <w:color w:val="000000"/>
        <w:sz w:val="22"/>
        <w:szCs w:val="22"/>
      </w:rPr>
      <w:fldChar w:fldCharType="begin"/>
    </w:r>
    <w:r>
      <w:rPr>
        <w:rFonts w:ascii="ArialMT" w:eastAsia="ArialMT" w:hAnsi="ArialMT" w:cs="ArialMT"/>
        <w:color w:val="000000"/>
        <w:sz w:val="22"/>
        <w:szCs w:val="22"/>
      </w:rPr>
      <w:instrText xml:space="preserve"> PAGE </w:instrText>
    </w:r>
    <w:r>
      <w:rPr>
        <w:rFonts w:ascii="ArialMT" w:eastAsia="ArialMT" w:hAnsi="ArialMT" w:cs="ArialMT"/>
        <w:color w:val="000000"/>
        <w:sz w:val="22"/>
        <w:szCs w:val="22"/>
      </w:rPr>
      <w:fldChar w:fldCharType="separate"/>
    </w:r>
    <w:r>
      <w:rPr>
        <w:rFonts w:ascii="ArialMT" w:eastAsia="ArialMT" w:hAnsi="ArialMT" w:cs="ArialMT"/>
        <w:color w:val="000000"/>
        <w:sz w:val="22"/>
        <w:szCs w:val="22"/>
      </w:rPr>
      <w:t>1</w:t>
    </w:r>
    <w:r>
      <w:rPr>
        <w:rFonts w:ascii="ArialMT" w:eastAsia="ArialMT" w:hAnsi="ArialMT" w:cs="ArialMT"/>
        <w:color w:val="000000"/>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A36F9"/>
    <w:multiLevelType w:val="multilevel"/>
    <w:tmpl w:val="3A22BABC"/>
    <w:lvl w:ilvl="0">
      <w:start w:val="1"/>
      <w:numFmt w:val="bullet"/>
      <w:lvlText w:val=""/>
      <w:lvlJc w:val="left"/>
      <w:pPr>
        <w:tabs>
          <w:tab w:val="num" w:pos="630"/>
        </w:tabs>
        <w:ind w:left="630" w:hanging="27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7A628A"/>
    <w:multiLevelType w:val="multilevel"/>
    <w:tmpl w:val="4A144990"/>
    <w:lvl w:ilvl="0">
      <w:start w:val="1"/>
      <w:numFmt w:val="bullet"/>
      <w:lvlText w:val=""/>
      <w:lvlJc w:val="left"/>
      <w:pPr>
        <w:tabs>
          <w:tab w:val="num" w:pos="630"/>
        </w:tabs>
        <w:ind w:left="630" w:hanging="27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0CF53A3"/>
    <w:multiLevelType w:val="multilevel"/>
    <w:tmpl w:val="C76C07AE"/>
    <w:lvl w:ilvl="0">
      <w:start w:val="1"/>
      <w:numFmt w:val="bullet"/>
      <w:lvlText w:val=""/>
      <w:lvlJc w:val="left"/>
      <w:pPr>
        <w:tabs>
          <w:tab w:val="num" w:pos="630"/>
        </w:tabs>
        <w:ind w:left="630" w:hanging="27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F282C55"/>
    <w:multiLevelType w:val="multilevel"/>
    <w:tmpl w:val="C98E02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78D3597"/>
    <w:multiLevelType w:val="multilevel"/>
    <w:tmpl w:val="2A148C82"/>
    <w:lvl w:ilvl="0">
      <w:start w:val="1"/>
      <w:numFmt w:val="bullet"/>
      <w:lvlText w:val=""/>
      <w:lvlJc w:val="left"/>
      <w:pPr>
        <w:tabs>
          <w:tab w:val="num" w:pos="630"/>
        </w:tabs>
        <w:ind w:left="630" w:hanging="27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9303C9D"/>
    <w:multiLevelType w:val="multilevel"/>
    <w:tmpl w:val="3D1CCA7A"/>
    <w:lvl w:ilvl="0">
      <w:start w:val="1"/>
      <w:numFmt w:val="bullet"/>
      <w:lvlText w:val=""/>
      <w:lvlJc w:val="left"/>
      <w:pPr>
        <w:tabs>
          <w:tab w:val="num" w:pos="630"/>
        </w:tabs>
        <w:ind w:left="630" w:hanging="27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23025CD"/>
    <w:multiLevelType w:val="multilevel"/>
    <w:tmpl w:val="A454BC0E"/>
    <w:lvl w:ilvl="0">
      <w:start w:val="1"/>
      <w:numFmt w:val="bullet"/>
      <w:lvlText w:val=""/>
      <w:lvlJc w:val="left"/>
      <w:pPr>
        <w:tabs>
          <w:tab w:val="num" w:pos="630"/>
        </w:tabs>
        <w:ind w:left="630" w:hanging="27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0AD"/>
    <w:rsid w:val="00261277"/>
    <w:rsid w:val="002D5DE6"/>
    <w:rsid w:val="004E3800"/>
    <w:rsid w:val="00631176"/>
    <w:rsid w:val="00883626"/>
    <w:rsid w:val="00B2285C"/>
    <w:rsid w:val="00E2770F"/>
    <w:rsid w:val="00F520A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D71365-7301-E147-AFA9-777A716FF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kern w:val="2"/>
        <w:sz w:val="24"/>
        <w:szCs w:val="24"/>
        <w:lang w:val="en-GB"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customStyle="1" w:styleId="BulletSymbols">
    <w:name w:val="Bullet_Symbols"/>
    <w:qFormat/>
  </w:style>
  <w:style w:type="character" w:styleId="Hyperlink">
    <w:name w:val="Hyperlink"/>
    <w:rPr>
      <w:color w:val="000080"/>
      <w:u w:val="singl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PingFang SC"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Normal"/>
    <w:qFormat/>
  </w:style>
  <w:style w:type="paragraph" w:customStyle="1" w:styleId="Index">
    <w:name w:val="Index"/>
    <w:basedOn w:val="Normal"/>
    <w:qFormat/>
  </w:style>
  <w:style w:type="paragraph" w:customStyle="1" w:styleId="TextBody">
    <w:name w:val="Text Body"/>
    <w:basedOn w:val="Normal"/>
    <w:qFormat/>
  </w:style>
  <w:style w:type="paragraph" w:customStyle="1" w:styleId="TableContents">
    <w:name w:val="Table Contents"/>
    <w:basedOn w:val="TextBody"/>
    <w:qFormat/>
  </w:style>
  <w:style w:type="paragraph" w:customStyle="1" w:styleId="TableHeading">
    <w:name w:val="Table Heading"/>
    <w:basedOn w:val="TableContents"/>
    <w:qFormat/>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FootnoteText">
    <w:name w:val="footnote text"/>
    <w:basedOn w:val="Normal"/>
  </w:style>
  <w:style w:type="paragraph" w:styleId="EndnoteText">
    <w:name w:val="endnote text"/>
    <w:basedOn w:val="Normal"/>
  </w:style>
  <w:style w:type="paragraph" w:customStyle="1" w:styleId="normal1">
    <w:name w:val="normal1"/>
    <w:rsid w:val="00261277"/>
    <w:pPr>
      <w:autoSpaceDN w:val="0"/>
      <w:spacing w:line="276" w:lineRule="auto"/>
      <w:textAlignment w:val="baseline"/>
    </w:pPr>
    <w:rPr>
      <w:rFonts w:ascii="Arial" w:eastAsia="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002/ece3.677"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www.genomesize.com/" TargetMode="External"/><Relationship Id="rId12" Type="http://schemas.openxmlformats.org/officeDocument/2006/relationships/image" Target="media/image5.png"/><Relationship Id="rId17" Type="http://schemas.openxmlformats.org/officeDocument/2006/relationships/hyperlink" Target="https://doi.org/10.1111/jzs.12048" TargetMode="External"/><Relationship Id="rId2" Type="http://schemas.openxmlformats.org/officeDocument/2006/relationships/styles" Target="styles.xml"/><Relationship Id="rId16" Type="http://schemas.openxmlformats.org/officeDocument/2006/relationships/hyperlink" Target="https://doi.org/10.1371/journal.pone.0000537"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1677</Words>
  <Characters>9564</Characters>
  <Application>Microsoft Office Word</Application>
  <DocSecurity>4</DocSecurity>
  <Lines>79</Lines>
  <Paragraphs>22</Paragraphs>
  <ScaleCrop>false</ScaleCrop>
  <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Renske Onstein</dc:creator>
  <dc:description/>
  <cp:lastModifiedBy>Rakhi Pal</cp:lastModifiedBy>
  <cp:revision>2</cp:revision>
  <dcterms:created xsi:type="dcterms:W3CDTF">2024-09-01T04:50:00Z</dcterms:created>
  <dcterms:modified xsi:type="dcterms:W3CDTF">2024-09-01T04:50:00Z</dcterms:modified>
  <dc:language>en-GB</dc:language>
</cp:coreProperties>
</file>