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38D" w:rsidRPr="00533EF6" w:rsidRDefault="0089238D" w:rsidP="0089238D">
      <w:pPr>
        <w:rPr>
          <w:rFonts w:ascii="Arial" w:hAnsi="Arial" w:cs="Arial"/>
          <w:b/>
          <w:sz w:val="28"/>
          <w:szCs w:val="28"/>
        </w:rPr>
      </w:pPr>
      <w:r w:rsidRPr="00533EF6">
        <w:rPr>
          <w:rFonts w:ascii="Arial" w:hAnsi="Arial" w:cs="Arial"/>
          <w:b/>
          <w:sz w:val="28"/>
          <w:szCs w:val="28"/>
        </w:rPr>
        <w:t xml:space="preserve">Ten novel insertion/deletion variants in </w:t>
      </w:r>
      <w:r w:rsidRPr="00533EF6">
        <w:rPr>
          <w:rFonts w:ascii="Arial" w:hAnsi="Arial" w:cs="Arial"/>
          <w:b/>
          <w:i/>
          <w:sz w:val="28"/>
          <w:szCs w:val="28"/>
        </w:rPr>
        <w:t>MECP2</w:t>
      </w:r>
      <w:r w:rsidRPr="00533EF6">
        <w:rPr>
          <w:rFonts w:ascii="Arial" w:hAnsi="Arial" w:cs="Arial"/>
          <w:b/>
          <w:sz w:val="28"/>
          <w:szCs w:val="28"/>
        </w:rPr>
        <w:t xml:space="preserve"> identified in Japanese patients with Rett syndrome</w:t>
      </w:r>
    </w:p>
    <w:p w:rsidR="0089238D" w:rsidRPr="00533EF6" w:rsidRDefault="0089238D" w:rsidP="0089238D">
      <w:pPr>
        <w:rPr>
          <w:rFonts w:ascii="Arial" w:hAnsi="Arial" w:cs="Arial"/>
          <w:b/>
          <w:sz w:val="24"/>
          <w:szCs w:val="24"/>
        </w:rPr>
      </w:pPr>
    </w:p>
    <w:p w:rsidR="0089238D" w:rsidRPr="00533EF6" w:rsidRDefault="0089238D" w:rsidP="0089238D">
      <w:pPr>
        <w:rPr>
          <w:rFonts w:ascii="Arial" w:hAnsi="Arial" w:cs="Arial"/>
          <w:sz w:val="24"/>
          <w:szCs w:val="24"/>
        </w:rPr>
      </w:pPr>
    </w:p>
    <w:p w:rsidR="0089238D" w:rsidRPr="00533EF6" w:rsidRDefault="0089238D" w:rsidP="0089238D">
      <w:pPr>
        <w:rPr>
          <w:rFonts w:ascii="Arial" w:hAnsi="Arial" w:cs="Arial"/>
          <w:sz w:val="24"/>
          <w:szCs w:val="24"/>
        </w:rPr>
      </w:pPr>
      <w:proofErr w:type="spellStart"/>
      <w:r w:rsidRPr="00533EF6">
        <w:rPr>
          <w:rFonts w:ascii="Arial" w:hAnsi="Arial" w:cs="Arial"/>
          <w:sz w:val="24"/>
          <w:szCs w:val="24"/>
        </w:rPr>
        <w:t>Eri</w:t>
      </w:r>
      <w:proofErr w:type="spellEnd"/>
      <w:r w:rsidRPr="00533EF6">
        <w:rPr>
          <w:rFonts w:ascii="Arial" w:hAnsi="Arial" w:cs="Arial"/>
          <w:sz w:val="24"/>
          <w:szCs w:val="24"/>
        </w:rPr>
        <w:t xml:space="preserve"> Takeshita</w:t>
      </w:r>
      <w:r w:rsidRPr="00533EF6">
        <w:rPr>
          <w:rFonts w:ascii="Arial" w:hAnsi="Arial" w:cs="Arial"/>
          <w:sz w:val="24"/>
          <w:szCs w:val="24"/>
          <w:vertAlign w:val="superscript"/>
        </w:rPr>
        <w:t>1</w:t>
      </w:r>
      <w:r w:rsidRPr="00533EF6">
        <w:rPr>
          <w:rFonts w:ascii="Arial" w:hAnsi="Arial" w:cs="Arial"/>
          <w:sz w:val="24"/>
          <w:szCs w:val="24"/>
        </w:rPr>
        <w:t>,</w:t>
      </w:r>
      <w:r w:rsidRPr="00533EF6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33EF6">
        <w:rPr>
          <w:rFonts w:ascii="Arial" w:hAnsi="Arial" w:cs="Arial"/>
          <w:sz w:val="24"/>
          <w:szCs w:val="24"/>
        </w:rPr>
        <w:t>Aritoshi</w:t>
      </w:r>
      <w:proofErr w:type="spellEnd"/>
      <w:r w:rsidRPr="00533EF6">
        <w:rPr>
          <w:rFonts w:ascii="Arial" w:hAnsi="Arial" w:cs="Arial"/>
          <w:sz w:val="24"/>
          <w:szCs w:val="24"/>
        </w:rPr>
        <w:t xml:space="preserve"> Iida</w:t>
      </w:r>
      <w:r w:rsidRPr="00533EF6">
        <w:rPr>
          <w:rFonts w:ascii="Arial" w:hAnsi="Arial" w:cs="Arial"/>
          <w:sz w:val="24"/>
          <w:szCs w:val="24"/>
          <w:vertAlign w:val="superscript"/>
        </w:rPr>
        <w:t>2</w:t>
      </w:r>
      <w:r w:rsidRPr="00533EF6">
        <w:rPr>
          <w:rFonts w:ascii="Arial" w:hAnsi="Arial" w:cs="Arial"/>
          <w:sz w:val="24"/>
          <w:szCs w:val="24"/>
        </w:rPr>
        <w:t xml:space="preserve">, Chihiro Abe-Hadano3, </w:t>
      </w:r>
      <w:proofErr w:type="spellStart"/>
      <w:r w:rsidRPr="00533EF6">
        <w:rPr>
          <w:rFonts w:ascii="Arial" w:hAnsi="Arial" w:cs="Arial"/>
          <w:sz w:val="24"/>
          <w:szCs w:val="24"/>
        </w:rPr>
        <w:t>Eiji</w:t>
      </w:r>
      <w:proofErr w:type="spellEnd"/>
      <w:r w:rsidRPr="00533EF6">
        <w:rPr>
          <w:rFonts w:ascii="Arial" w:hAnsi="Arial" w:cs="Arial"/>
          <w:sz w:val="24"/>
          <w:szCs w:val="24"/>
        </w:rPr>
        <w:t xml:space="preserve"> Nakagawa1, Ken Inoue</w:t>
      </w:r>
      <w:r w:rsidRPr="00533EF6">
        <w:rPr>
          <w:rFonts w:ascii="Arial" w:hAnsi="Arial" w:cs="Arial"/>
          <w:sz w:val="24"/>
          <w:szCs w:val="24"/>
          <w:vertAlign w:val="superscript"/>
        </w:rPr>
        <w:t>3</w:t>
      </w:r>
      <w:r w:rsidRPr="00533EF6">
        <w:rPr>
          <w:rFonts w:ascii="Arial" w:hAnsi="Arial" w:cs="Arial"/>
          <w:sz w:val="24"/>
          <w:szCs w:val="24"/>
        </w:rPr>
        <w:t xml:space="preserve"> and Yu-</w:t>
      </w:r>
      <w:proofErr w:type="spellStart"/>
      <w:r w:rsidRPr="00533EF6">
        <w:rPr>
          <w:rFonts w:ascii="Arial" w:hAnsi="Arial" w:cs="Arial"/>
          <w:sz w:val="24"/>
          <w:szCs w:val="24"/>
        </w:rPr>
        <w:t>ichi</w:t>
      </w:r>
      <w:proofErr w:type="spellEnd"/>
      <w:r w:rsidRPr="00533EF6">
        <w:rPr>
          <w:rFonts w:ascii="Arial" w:hAnsi="Arial" w:cs="Arial"/>
          <w:sz w:val="24"/>
          <w:szCs w:val="24"/>
        </w:rPr>
        <w:t xml:space="preserve"> Goto</w:t>
      </w:r>
      <w:r w:rsidRPr="00533EF6">
        <w:rPr>
          <w:rFonts w:ascii="Arial" w:hAnsi="Arial" w:cs="Arial"/>
          <w:sz w:val="24"/>
          <w:szCs w:val="24"/>
          <w:vertAlign w:val="superscript"/>
        </w:rPr>
        <w:t>3, 4</w:t>
      </w:r>
    </w:p>
    <w:p w:rsidR="0089238D" w:rsidRPr="00533EF6" w:rsidRDefault="0089238D" w:rsidP="0089238D">
      <w:pPr>
        <w:rPr>
          <w:rFonts w:ascii="Arial" w:hAnsi="Arial" w:cs="Arial"/>
          <w:sz w:val="24"/>
          <w:szCs w:val="24"/>
        </w:rPr>
      </w:pPr>
    </w:p>
    <w:p w:rsidR="0089238D" w:rsidRPr="00533EF6" w:rsidRDefault="0089238D" w:rsidP="0089238D">
      <w:pPr>
        <w:rPr>
          <w:rFonts w:ascii="Arial" w:hAnsi="Arial" w:cs="Arial"/>
          <w:sz w:val="24"/>
          <w:szCs w:val="24"/>
        </w:rPr>
      </w:pPr>
    </w:p>
    <w:p w:rsidR="006F4141" w:rsidRDefault="0089238D" w:rsidP="003F1836">
      <w:pPr>
        <w:rPr>
          <w:rFonts w:ascii="Arial" w:hAnsi="Arial" w:cs="Arial"/>
          <w:b/>
          <w:sz w:val="24"/>
          <w:szCs w:val="24"/>
        </w:rPr>
      </w:pPr>
      <w:r w:rsidRPr="00562B52">
        <w:rPr>
          <w:rFonts w:ascii="Arial" w:hAnsi="Arial" w:cs="Arial"/>
          <w:b/>
          <w:sz w:val="24"/>
          <w:szCs w:val="24"/>
        </w:rPr>
        <w:t>References</w:t>
      </w:r>
      <w:r w:rsidR="000B21DE" w:rsidRPr="00562B52">
        <w:rPr>
          <w:rFonts w:ascii="Arial" w:hAnsi="Arial" w:cs="Arial" w:hint="eastAsia"/>
          <w:b/>
          <w:sz w:val="24"/>
          <w:szCs w:val="24"/>
        </w:rPr>
        <w:t xml:space="preserve"> </w:t>
      </w:r>
      <w:r w:rsidR="000B21DE" w:rsidRPr="00562B52">
        <w:rPr>
          <w:rFonts w:ascii="Arial" w:hAnsi="Arial" w:cs="Arial"/>
          <w:b/>
          <w:sz w:val="24"/>
          <w:szCs w:val="24"/>
        </w:rPr>
        <w:t>f</w:t>
      </w:r>
      <w:r w:rsidRPr="00562B52">
        <w:rPr>
          <w:rFonts w:ascii="Arial" w:hAnsi="Arial" w:cs="Arial"/>
          <w:b/>
          <w:sz w:val="24"/>
          <w:szCs w:val="24"/>
        </w:rPr>
        <w:t>or Tabl</w:t>
      </w:r>
      <w:bookmarkStart w:id="0" w:name="_GoBack"/>
      <w:bookmarkEnd w:id="0"/>
      <w:r w:rsidRPr="00562B52">
        <w:rPr>
          <w:rFonts w:ascii="Arial" w:hAnsi="Arial" w:cs="Arial"/>
          <w:b/>
          <w:sz w:val="24"/>
          <w:szCs w:val="24"/>
        </w:rPr>
        <w:t>e 1</w:t>
      </w:r>
    </w:p>
    <w:p w:rsidR="003F1836" w:rsidRPr="006F4141" w:rsidRDefault="003F1836" w:rsidP="003F1836">
      <w:pPr>
        <w:rPr>
          <w:rFonts w:ascii="Arial" w:hAnsi="Arial" w:cs="Arial"/>
          <w:b/>
          <w:sz w:val="24"/>
          <w:szCs w:val="24"/>
        </w:rPr>
      </w:pPr>
    </w:p>
    <w:p w:rsidR="006F4141" w:rsidRDefault="002C47CB" w:rsidP="002C47CB">
      <w:pPr>
        <w:rPr>
          <w:rFonts w:ascii="Arial" w:hAnsi="Arial" w:cs="Arial"/>
          <w:sz w:val="24"/>
          <w:szCs w:val="24"/>
        </w:rPr>
      </w:pPr>
      <w:r w:rsidRPr="002C47CB">
        <w:rPr>
          <w:rFonts w:ascii="Arial" w:hAnsi="Arial" w:cs="Arial"/>
          <w:sz w:val="24"/>
          <w:szCs w:val="24"/>
        </w:rPr>
        <w:t xml:space="preserve">Amir RE, Van den </w:t>
      </w:r>
      <w:proofErr w:type="spellStart"/>
      <w:r w:rsidRPr="002C47CB">
        <w:rPr>
          <w:rFonts w:ascii="Arial" w:hAnsi="Arial" w:cs="Arial"/>
          <w:sz w:val="24"/>
          <w:szCs w:val="24"/>
        </w:rPr>
        <w:t>Veyver</w:t>
      </w:r>
      <w:proofErr w:type="spellEnd"/>
      <w:r w:rsidRPr="002C47CB">
        <w:rPr>
          <w:rFonts w:ascii="Arial" w:hAnsi="Arial" w:cs="Arial"/>
          <w:sz w:val="24"/>
          <w:szCs w:val="24"/>
        </w:rPr>
        <w:t xml:space="preserve"> IB, Schultz R, </w:t>
      </w:r>
      <w:proofErr w:type="spellStart"/>
      <w:r w:rsidRPr="002C47CB">
        <w:rPr>
          <w:rFonts w:ascii="Arial" w:hAnsi="Arial" w:cs="Arial"/>
          <w:sz w:val="24"/>
          <w:szCs w:val="24"/>
        </w:rPr>
        <w:t>Malicki</w:t>
      </w:r>
      <w:proofErr w:type="spellEnd"/>
      <w:r w:rsidRPr="002C47CB">
        <w:rPr>
          <w:rFonts w:ascii="Arial" w:hAnsi="Arial" w:cs="Arial"/>
          <w:sz w:val="24"/>
          <w:szCs w:val="24"/>
        </w:rPr>
        <w:t xml:space="preserve"> DM, Tran CQ, </w:t>
      </w:r>
      <w:proofErr w:type="spellStart"/>
      <w:r w:rsidRPr="002C47CB">
        <w:rPr>
          <w:rFonts w:ascii="Arial" w:hAnsi="Arial" w:cs="Arial"/>
          <w:sz w:val="24"/>
          <w:szCs w:val="24"/>
        </w:rPr>
        <w:t>Dahle</w:t>
      </w:r>
      <w:proofErr w:type="spellEnd"/>
      <w:r w:rsidRPr="002C47CB">
        <w:rPr>
          <w:rFonts w:ascii="Arial" w:hAnsi="Arial" w:cs="Arial"/>
          <w:sz w:val="24"/>
          <w:szCs w:val="24"/>
        </w:rPr>
        <w:t xml:space="preserve"> EJ, </w:t>
      </w:r>
      <w:r w:rsidR="001821B2">
        <w:rPr>
          <w:rFonts w:ascii="Arial" w:hAnsi="Arial" w:cs="Arial"/>
          <w:sz w:val="24"/>
          <w:szCs w:val="24"/>
        </w:rPr>
        <w:t xml:space="preserve">et al. </w:t>
      </w:r>
      <w:r w:rsidR="001821B2" w:rsidRPr="002C47CB">
        <w:rPr>
          <w:rFonts w:ascii="Arial" w:hAnsi="Arial" w:cs="Arial"/>
          <w:sz w:val="24"/>
          <w:szCs w:val="24"/>
        </w:rPr>
        <w:t>Influence of mutation type and X chromosome inactivation on Rett syndrome phenotypes.</w:t>
      </w:r>
      <w:r w:rsidR="001821B2">
        <w:rPr>
          <w:rFonts w:ascii="Arial" w:hAnsi="Arial" w:cs="Arial" w:hint="eastAsia"/>
          <w:sz w:val="24"/>
          <w:szCs w:val="24"/>
        </w:rPr>
        <w:t xml:space="preserve"> </w:t>
      </w:r>
      <w:r w:rsidRPr="002C47CB">
        <w:rPr>
          <w:rFonts w:ascii="Arial" w:hAnsi="Arial" w:cs="Arial"/>
          <w:sz w:val="24"/>
          <w:szCs w:val="24"/>
        </w:rPr>
        <w:t xml:space="preserve">Ann Neurol. </w:t>
      </w:r>
      <w:r w:rsidRPr="00CB602B">
        <w:rPr>
          <w:rFonts w:ascii="Arial" w:hAnsi="Arial" w:cs="Arial"/>
          <w:b/>
          <w:sz w:val="24"/>
          <w:szCs w:val="24"/>
        </w:rPr>
        <w:t>47</w:t>
      </w:r>
      <w:r w:rsidR="00CB602B">
        <w:rPr>
          <w:rFonts w:ascii="Arial" w:hAnsi="Arial" w:cs="Arial"/>
          <w:sz w:val="24"/>
          <w:szCs w:val="24"/>
        </w:rPr>
        <w:t>,</w:t>
      </w:r>
      <w:r w:rsidRPr="002C47CB">
        <w:rPr>
          <w:rFonts w:ascii="Arial" w:hAnsi="Arial" w:cs="Arial"/>
          <w:sz w:val="24"/>
          <w:szCs w:val="24"/>
        </w:rPr>
        <w:t>670-</w:t>
      </w:r>
      <w:r w:rsidR="00CB602B">
        <w:rPr>
          <w:rFonts w:ascii="Arial" w:hAnsi="Arial" w:cs="Arial"/>
          <w:sz w:val="24"/>
          <w:szCs w:val="24"/>
        </w:rPr>
        <w:t>67</w:t>
      </w:r>
      <w:r w:rsidRPr="002C47CB">
        <w:rPr>
          <w:rFonts w:ascii="Arial" w:hAnsi="Arial" w:cs="Arial"/>
          <w:sz w:val="24"/>
          <w:szCs w:val="24"/>
        </w:rPr>
        <w:t>9</w:t>
      </w:r>
      <w:r w:rsidR="00CB602B">
        <w:rPr>
          <w:rFonts w:ascii="Arial" w:hAnsi="Arial" w:cs="Arial"/>
          <w:sz w:val="24"/>
          <w:szCs w:val="24"/>
        </w:rPr>
        <w:t xml:space="preserve"> (2000)</w:t>
      </w:r>
      <w:r w:rsidRPr="002C47CB">
        <w:rPr>
          <w:rFonts w:ascii="Arial" w:hAnsi="Arial" w:cs="Arial"/>
          <w:sz w:val="24"/>
          <w:szCs w:val="24"/>
        </w:rPr>
        <w:t>.</w:t>
      </w:r>
    </w:p>
    <w:p w:rsidR="00BC4CFD" w:rsidRDefault="00BC4CFD" w:rsidP="002C47CB">
      <w:pPr>
        <w:rPr>
          <w:rFonts w:ascii="Arial" w:hAnsi="Arial" w:cs="Arial"/>
          <w:sz w:val="24"/>
          <w:szCs w:val="24"/>
        </w:rPr>
      </w:pPr>
    </w:p>
    <w:p w:rsidR="00BC4CFD" w:rsidRPr="00C32F2E" w:rsidRDefault="00BC4CFD" w:rsidP="00BC4CFD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proofErr w:type="spellStart"/>
      <w:r w:rsidRPr="00C32F2E">
        <w:rPr>
          <w:rFonts w:ascii="Arial" w:eastAsia="ＭＳ Ｐゴシック" w:hAnsi="Arial" w:cs="Arial"/>
          <w:kern w:val="0"/>
          <w:sz w:val="24"/>
          <w:szCs w:val="24"/>
        </w:rPr>
        <w:t>Bienvenu</w:t>
      </w:r>
      <w:proofErr w:type="spellEnd"/>
      <w:r w:rsidRPr="00C32F2E">
        <w:rPr>
          <w:rFonts w:ascii="Arial" w:eastAsia="ＭＳ Ｐゴシック" w:hAnsi="Arial" w:cs="Arial"/>
          <w:kern w:val="0"/>
          <w:sz w:val="24"/>
          <w:szCs w:val="24"/>
        </w:rPr>
        <w:t xml:space="preserve"> T, Villard L, De Roux N, Bourdon V, Fontes M, </w:t>
      </w:r>
      <w:proofErr w:type="spellStart"/>
      <w:r w:rsidRPr="00C32F2E">
        <w:rPr>
          <w:rFonts w:ascii="Arial" w:eastAsia="ＭＳ Ｐゴシック" w:hAnsi="Arial" w:cs="Arial"/>
          <w:kern w:val="0"/>
          <w:sz w:val="24"/>
          <w:szCs w:val="24"/>
        </w:rPr>
        <w:t>Beldjord</w:t>
      </w:r>
      <w:proofErr w:type="spellEnd"/>
      <w:r w:rsidRPr="00C32F2E">
        <w:rPr>
          <w:rFonts w:ascii="Arial" w:eastAsia="ＭＳ Ｐゴシック" w:hAnsi="Arial" w:cs="Arial"/>
          <w:kern w:val="0"/>
          <w:sz w:val="24"/>
          <w:szCs w:val="24"/>
        </w:rPr>
        <w:t xml:space="preserve"> C, </w:t>
      </w:r>
      <w:r>
        <w:rPr>
          <w:rFonts w:ascii="Arial" w:eastAsia="ＭＳ Ｐゴシック" w:hAnsi="Arial" w:cs="Arial"/>
          <w:kern w:val="0"/>
          <w:sz w:val="24"/>
          <w:szCs w:val="24"/>
        </w:rPr>
        <w:t xml:space="preserve">et al. </w:t>
      </w:r>
      <w:r w:rsidRPr="00C32F2E">
        <w:rPr>
          <w:rFonts w:ascii="Arial" w:eastAsia="ＭＳ Ｐゴシック" w:hAnsi="Arial" w:cs="Arial"/>
          <w:kern w:val="0"/>
          <w:sz w:val="24"/>
          <w:szCs w:val="24"/>
        </w:rPr>
        <w:t>Spectrum of MECP2 mutations in Rett syndrome.</w:t>
      </w:r>
      <w:r>
        <w:rPr>
          <w:rFonts w:ascii="Arial" w:eastAsia="ＭＳ Ｐゴシック" w:hAnsi="Arial" w:cs="Arial"/>
          <w:kern w:val="0"/>
          <w:sz w:val="24"/>
          <w:szCs w:val="24"/>
        </w:rPr>
        <w:t xml:space="preserve"> </w:t>
      </w:r>
      <w:r w:rsidRPr="00C32F2E">
        <w:rPr>
          <w:rFonts w:ascii="Arial" w:eastAsia="ＭＳ Ｐゴシック" w:hAnsi="Arial" w:cs="Arial"/>
          <w:kern w:val="0"/>
          <w:sz w:val="24"/>
          <w:szCs w:val="24"/>
        </w:rPr>
        <w:t xml:space="preserve">Genet Test. </w:t>
      </w:r>
      <w:r w:rsidRPr="006D2311">
        <w:rPr>
          <w:rFonts w:ascii="Arial" w:eastAsia="ＭＳ Ｐゴシック" w:hAnsi="Arial" w:cs="Arial"/>
          <w:b/>
          <w:kern w:val="0"/>
          <w:sz w:val="24"/>
          <w:szCs w:val="24"/>
        </w:rPr>
        <w:t>6</w:t>
      </w:r>
      <w:r w:rsidR="006D2311">
        <w:rPr>
          <w:rFonts w:ascii="Arial" w:eastAsia="ＭＳ Ｐゴシック" w:hAnsi="Arial" w:cs="Arial"/>
          <w:kern w:val="0"/>
          <w:sz w:val="24"/>
          <w:szCs w:val="24"/>
        </w:rPr>
        <w:t xml:space="preserve">, </w:t>
      </w:r>
      <w:r w:rsidRPr="00C32F2E">
        <w:rPr>
          <w:rFonts w:ascii="Arial" w:eastAsia="ＭＳ Ｐゴシック" w:hAnsi="Arial" w:cs="Arial"/>
          <w:kern w:val="0"/>
          <w:sz w:val="24"/>
          <w:szCs w:val="24"/>
        </w:rPr>
        <w:t>1-6</w:t>
      </w:r>
      <w:r w:rsidR="006D2311">
        <w:rPr>
          <w:rFonts w:ascii="Arial" w:eastAsia="ＭＳ Ｐゴシック" w:hAnsi="Arial" w:cs="Arial"/>
          <w:kern w:val="0"/>
          <w:sz w:val="24"/>
          <w:szCs w:val="24"/>
        </w:rPr>
        <w:t xml:space="preserve"> (2002)</w:t>
      </w:r>
      <w:r w:rsidRPr="00C32F2E">
        <w:rPr>
          <w:rFonts w:ascii="Arial" w:eastAsia="ＭＳ Ｐゴシック" w:hAnsi="Arial" w:cs="Arial"/>
          <w:kern w:val="0"/>
          <w:sz w:val="24"/>
          <w:szCs w:val="24"/>
        </w:rPr>
        <w:t>.</w:t>
      </w:r>
    </w:p>
    <w:p w:rsidR="008C080F" w:rsidRPr="006F4141" w:rsidRDefault="008C080F" w:rsidP="008C080F">
      <w:pPr>
        <w:widowControl/>
        <w:spacing w:before="120" w:after="120" w:line="300" w:lineRule="atLeast"/>
        <w:jc w:val="left"/>
        <w:outlineLvl w:val="0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</w:p>
    <w:p w:rsidR="00562B52" w:rsidRPr="00674916" w:rsidRDefault="00674916" w:rsidP="00562B52">
      <w:pPr>
        <w:widowControl/>
        <w:jc w:val="left"/>
        <w:rPr>
          <w:rFonts w:ascii="Arial" w:eastAsia="ＭＳ Ｐゴシック" w:hAnsi="Arial" w:cs="Arial"/>
          <w:color w:val="000000"/>
          <w:kern w:val="0"/>
          <w:sz w:val="24"/>
          <w:szCs w:val="24"/>
        </w:rPr>
      </w:pPr>
      <w:proofErr w:type="spellStart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Hoffbuhr</w:t>
      </w:r>
      <w:proofErr w:type="spellEnd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K, Devaney JM, </w:t>
      </w:r>
      <w:proofErr w:type="spellStart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LaFleur</w:t>
      </w:r>
      <w:proofErr w:type="spellEnd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B, </w:t>
      </w:r>
      <w:proofErr w:type="spellStart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Sirianni</w:t>
      </w:r>
      <w:proofErr w:type="spellEnd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N, </w:t>
      </w:r>
      <w:proofErr w:type="spellStart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Scacheri</w:t>
      </w:r>
      <w:proofErr w:type="spellEnd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C, </w:t>
      </w:r>
      <w:proofErr w:type="spellStart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Giron</w:t>
      </w:r>
      <w:proofErr w:type="spellEnd"/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J, </w:t>
      </w:r>
      <w:r w:rsidR="001821B2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et al. </w:t>
      </w:r>
      <w:r w:rsidR="00562B52"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MeCP2 mutations in children with and without the phenotype of Rett syndrome.</w:t>
      </w:r>
    </w:p>
    <w:p w:rsidR="006F4141" w:rsidRPr="006F4141" w:rsidRDefault="00562B52" w:rsidP="00674916">
      <w:pPr>
        <w:widowControl/>
        <w:jc w:val="left"/>
        <w:rPr>
          <w:rFonts w:ascii="Arial" w:eastAsia="ＭＳ Ｐゴシック" w:hAnsi="Arial" w:cs="Arial"/>
          <w:color w:val="000000"/>
          <w:kern w:val="0"/>
          <w:sz w:val="24"/>
          <w:szCs w:val="24"/>
        </w:rPr>
      </w:pPr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Neurology. </w:t>
      </w:r>
      <w:r w:rsidRPr="006D2311">
        <w:rPr>
          <w:rFonts w:ascii="Arial" w:eastAsia="ＭＳ Ｐゴシック" w:hAnsi="Arial" w:cs="Arial"/>
          <w:b/>
          <w:color w:val="000000"/>
          <w:kern w:val="0"/>
          <w:sz w:val="24"/>
          <w:szCs w:val="24"/>
        </w:rPr>
        <w:t>56</w:t>
      </w:r>
      <w:r w:rsidR="006D2311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, </w:t>
      </w:r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1486-</w:t>
      </w:r>
      <w:r w:rsidR="006D2311">
        <w:rPr>
          <w:rFonts w:ascii="Arial" w:eastAsia="ＭＳ Ｐゴシック" w:hAnsi="Arial" w:cs="Arial"/>
          <w:color w:val="000000"/>
          <w:kern w:val="0"/>
          <w:sz w:val="24"/>
          <w:szCs w:val="24"/>
        </w:rPr>
        <w:t>14</w:t>
      </w:r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95</w:t>
      </w:r>
      <w:r w:rsidR="006D2311">
        <w:rPr>
          <w:rFonts w:ascii="Arial" w:eastAsia="ＭＳ Ｐゴシック" w:hAnsi="Arial" w:cs="Arial"/>
          <w:color w:val="000000"/>
          <w:kern w:val="0"/>
          <w:sz w:val="24"/>
          <w:szCs w:val="24"/>
        </w:rPr>
        <w:t xml:space="preserve"> (2001)</w:t>
      </w:r>
      <w:r w:rsidRPr="00674916">
        <w:rPr>
          <w:rFonts w:ascii="Arial" w:eastAsia="ＭＳ Ｐゴシック" w:hAnsi="Arial" w:cs="Arial"/>
          <w:color w:val="000000"/>
          <w:kern w:val="0"/>
          <w:sz w:val="24"/>
          <w:szCs w:val="24"/>
        </w:rPr>
        <w:t>.</w:t>
      </w:r>
    </w:p>
    <w:p w:rsidR="002C47CB" w:rsidRPr="002C47CB" w:rsidRDefault="002C47CB" w:rsidP="002C47CB">
      <w:pPr>
        <w:widowControl/>
        <w:spacing w:before="120" w:after="120" w:line="300" w:lineRule="atLeast"/>
        <w:jc w:val="left"/>
        <w:outlineLvl w:val="0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</w:p>
    <w:p w:rsidR="008C080F" w:rsidRDefault="002C47CB" w:rsidP="001821B2">
      <w:pPr>
        <w:widowControl/>
        <w:jc w:val="left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Mnatzakanian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GN,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Lohi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H,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Munteanu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I, Alfred SE, Yamada T, MacLeod PJ, </w:t>
      </w:r>
      <w:r w:rsidR="001821B2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et al. </w:t>
      </w:r>
      <w:r w:rsidR="001821B2"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A previously unidentified MECP2 open reading frame defines a new protein isoform relevant to Rett syndrome.</w:t>
      </w:r>
      <w:r w:rsidR="001821B2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Nat Genet. </w:t>
      </w:r>
      <w:r w:rsidRPr="006D2311">
        <w:rPr>
          <w:rFonts w:ascii="Arial" w:eastAsia="ＭＳ Ｐゴシック" w:hAnsi="Arial" w:cs="Arial"/>
          <w:b/>
          <w:bCs/>
          <w:color w:val="000000"/>
          <w:kern w:val="36"/>
          <w:sz w:val="24"/>
          <w:szCs w:val="24"/>
        </w:rPr>
        <w:t>36</w:t>
      </w:r>
      <w:r w:rsidR="006D231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,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339-</w:t>
      </w:r>
      <w:r w:rsidR="006D231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3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41</w:t>
      </w:r>
      <w:r w:rsidR="006D231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(2004).</w:t>
      </w:r>
    </w:p>
    <w:p w:rsidR="00BC4CFD" w:rsidRDefault="00BC4CFD" w:rsidP="001821B2">
      <w:pPr>
        <w:widowControl/>
        <w:jc w:val="left"/>
        <w:rPr>
          <w:rFonts w:ascii="Arial" w:eastAsia="ＭＳ Ｐゴシック" w:hAnsi="Arial" w:cs="Arial"/>
          <w:color w:val="000000"/>
          <w:kern w:val="0"/>
          <w:sz w:val="24"/>
          <w:szCs w:val="24"/>
        </w:rPr>
      </w:pPr>
    </w:p>
    <w:p w:rsidR="00BC4CFD" w:rsidRPr="006F4141" w:rsidRDefault="00BC4CFD" w:rsidP="00BC4CFD">
      <w:pPr>
        <w:widowControl/>
        <w:tabs>
          <w:tab w:val="left" w:pos="1487"/>
        </w:tabs>
        <w:spacing w:before="120" w:after="120" w:line="300" w:lineRule="atLeast"/>
        <w:jc w:val="left"/>
        <w:outlineLvl w:val="0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Obata K,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Matsuishi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T, Yamashita Y, Fukuda T,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Kuwajima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K, Horiuchi I, </w:t>
      </w:r>
      <w:r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et al.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Mutation analysis of the methyl-CpG binding protein 2 gene (MECP2) in patients with Rett syndrome.</w:t>
      </w:r>
      <w:r>
        <w:rPr>
          <w:rFonts w:ascii="Arial" w:eastAsia="ＭＳ Ｐゴシック" w:hAnsi="Arial" w:cs="Arial" w:hint="eastAsia"/>
          <w:bCs/>
          <w:color w:val="000000"/>
          <w:kern w:val="36"/>
          <w:sz w:val="24"/>
          <w:szCs w:val="24"/>
        </w:rPr>
        <w:t xml:space="preserve">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J Med Genet. </w:t>
      </w:r>
      <w:r w:rsidRPr="00F23DBE">
        <w:rPr>
          <w:rFonts w:ascii="Arial" w:eastAsia="ＭＳ Ｐゴシック" w:hAnsi="Arial" w:cs="Arial"/>
          <w:b/>
          <w:bCs/>
          <w:color w:val="000000"/>
          <w:kern w:val="36"/>
          <w:sz w:val="24"/>
          <w:szCs w:val="24"/>
        </w:rPr>
        <w:t>37</w:t>
      </w:r>
      <w:r w:rsidR="00F23DBE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,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608-</w:t>
      </w:r>
      <w:r w:rsidR="00F23DBE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6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10</w:t>
      </w:r>
      <w:r w:rsidR="00F23DBE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(2000)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. </w:t>
      </w:r>
    </w:p>
    <w:p w:rsidR="00BC4CFD" w:rsidRPr="008C080F" w:rsidRDefault="00BC4CFD" w:rsidP="001821B2">
      <w:pPr>
        <w:widowControl/>
        <w:jc w:val="left"/>
        <w:rPr>
          <w:rFonts w:ascii="Arial" w:eastAsia="ＭＳ Ｐゴシック" w:hAnsi="Arial" w:cs="Arial"/>
          <w:color w:val="000000"/>
          <w:kern w:val="0"/>
          <w:sz w:val="24"/>
          <w:szCs w:val="24"/>
        </w:rPr>
      </w:pPr>
    </w:p>
    <w:p w:rsidR="000B21DE" w:rsidRPr="003F1836" w:rsidRDefault="00BC4CFD" w:rsidP="003F1836">
      <w:pPr>
        <w:widowControl/>
        <w:spacing w:before="120" w:after="120" w:line="300" w:lineRule="atLeast"/>
        <w:jc w:val="left"/>
        <w:outlineLvl w:val="0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Wan M, Lee SS, Zhang X,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Houwink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-Manville I, Song HR, Amir RE, </w:t>
      </w:r>
      <w:r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et al.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Rett syndrome and beyond: recurrent spontaneous and familial MECP2 mutations at CpG hotspots.</w:t>
      </w:r>
      <w:r>
        <w:rPr>
          <w:rFonts w:ascii="Arial" w:eastAsia="ＭＳ Ｐゴシック" w:hAnsi="Arial" w:cs="Arial" w:hint="eastAsia"/>
          <w:bCs/>
          <w:color w:val="000000"/>
          <w:kern w:val="36"/>
          <w:sz w:val="24"/>
          <w:szCs w:val="24"/>
        </w:rPr>
        <w:t xml:space="preserve">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Am J Hum Genet. </w:t>
      </w:r>
      <w:r w:rsidRPr="00BD3DC1">
        <w:rPr>
          <w:rFonts w:ascii="Arial" w:eastAsia="ＭＳ Ｐゴシック" w:hAnsi="Arial" w:cs="Arial"/>
          <w:b/>
          <w:bCs/>
          <w:color w:val="000000"/>
          <w:kern w:val="36"/>
          <w:sz w:val="24"/>
          <w:szCs w:val="24"/>
        </w:rPr>
        <w:t>65</w:t>
      </w:r>
      <w:r w:rsidR="00BD3DC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,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1520-</w:t>
      </w:r>
      <w:r w:rsidR="00BD3DC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152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9</w:t>
      </w:r>
      <w:r w:rsidR="00BD3DC1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(1999)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.</w:t>
      </w:r>
      <w:r w:rsidR="000B21DE">
        <w:rPr>
          <w:rFonts w:ascii="Arial" w:hAnsi="Arial" w:cs="Arial"/>
          <w:sz w:val="24"/>
          <w:szCs w:val="24"/>
        </w:rPr>
        <w:br w:type="page"/>
      </w:r>
    </w:p>
    <w:p w:rsidR="008D3A96" w:rsidRPr="003F1836" w:rsidRDefault="008D3A96" w:rsidP="008D3A96">
      <w:pPr>
        <w:rPr>
          <w:rFonts w:ascii="Arial" w:hAnsi="Arial" w:cs="Arial"/>
          <w:b/>
          <w:sz w:val="24"/>
          <w:szCs w:val="24"/>
        </w:rPr>
      </w:pPr>
      <w:r w:rsidRPr="003F1836">
        <w:rPr>
          <w:rFonts w:ascii="Arial" w:hAnsi="Arial" w:cs="Arial"/>
          <w:b/>
          <w:sz w:val="24"/>
          <w:szCs w:val="24"/>
        </w:rPr>
        <w:lastRenderedPageBreak/>
        <w:t>References</w:t>
      </w:r>
      <w:r w:rsidR="00C934CD">
        <w:rPr>
          <w:rFonts w:ascii="Arial" w:hAnsi="Arial" w:cs="Arial" w:hint="eastAsia"/>
          <w:b/>
          <w:sz w:val="24"/>
          <w:szCs w:val="24"/>
        </w:rPr>
        <w:t xml:space="preserve"> </w:t>
      </w:r>
      <w:r w:rsidR="00C934CD">
        <w:rPr>
          <w:rFonts w:ascii="Arial" w:hAnsi="Arial" w:cs="Arial"/>
          <w:b/>
          <w:sz w:val="24"/>
          <w:szCs w:val="24"/>
        </w:rPr>
        <w:t>f</w:t>
      </w:r>
      <w:r w:rsidRPr="003F1836">
        <w:rPr>
          <w:rFonts w:ascii="Arial" w:hAnsi="Arial" w:cs="Arial"/>
          <w:b/>
          <w:sz w:val="24"/>
          <w:szCs w:val="24"/>
        </w:rPr>
        <w:t xml:space="preserve">or </w:t>
      </w:r>
      <w:r w:rsidR="000B21DE" w:rsidRPr="003F1836">
        <w:rPr>
          <w:rFonts w:ascii="Arial" w:hAnsi="Arial" w:cs="Arial"/>
          <w:b/>
          <w:sz w:val="24"/>
          <w:szCs w:val="24"/>
        </w:rPr>
        <w:t xml:space="preserve">Supplementary </w:t>
      </w:r>
      <w:r w:rsidRPr="003F1836">
        <w:rPr>
          <w:rFonts w:ascii="Arial" w:hAnsi="Arial" w:cs="Arial"/>
          <w:b/>
          <w:sz w:val="24"/>
          <w:szCs w:val="24"/>
        </w:rPr>
        <w:t>Table 1</w:t>
      </w:r>
    </w:p>
    <w:p w:rsidR="008D3A96" w:rsidRDefault="008D3A96">
      <w:pPr>
        <w:rPr>
          <w:rFonts w:ascii="Arial" w:hAnsi="Arial" w:cs="Arial"/>
          <w:sz w:val="24"/>
          <w:szCs w:val="24"/>
        </w:rPr>
      </w:pPr>
    </w:p>
    <w:p w:rsidR="00E90065" w:rsidRPr="004503EE" w:rsidRDefault="004503EE" w:rsidP="00E90065">
      <w:pPr>
        <w:rPr>
          <w:rFonts w:ascii="Arial" w:hAnsi="Arial" w:cs="Arial"/>
          <w:sz w:val="24"/>
          <w:szCs w:val="24"/>
        </w:rPr>
      </w:pPr>
      <w:r w:rsidRPr="004503EE">
        <w:rPr>
          <w:rFonts w:ascii="Arial" w:hAnsi="Arial" w:cs="Arial"/>
          <w:sz w:val="24"/>
          <w:szCs w:val="24"/>
        </w:rPr>
        <w:t xml:space="preserve">Amir RE1, Van den </w:t>
      </w:r>
      <w:proofErr w:type="spellStart"/>
      <w:r w:rsidRPr="004503EE">
        <w:rPr>
          <w:rFonts w:ascii="Arial" w:hAnsi="Arial" w:cs="Arial"/>
          <w:sz w:val="24"/>
          <w:szCs w:val="24"/>
        </w:rPr>
        <w:t>Veyver</w:t>
      </w:r>
      <w:proofErr w:type="spellEnd"/>
      <w:r w:rsidRPr="004503EE">
        <w:rPr>
          <w:rFonts w:ascii="Arial" w:hAnsi="Arial" w:cs="Arial"/>
          <w:sz w:val="24"/>
          <w:szCs w:val="24"/>
        </w:rPr>
        <w:t xml:space="preserve"> IB, Wan M, Tran CQ, </w:t>
      </w:r>
      <w:proofErr w:type="spellStart"/>
      <w:r w:rsidRPr="004503EE">
        <w:rPr>
          <w:rFonts w:ascii="Arial" w:hAnsi="Arial" w:cs="Arial"/>
          <w:sz w:val="24"/>
          <w:szCs w:val="24"/>
        </w:rPr>
        <w:t>Francke</w:t>
      </w:r>
      <w:proofErr w:type="spellEnd"/>
      <w:r w:rsidRPr="004503EE">
        <w:rPr>
          <w:rFonts w:ascii="Arial" w:hAnsi="Arial" w:cs="Arial"/>
          <w:sz w:val="24"/>
          <w:szCs w:val="24"/>
        </w:rPr>
        <w:t xml:space="preserve"> U, </w:t>
      </w:r>
      <w:proofErr w:type="spellStart"/>
      <w:r w:rsidRPr="004503EE">
        <w:rPr>
          <w:rFonts w:ascii="Arial" w:hAnsi="Arial" w:cs="Arial"/>
          <w:sz w:val="24"/>
          <w:szCs w:val="24"/>
        </w:rPr>
        <w:t>Zoghbi</w:t>
      </w:r>
      <w:proofErr w:type="spellEnd"/>
      <w:r w:rsidRPr="004503EE">
        <w:rPr>
          <w:rFonts w:ascii="Arial" w:hAnsi="Arial" w:cs="Arial"/>
          <w:sz w:val="24"/>
          <w:szCs w:val="24"/>
        </w:rPr>
        <w:t xml:space="preserve"> HY.</w:t>
      </w:r>
      <w:r w:rsidR="00E90065">
        <w:rPr>
          <w:rFonts w:ascii="Arial" w:hAnsi="Arial" w:cs="Arial"/>
          <w:sz w:val="24"/>
          <w:szCs w:val="24"/>
        </w:rPr>
        <w:t xml:space="preserve"> et al. </w:t>
      </w:r>
      <w:r w:rsidR="00E90065" w:rsidRPr="004503EE">
        <w:rPr>
          <w:rFonts w:ascii="Arial" w:hAnsi="Arial" w:cs="Arial"/>
          <w:sz w:val="24"/>
          <w:szCs w:val="24"/>
        </w:rPr>
        <w:t>Rett syndrome is caused by mutations in X-linked MECP2, encoding methyl-CpG-binding protein 2.</w:t>
      </w:r>
      <w:r w:rsidR="00E90065">
        <w:rPr>
          <w:rFonts w:ascii="Arial" w:hAnsi="Arial" w:cs="Arial"/>
          <w:sz w:val="24"/>
          <w:szCs w:val="24"/>
        </w:rPr>
        <w:t xml:space="preserve"> </w:t>
      </w:r>
      <w:r w:rsidR="00E90065" w:rsidRPr="004503EE">
        <w:rPr>
          <w:rFonts w:ascii="Arial" w:hAnsi="Arial" w:cs="Arial"/>
          <w:sz w:val="24"/>
          <w:szCs w:val="24"/>
        </w:rPr>
        <w:t xml:space="preserve">Nat Genet. </w:t>
      </w:r>
      <w:r w:rsidR="00E90065" w:rsidRPr="00EE2A41">
        <w:rPr>
          <w:rFonts w:ascii="Arial" w:hAnsi="Arial" w:cs="Arial"/>
          <w:b/>
          <w:sz w:val="24"/>
          <w:szCs w:val="24"/>
        </w:rPr>
        <w:t>23</w:t>
      </w:r>
      <w:r w:rsidR="00EE2A41">
        <w:rPr>
          <w:rFonts w:ascii="Arial" w:hAnsi="Arial" w:cs="Arial"/>
          <w:sz w:val="24"/>
          <w:szCs w:val="24"/>
        </w:rPr>
        <w:t xml:space="preserve">, </w:t>
      </w:r>
      <w:r w:rsidR="00E90065" w:rsidRPr="004503EE">
        <w:rPr>
          <w:rFonts w:ascii="Arial" w:hAnsi="Arial" w:cs="Arial"/>
          <w:sz w:val="24"/>
          <w:szCs w:val="24"/>
        </w:rPr>
        <w:t>185-</w:t>
      </w:r>
      <w:r w:rsidR="00EE2A41">
        <w:rPr>
          <w:rFonts w:ascii="Arial" w:hAnsi="Arial" w:cs="Arial"/>
          <w:sz w:val="24"/>
          <w:szCs w:val="24"/>
        </w:rPr>
        <w:t>18</w:t>
      </w:r>
      <w:r w:rsidR="00E90065" w:rsidRPr="004503EE">
        <w:rPr>
          <w:rFonts w:ascii="Arial" w:hAnsi="Arial" w:cs="Arial"/>
          <w:sz w:val="24"/>
          <w:szCs w:val="24"/>
        </w:rPr>
        <w:t>8</w:t>
      </w:r>
      <w:r w:rsidR="00EE2A41">
        <w:rPr>
          <w:rFonts w:ascii="Arial" w:hAnsi="Arial" w:cs="Arial"/>
          <w:sz w:val="24"/>
          <w:szCs w:val="24"/>
        </w:rPr>
        <w:t xml:space="preserve"> (1999)</w:t>
      </w:r>
      <w:r w:rsidR="00E90065" w:rsidRPr="004503EE">
        <w:rPr>
          <w:rFonts w:ascii="Arial" w:hAnsi="Arial" w:cs="Arial"/>
          <w:sz w:val="24"/>
          <w:szCs w:val="24"/>
        </w:rPr>
        <w:t>.</w:t>
      </w:r>
    </w:p>
    <w:p w:rsidR="00E90065" w:rsidRPr="004503EE" w:rsidRDefault="00E90065" w:rsidP="00E90065">
      <w:pPr>
        <w:rPr>
          <w:rFonts w:ascii="Arial" w:hAnsi="Arial" w:cs="Arial"/>
          <w:sz w:val="24"/>
          <w:szCs w:val="24"/>
        </w:rPr>
      </w:pPr>
    </w:p>
    <w:p w:rsidR="00E90065" w:rsidRPr="00BE4545" w:rsidRDefault="00E90065" w:rsidP="00E90065">
      <w:pPr>
        <w:rPr>
          <w:rFonts w:ascii="Arial" w:hAnsi="Arial" w:cs="Arial"/>
          <w:sz w:val="24"/>
          <w:szCs w:val="24"/>
        </w:rPr>
      </w:pPr>
      <w:proofErr w:type="spellStart"/>
      <w:r w:rsidRPr="00BE4545">
        <w:rPr>
          <w:rFonts w:ascii="Arial" w:hAnsi="Arial" w:cs="Arial"/>
          <w:sz w:val="24"/>
          <w:szCs w:val="24"/>
        </w:rPr>
        <w:t>Bienvenu</w:t>
      </w:r>
      <w:proofErr w:type="spellEnd"/>
      <w:r w:rsidRPr="00BE4545">
        <w:rPr>
          <w:rFonts w:ascii="Arial" w:hAnsi="Arial" w:cs="Arial"/>
          <w:sz w:val="24"/>
          <w:szCs w:val="24"/>
        </w:rPr>
        <w:t xml:space="preserve"> T, Villard L, De Roux N, Bourdon V, Fontes M, </w:t>
      </w:r>
      <w:proofErr w:type="spellStart"/>
      <w:r w:rsidRPr="00BE4545">
        <w:rPr>
          <w:rFonts w:ascii="Arial" w:hAnsi="Arial" w:cs="Arial"/>
          <w:sz w:val="24"/>
          <w:szCs w:val="24"/>
        </w:rPr>
        <w:t>Beldjord</w:t>
      </w:r>
      <w:proofErr w:type="spellEnd"/>
      <w:r w:rsidRPr="00BE4545">
        <w:rPr>
          <w:rFonts w:ascii="Arial" w:hAnsi="Arial" w:cs="Arial"/>
          <w:sz w:val="24"/>
          <w:szCs w:val="24"/>
        </w:rPr>
        <w:t xml:space="preserve"> C, </w:t>
      </w:r>
      <w:r>
        <w:rPr>
          <w:rFonts w:ascii="Arial" w:hAnsi="Arial" w:cs="Arial"/>
          <w:sz w:val="24"/>
          <w:szCs w:val="24"/>
        </w:rPr>
        <w:t xml:space="preserve">et al. </w:t>
      </w:r>
      <w:r w:rsidRPr="00BE4545">
        <w:rPr>
          <w:rFonts w:ascii="Arial" w:hAnsi="Arial" w:cs="Arial"/>
          <w:sz w:val="24"/>
          <w:szCs w:val="24"/>
        </w:rPr>
        <w:t>Spectrum of MECP2 mutations in Rett syndrome.</w:t>
      </w:r>
      <w:r>
        <w:rPr>
          <w:rFonts w:ascii="Arial" w:hAnsi="Arial" w:cs="Arial"/>
          <w:sz w:val="24"/>
          <w:szCs w:val="24"/>
        </w:rPr>
        <w:t xml:space="preserve"> </w:t>
      </w:r>
      <w:r w:rsidRPr="00BE4545">
        <w:rPr>
          <w:rFonts w:ascii="Arial" w:hAnsi="Arial" w:cs="Arial"/>
          <w:sz w:val="24"/>
          <w:szCs w:val="24"/>
        </w:rPr>
        <w:t xml:space="preserve">Genet Test. </w:t>
      </w:r>
      <w:r w:rsidRPr="00EE2A41">
        <w:rPr>
          <w:rFonts w:ascii="Arial" w:hAnsi="Arial" w:cs="Arial"/>
          <w:b/>
          <w:sz w:val="24"/>
          <w:szCs w:val="24"/>
        </w:rPr>
        <w:t>6</w:t>
      </w:r>
      <w:r w:rsidR="00EE2A41">
        <w:rPr>
          <w:rFonts w:ascii="Arial" w:hAnsi="Arial" w:cs="Arial"/>
          <w:sz w:val="24"/>
          <w:szCs w:val="24"/>
        </w:rPr>
        <w:t xml:space="preserve">, </w:t>
      </w:r>
      <w:r w:rsidRPr="00BE4545">
        <w:rPr>
          <w:rFonts w:ascii="Arial" w:hAnsi="Arial" w:cs="Arial"/>
          <w:sz w:val="24"/>
          <w:szCs w:val="24"/>
        </w:rPr>
        <w:t>1-6</w:t>
      </w:r>
      <w:r w:rsidR="00EE2A41">
        <w:rPr>
          <w:rFonts w:ascii="Arial" w:hAnsi="Arial" w:cs="Arial"/>
          <w:sz w:val="24"/>
          <w:szCs w:val="24"/>
        </w:rPr>
        <w:t xml:space="preserve"> (2002)</w:t>
      </w:r>
      <w:r w:rsidRPr="00BE4545">
        <w:rPr>
          <w:rFonts w:ascii="Arial" w:hAnsi="Arial" w:cs="Arial"/>
          <w:sz w:val="24"/>
          <w:szCs w:val="24"/>
        </w:rPr>
        <w:t>.</w:t>
      </w:r>
    </w:p>
    <w:p w:rsidR="004503EE" w:rsidRDefault="004503EE" w:rsidP="004503EE">
      <w:pPr>
        <w:rPr>
          <w:rFonts w:ascii="Arial" w:hAnsi="Arial" w:cs="Arial"/>
          <w:sz w:val="24"/>
          <w:szCs w:val="24"/>
        </w:rPr>
      </w:pPr>
    </w:p>
    <w:p w:rsidR="00E90065" w:rsidRPr="00BB0DBA" w:rsidRDefault="00E90065" w:rsidP="00E90065">
      <w:pPr>
        <w:rPr>
          <w:rFonts w:ascii="Arial" w:hAnsi="Arial" w:cs="Arial"/>
          <w:sz w:val="24"/>
          <w:szCs w:val="24"/>
        </w:rPr>
      </w:pPr>
      <w:r w:rsidRPr="00BB0DBA">
        <w:rPr>
          <w:rFonts w:ascii="Arial" w:hAnsi="Arial" w:cs="Arial"/>
          <w:sz w:val="24"/>
          <w:szCs w:val="24"/>
        </w:rPr>
        <w:t>Campos M Jr, Abdalla CB, Santos-</w:t>
      </w:r>
      <w:proofErr w:type="spellStart"/>
      <w:r w:rsidRPr="00BB0DBA">
        <w:rPr>
          <w:rFonts w:ascii="Arial" w:hAnsi="Arial" w:cs="Arial"/>
          <w:sz w:val="24"/>
          <w:szCs w:val="24"/>
        </w:rPr>
        <w:t>Rebouças</w:t>
      </w:r>
      <w:proofErr w:type="spellEnd"/>
      <w:r w:rsidRPr="00BB0DBA">
        <w:rPr>
          <w:rFonts w:ascii="Arial" w:hAnsi="Arial" w:cs="Arial"/>
          <w:sz w:val="24"/>
          <w:szCs w:val="24"/>
        </w:rPr>
        <w:t xml:space="preserve"> CB, dos Santos AV, </w:t>
      </w:r>
      <w:proofErr w:type="spellStart"/>
      <w:r w:rsidRPr="00BB0DBA">
        <w:rPr>
          <w:rFonts w:ascii="Arial" w:hAnsi="Arial" w:cs="Arial"/>
          <w:sz w:val="24"/>
          <w:szCs w:val="24"/>
        </w:rPr>
        <w:t>Pestana</w:t>
      </w:r>
      <w:proofErr w:type="spellEnd"/>
      <w:r w:rsidRPr="00BB0DBA">
        <w:rPr>
          <w:rFonts w:ascii="Arial" w:hAnsi="Arial" w:cs="Arial"/>
          <w:sz w:val="24"/>
          <w:szCs w:val="24"/>
        </w:rPr>
        <w:t xml:space="preserve"> CP, </w:t>
      </w:r>
      <w:proofErr w:type="spellStart"/>
      <w:r w:rsidRPr="00BB0DBA">
        <w:rPr>
          <w:rFonts w:ascii="Arial" w:hAnsi="Arial" w:cs="Arial"/>
          <w:sz w:val="24"/>
          <w:szCs w:val="24"/>
        </w:rPr>
        <w:t>Domingues</w:t>
      </w:r>
      <w:proofErr w:type="spellEnd"/>
      <w:r w:rsidRPr="00BB0DBA">
        <w:rPr>
          <w:rFonts w:ascii="Arial" w:hAnsi="Arial" w:cs="Arial"/>
          <w:sz w:val="24"/>
          <w:szCs w:val="24"/>
        </w:rPr>
        <w:t xml:space="preserve"> ML, </w:t>
      </w:r>
      <w:r>
        <w:rPr>
          <w:rFonts w:ascii="Arial" w:hAnsi="Arial" w:cs="Arial"/>
          <w:sz w:val="24"/>
          <w:szCs w:val="24"/>
        </w:rPr>
        <w:t xml:space="preserve">et al. </w:t>
      </w:r>
      <w:r w:rsidRPr="00BB0DBA">
        <w:rPr>
          <w:rFonts w:ascii="Arial" w:hAnsi="Arial" w:cs="Arial"/>
          <w:sz w:val="24"/>
          <w:szCs w:val="24"/>
        </w:rPr>
        <w:t>Low significance of MECP2 mutations as a cause of mental retardation in Brazilian males</w:t>
      </w:r>
      <w:r>
        <w:rPr>
          <w:rFonts w:ascii="Arial" w:hAnsi="Arial" w:cs="Arial"/>
          <w:sz w:val="24"/>
          <w:szCs w:val="24"/>
        </w:rPr>
        <w:t xml:space="preserve">. </w:t>
      </w:r>
      <w:r w:rsidRPr="00BB0DBA">
        <w:rPr>
          <w:rFonts w:ascii="Arial" w:hAnsi="Arial" w:cs="Arial"/>
          <w:sz w:val="24"/>
          <w:szCs w:val="24"/>
        </w:rPr>
        <w:t>Brain Dev.</w:t>
      </w:r>
      <w:r w:rsidR="008914B0">
        <w:rPr>
          <w:rFonts w:ascii="Arial" w:hAnsi="Arial" w:cs="Arial"/>
          <w:sz w:val="24"/>
          <w:szCs w:val="24"/>
        </w:rPr>
        <w:t xml:space="preserve"> </w:t>
      </w:r>
      <w:r w:rsidRPr="00126F18">
        <w:rPr>
          <w:rFonts w:ascii="Arial" w:hAnsi="Arial" w:cs="Arial"/>
          <w:b/>
          <w:sz w:val="24"/>
          <w:szCs w:val="24"/>
        </w:rPr>
        <w:t>29</w:t>
      </w:r>
      <w:r w:rsidR="008914B0">
        <w:rPr>
          <w:rFonts w:ascii="Arial" w:hAnsi="Arial" w:cs="Arial"/>
          <w:sz w:val="24"/>
          <w:szCs w:val="24"/>
        </w:rPr>
        <w:t xml:space="preserve">, </w:t>
      </w:r>
      <w:r w:rsidRPr="00BB0DBA">
        <w:rPr>
          <w:rFonts w:ascii="Arial" w:hAnsi="Arial" w:cs="Arial"/>
          <w:sz w:val="24"/>
          <w:szCs w:val="24"/>
        </w:rPr>
        <w:t>293-</w:t>
      </w:r>
      <w:r w:rsidR="008914B0">
        <w:rPr>
          <w:rFonts w:ascii="Arial" w:hAnsi="Arial" w:cs="Arial"/>
          <w:sz w:val="24"/>
          <w:szCs w:val="24"/>
        </w:rPr>
        <w:t>29</w:t>
      </w:r>
      <w:r w:rsidRPr="00BB0DBA">
        <w:rPr>
          <w:rFonts w:ascii="Arial" w:hAnsi="Arial" w:cs="Arial"/>
          <w:sz w:val="24"/>
          <w:szCs w:val="24"/>
        </w:rPr>
        <w:t>7</w:t>
      </w:r>
      <w:r w:rsidR="008914B0">
        <w:rPr>
          <w:rFonts w:ascii="Arial" w:hAnsi="Arial" w:cs="Arial"/>
          <w:sz w:val="24"/>
          <w:szCs w:val="24"/>
        </w:rPr>
        <w:t xml:space="preserve"> (2007)</w:t>
      </w:r>
      <w:r w:rsidRPr="00BB0DBA">
        <w:rPr>
          <w:rFonts w:ascii="Arial" w:hAnsi="Arial" w:cs="Arial"/>
          <w:sz w:val="24"/>
          <w:szCs w:val="24"/>
        </w:rPr>
        <w:t>.</w:t>
      </w:r>
    </w:p>
    <w:p w:rsidR="00E90065" w:rsidRDefault="00E90065" w:rsidP="004503EE">
      <w:pPr>
        <w:rPr>
          <w:rFonts w:ascii="Arial" w:hAnsi="Arial" w:cs="Arial"/>
          <w:sz w:val="24"/>
          <w:szCs w:val="24"/>
        </w:rPr>
      </w:pPr>
    </w:p>
    <w:p w:rsidR="00E90065" w:rsidRPr="00BE4545" w:rsidRDefault="00E90065" w:rsidP="00E90065">
      <w:pPr>
        <w:rPr>
          <w:rFonts w:ascii="Arial" w:hAnsi="Arial" w:cs="Arial"/>
          <w:sz w:val="24"/>
          <w:szCs w:val="24"/>
        </w:rPr>
      </w:pPr>
      <w:r w:rsidRPr="00BE4545">
        <w:rPr>
          <w:rFonts w:ascii="Arial" w:hAnsi="Arial" w:cs="Arial"/>
          <w:sz w:val="24"/>
          <w:szCs w:val="24"/>
        </w:rPr>
        <w:t xml:space="preserve">Cheadle JP, Gill H, Fleming N, Maynard J, Kerr A, Leonard H, </w:t>
      </w:r>
      <w:r>
        <w:rPr>
          <w:rFonts w:ascii="Arial" w:hAnsi="Arial" w:cs="Arial"/>
          <w:sz w:val="24"/>
          <w:szCs w:val="24"/>
        </w:rPr>
        <w:t xml:space="preserve">et al. </w:t>
      </w:r>
      <w:r w:rsidRPr="00BE4545">
        <w:rPr>
          <w:rFonts w:ascii="Arial" w:hAnsi="Arial" w:cs="Arial"/>
          <w:sz w:val="24"/>
          <w:szCs w:val="24"/>
        </w:rPr>
        <w:t>Long-read sequence analysis of the MECP2 gene in Rett syndrome patients: correlation of disease severity with mutation type and location.</w:t>
      </w:r>
      <w:r>
        <w:rPr>
          <w:rFonts w:ascii="Arial" w:hAnsi="Arial" w:cs="Arial"/>
          <w:sz w:val="24"/>
          <w:szCs w:val="24"/>
        </w:rPr>
        <w:t xml:space="preserve"> </w:t>
      </w:r>
      <w:r w:rsidRPr="00BE4545">
        <w:rPr>
          <w:rFonts w:ascii="Arial" w:hAnsi="Arial" w:cs="Arial"/>
          <w:sz w:val="24"/>
          <w:szCs w:val="24"/>
        </w:rPr>
        <w:t xml:space="preserve">Hum </w:t>
      </w:r>
      <w:proofErr w:type="spellStart"/>
      <w:r w:rsidRPr="00BE4545">
        <w:rPr>
          <w:rFonts w:ascii="Arial" w:hAnsi="Arial" w:cs="Arial"/>
          <w:sz w:val="24"/>
          <w:szCs w:val="24"/>
        </w:rPr>
        <w:t>Mol</w:t>
      </w:r>
      <w:proofErr w:type="spellEnd"/>
      <w:r w:rsidRPr="00BE4545">
        <w:rPr>
          <w:rFonts w:ascii="Arial" w:hAnsi="Arial" w:cs="Arial"/>
          <w:sz w:val="24"/>
          <w:szCs w:val="24"/>
        </w:rPr>
        <w:t xml:space="preserve"> Genet. </w:t>
      </w:r>
      <w:r w:rsidRPr="004B36A3">
        <w:rPr>
          <w:rFonts w:ascii="Arial" w:hAnsi="Arial" w:cs="Arial"/>
          <w:b/>
          <w:sz w:val="24"/>
          <w:szCs w:val="24"/>
        </w:rPr>
        <w:t>9</w:t>
      </w:r>
      <w:r w:rsidR="004B36A3">
        <w:rPr>
          <w:rFonts w:ascii="Arial" w:hAnsi="Arial" w:cs="Arial"/>
          <w:sz w:val="24"/>
          <w:szCs w:val="24"/>
        </w:rPr>
        <w:t xml:space="preserve">, </w:t>
      </w:r>
      <w:r w:rsidRPr="00BE4545">
        <w:rPr>
          <w:rFonts w:ascii="Arial" w:hAnsi="Arial" w:cs="Arial"/>
          <w:sz w:val="24"/>
          <w:szCs w:val="24"/>
        </w:rPr>
        <w:t>1119-</w:t>
      </w:r>
      <w:r w:rsidR="004B36A3">
        <w:rPr>
          <w:rFonts w:ascii="Arial" w:hAnsi="Arial" w:cs="Arial"/>
          <w:sz w:val="24"/>
          <w:szCs w:val="24"/>
        </w:rPr>
        <w:t>11</w:t>
      </w:r>
      <w:r w:rsidRPr="00BE4545">
        <w:rPr>
          <w:rFonts w:ascii="Arial" w:hAnsi="Arial" w:cs="Arial"/>
          <w:sz w:val="24"/>
          <w:szCs w:val="24"/>
        </w:rPr>
        <w:t>29</w:t>
      </w:r>
      <w:r w:rsidR="004B36A3">
        <w:rPr>
          <w:rFonts w:ascii="Arial" w:hAnsi="Arial" w:cs="Arial"/>
          <w:sz w:val="24"/>
          <w:szCs w:val="24"/>
        </w:rPr>
        <w:t xml:space="preserve"> (2000)</w:t>
      </w:r>
      <w:r w:rsidRPr="00BE4545">
        <w:rPr>
          <w:rFonts w:ascii="Arial" w:hAnsi="Arial" w:cs="Arial"/>
          <w:sz w:val="24"/>
          <w:szCs w:val="24"/>
        </w:rPr>
        <w:t>.</w:t>
      </w:r>
    </w:p>
    <w:p w:rsidR="00291F29" w:rsidRPr="00291F29" w:rsidRDefault="00291F29" w:rsidP="00291F29">
      <w:pPr>
        <w:rPr>
          <w:rFonts w:ascii="Arial" w:hAnsi="Arial" w:cs="Arial"/>
          <w:sz w:val="24"/>
          <w:szCs w:val="24"/>
        </w:rPr>
      </w:pPr>
    </w:p>
    <w:p w:rsidR="00E90065" w:rsidRPr="00291F29" w:rsidRDefault="00291F29" w:rsidP="00E90065">
      <w:pPr>
        <w:rPr>
          <w:rFonts w:ascii="Arial" w:hAnsi="Arial" w:cs="Arial"/>
          <w:sz w:val="24"/>
          <w:szCs w:val="24"/>
        </w:rPr>
      </w:pPr>
      <w:r w:rsidRPr="00291F29">
        <w:rPr>
          <w:rFonts w:ascii="Arial" w:hAnsi="Arial" w:cs="Arial"/>
          <w:sz w:val="24"/>
          <w:szCs w:val="24"/>
        </w:rPr>
        <w:t xml:space="preserve">De Bona C, </w:t>
      </w:r>
      <w:proofErr w:type="spellStart"/>
      <w:r w:rsidRPr="00291F29">
        <w:rPr>
          <w:rFonts w:ascii="Arial" w:hAnsi="Arial" w:cs="Arial"/>
          <w:sz w:val="24"/>
          <w:szCs w:val="24"/>
        </w:rPr>
        <w:t>Zappella</w:t>
      </w:r>
      <w:proofErr w:type="spellEnd"/>
      <w:r w:rsidRPr="00291F29">
        <w:rPr>
          <w:rFonts w:ascii="Arial" w:hAnsi="Arial" w:cs="Arial"/>
          <w:sz w:val="24"/>
          <w:szCs w:val="24"/>
        </w:rPr>
        <w:t xml:space="preserve"> M, Hayek G, </w:t>
      </w:r>
      <w:proofErr w:type="spellStart"/>
      <w:r w:rsidRPr="00291F29">
        <w:rPr>
          <w:rFonts w:ascii="Arial" w:hAnsi="Arial" w:cs="Arial"/>
          <w:sz w:val="24"/>
          <w:szCs w:val="24"/>
        </w:rPr>
        <w:t>Meloni</w:t>
      </w:r>
      <w:proofErr w:type="spellEnd"/>
      <w:r w:rsidRPr="00291F29">
        <w:rPr>
          <w:rFonts w:ascii="Arial" w:hAnsi="Arial" w:cs="Arial"/>
          <w:sz w:val="24"/>
          <w:szCs w:val="24"/>
        </w:rPr>
        <w:t xml:space="preserve"> I, Vitelli F, </w:t>
      </w:r>
      <w:proofErr w:type="spellStart"/>
      <w:r w:rsidRPr="00291F29">
        <w:rPr>
          <w:rFonts w:ascii="Arial" w:hAnsi="Arial" w:cs="Arial"/>
          <w:sz w:val="24"/>
          <w:szCs w:val="24"/>
        </w:rPr>
        <w:t>Bruttini</w:t>
      </w:r>
      <w:proofErr w:type="spellEnd"/>
      <w:r w:rsidRPr="00291F29">
        <w:rPr>
          <w:rFonts w:ascii="Arial" w:hAnsi="Arial" w:cs="Arial"/>
          <w:sz w:val="24"/>
          <w:szCs w:val="24"/>
        </w:rPr>
        <w:t xml:space="preserve"> M, </w:t>
      </w:r>
      <w:r w:rsidR="00E90065">
        <w:rPr>
          <w:rFonts w:ascii="Arial" w:hAnsi="Arial" w:cs="Arial"/>
          <w:sz w:val="24"/>
          <w:szCs w:val="24"/>
        </w:rPr>
        <w:t xml:space="preserve">et al. </w:t>
      </w:r>
      <w:r w:rsidR="00E90065" w:rsidRPr="00291F29">
        <w:rPr>
          <w:rFonts w:ascii="Arial" w:hAnsi="Arial" w:cs="Arial"/>
          <w:sz w:val="24"/>
          <w:szCs w:val="24"/>
        </w:rPr>
        <w:t>Preserved speech variant is allelic of classic Rett syndrome.</w:t>
      </w:r>
      <w:r w:rsidR="00E9006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0065" w:rsidRPr="00291F29">
        <w:rPr>
          <w:rFonts w:ascii="Arial" w:hAnsi="Arial" w:cs="Arial"/>
          <w:sz w:val="24"/>
          <w:szCs w:val="24"/>
        </w:rPr>
        <w:t>Eur</w:t>
      </w:r>
      <w:proofErr w:type="spellEnd"/>
      <w:r w:rsidR="00E90065" w:rsidRPr="00291F29">
        <w:rPr>
          <w:rFonts w:ascii="Arial" w:hAnsi="Arial" w:cs="Arial"/>
          <w:sz w:val="24"/>
          <w:szCs w:val="24"/>
        </w:rPr>
        <w:t xml:space="preserve"> J Hum Genet. </w:t>
      </w:r>
      <w:r w:rsidR="00E90065" w:rsidRPr="004B36A3">
        <w:rPr>
          <w:rFonts w:ascii="Arial" w:hAnsi="Arial" w:cs="Arial"/>
          <w:b/>
          <w:sz w:val="24"/>
          <w:szCs w:val="24"/>
        </w:rPr>
        <w:t>8</w:t>
      </w:r>
      <w:r w:rsidR="004B36A3">
        <w:rPr>
          <w:rFonts w:ascii="Arial" w:hAnsi="Arial" w:cs="Arial"/>
          <w:sz w:val="24"/>
          <w:szCs w:val="24"/>
        </w:rPr>
        <w:t xml:space="preserve">, </w:t>
      </w:r>
      <w:r w:rsidR="00E90065" w:rsidRPr="00291F29">
        <w:rPr>
          <w:rFonts w:ascii="Arial" w:hAnsi="Arial" w:cs="Arial"/>
          <w:sz w:val="24"/>
          <w:szCs w:val="24"/>
        </w:rPr>
        <w:t>325-</w:t>
      </w:r>
      <w:r w:rsidR="004B36A3">
        <w:rPr>
          <w:rFonts w:ascii="Arial" w:hAnsi="Arial" w:cs="Arial"/>
          <w:sz w:val="24"/>
          <w:szCs w:val="24"/>
        </w:rPr>
        <w:t>3</w:t>
      </w:r>
      <w:r w:rsidR="00E90065" w:rsidRPr="00291F29">
        <w:rPr>
          <w:rFonts w:ascii="Arial" w:hAnsi="Arial" w:cs="Arial"/>
          <w:sz w:val="24"/>
          <w:szCs w:val="24"/>
        </w:rPr>
        <w:t>30</w:t>
      </w:r>
      <w:r w:rsidR="004B36A3">
        <w:rPr>
          <w:rFonts w:ascii="Arial" w:hAnsi="Arial" w:cs="Arial"/>
          <w:sz w:val="24"/>
          <w:szCs w:val="24"/>
        </w:rPr>
        <w:t xml:space="preserve"> (2000).</w:t>
      </w:r>
    </w:p>
    <w:p w:rsidR="00BB0DBA" w:rsidRDefault="00BB0DBA" w:rsidP="00BE4545">
      <w:pPr>
        <w:rPr>
          <w:rFonts w:ascii="Arial" w:hAnsi="Arial" w:cs="Arial"/>
          <w:sz w:val="24"/>
          <w:szCs w:val="24"/>
        </w:rPr>
      </w:pPr>
    </w:p>
    <w:p w:rsidR="001B5731" w:rsidRPr="006F4141" w:rsidRDefault="001B5731" w:rsidP="001B5731">
      <w:pPr>
        <w:widowControl/>
        <w:tabs>
          <w:tab w:val="left" w:pos="1487"/>
        </w:tabs>
        <w:spacing w:before="120" w:after="120" w:line="300" w:lineRule="atLeast"/>
        <w:jc w:val="left"/>
        <w:outlineLvl w:val="0"/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</w:pP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Obata K,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Matsuishi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T, Yamashita Y, Fukuda T,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Kuwajima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K, Horiuchi I, </w:t>
      </w:r>
      <w:r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et al.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Mutation analysis of the methyl-CpG binding protein 2 gene (MECP2) in patients with Rett syndrome.</w:t>
      </w:r>
      <w:r>
        <w:rPr>
          <w:rFonts w:ascii="Arial" w:eastAsia="ＭＳ Ｐゴシック" w:hAnsi="Arial" w:cs="Arial" w:hint="eastAsia"/>
          <w:bCs/>
          <w:color w:val="000000"/>
          <w:kern w:val="36"/>
          <w:sz w:val="24"/>
          <w:szCs w:val="24"/>
        </w:rPr>
        <w:t xml:space="preserve">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J Med Genet. </w:t>
      </w:r>
      <w:r w:rsidRPr="00B17EE9">
        <w:rPr>
          <w:rFonts w:ascii="Arial" w:eastAsia="ＭＳ Ｐゴシック" w:hAnsi="Arial" w:cs="Arial"/>
          <w:b/>
          <w:bCs/>
          <w:color w:val="000000"/>
          <w:kern w:val="36"/>
          <w:sz w:val="24"/>
          <w:szCs w:val="24"/>
        </w:rPr>
        <w:t>37</w:t>
      </w:r>
      <w:r w:rsidR="00B17EE9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,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608-</w:t>
      </w:r>
      <w:r w:rsidR="00B17EE9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6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10</w:t>
      </w:r>
      <w:r w:rsidR="00B17EE9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(2000)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. </w:t>
      </w:r>
    </w:p>
    <w:p w:rsidR="00BB0DBA" w:rsidRPr="00BB0DBA" w:rsidRDefault="00BB0DBA" w:rsidP="00BE4545">
      <w:pPr>
        <w:rPr>
          <w:rFonts w:ascii="Arial" w:hAnsi="Arial" w:cs="Arial"/>
          <w:sz w:val="24"/>
          <w:szCs w:val="24"/>
        </w:rPr>
      </w:pPr>
    </w:p>
    <w:p w:rsidR="00A85994" w:rsidRPr="008C080F" w:rsidRDefault="008A5864" w:rsidP="004503EE">
      <w:pPr>
        <w:rPr>
          <w:rFonts w:ascii="Arial" w:hAnsi="Arial" w:cs="Arial"/>
          <w:sz w:val="24"/>
          <w:szCs w:val="24"/>
        </w:rPr>
      </w:pP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Wan M, Lee SS, Zhang X, </w:t>
      </w:r>
      <w:proofErr w:type="spellStart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Houwink</w:t>
      </w:r>
      <w:proofErr w:type="spellEnd"/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-Manville I, Song HR, Amir RE, </w:t>
      </w:r>
      <w:r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et al.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Rett syndrome and beyond: recurrent spontaneous and familial MECP2 mutations at CpG hotspots.</w:t>
      </w:r>
      <w:r>
        <w:rPr>
          <w:rFonts w:ascii="Arial" w:eastAsia="ＭＳ Ｐゴシック" w:hAnsi="Arial" w:cs="Arial" w:hint="eastAsia"/>
          <w:bCs/>
          <w:color w:val="000000"/>
          <w:kern w:val="36"/>
          <w:sz w:val="24"/>
          <w:szCs w:val="24"/>
        </w:rPr>
        <w:t xml:space="preserve">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Am J Hum Genet. </w:t>
      </w:r>
      <w:r w:rsidRPr="000151BF">
        <w:rPr>
          <w:rFonts w:ascii="Arial" w:eastAsia="ＭＳ Ｐゴシック" w:hAnsi="Arial" w:cs="Arial"/>
          <w:b/>
          <w:bCs/>
          <w:color w:val="000000"/>
          <w:kern w:val="36"/>
          <w:sz w:val="24"/>
          <w:szCs w:val="24"/>
        </w:rPr>
        <w:t>65</w:t>
      </w:r>
      <w:r w:rsidR="00865B90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, 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1520-</w:t>
      </w:r>
      <w:r w:rsidR="00865B90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152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9</w:t>
      </w:r>
      <w:r w:rsidR="00865B90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 xml:space="preserve"> (19999)</w:t>
      </w:r>
      <w:r w:rsidRPr="002C47CB">
        <w:rPr>
          <w:rFonts w:ascii="Arial" w:eastAsia="ＭＳ Ｐゴシック" w:hAnsi="Arial" w:cs="Arial"/>
          <w:bCs/>
          <w:color w:val="000000"/>
          <w:kern w:val="36"/>
          <w:sz w:val="24"/>
          <w:szCs w:val="24"/>
        </w:rPr>
        <w:t>.</w:t>
      </w:r>
    </w:p>
    <w:sectPr w:rsidR="00A85994" w:rsidRPr="008C080F" w:rsidSect="002E02E7">
      <w:footerReference w:type="even" r:id="rId7"/>
      <w:footerReference w:type="default" r:id="rId8"/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CC7" w:rsidRDefault="00981CC7" w:rsidP="000845D2">
      <w:r>
        <w:separator/>
      </w:r>
    </w:p>
  </w:endnote>
  <w:endnote w:type="continuationSeparator" w:id="0">
    <w:p w:rsidR="00981CC7" w:rsidRDefault="00981CC7" w:rsidP="0008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-1982221519"/>
      <w:docPartObj>
        <w:docPartGallery w:val="Page Numbers (Bottom of Page)"/>
        <w:docPartUnique/>
      </w:docPartObj>
    </w:sdtPr>
    <w:sdtContent>
      <w:p w:rsidR="000845D2" w:rsidRDefault="000845D2" w:rsidP="00B4577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0845D2" w:rsidRDefault="000845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-1134177696"/>
      <w:docPartObj>
        <w:docPartGallery w:val="Page Numbers (Bottom of Page)"/>
        <w:docPartUnique/>
      </w:docPartObj>
    </w:sdtPr>
    <w:sdtContent>
      <w:p w:rsidR="000845D2" w:rsidRDefault="000845D2" w:rsidP="00B4577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:rsidR="000845D2" w:rsidRDefault="000845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CC7" w:rsidRDefault="00981CC7" w:rsidP="000845D2">
      <w:r>
        <w:separator/>
      </w:r>
    </w:p>
  </w:footnote>
  <w:footnote w:type="continuationSeparator" w:id="0">
    <w:p w:rsidR="00981CC7" w:rsidRDefault="00981CC7" w:rsidP="00084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14077"/>
    <w:multiLevelType w:val="hybridMultilevel"/>
    <w:tmpl w:val="2B26D8DC"/>
    <w:lvl w:ilvl="0" w:tplc="0B204A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8D"/>
    <w:rsid w:val="000151BF"/>
    <w:rsid w:val="000845D2"/>
    <w:rsid w:val="000B21DE"/>
    <w:rsid w:val="000F2E52"/>
    <w:rsid w:val="00126F18"/>
    <w:rsid w:val="001821B2"/>
    <w:rsid w:val="001B29CD"/>
    <w:rsid w:val="001B5731"/>
    <w:rsid w:val="00214880"/>
    <w:rsid w:val="00291F29"/>
    <w:rsid w:val="002A2812"/>
    <w:rsid w:val="002C47CB"/>
    <w:rsid w:val="002E02E7"/>
    <w:rsid w:val="00300B34"/>
    <w:rsid w:val="003F1836"/>
    <w:rsid w:val="004503EE"/>
    <w:rsid w:val="004B36A3"/>
    <w:rsid w:val="00533EF6"/>
    <w:rsid w:val="00562B52"/>
    <w:rsid w:val="00674916"/>
    <w:rsid w:val="006D2311"/>
    <w:rsid w:val="006F4141"/>
    <w:rsid w:val="007C21A5"/>
    <w:rsid w:val="00865B90"/>
    <w:rsid w:val="008914B0"/>
    <w:rsid w:val="0089238D"/>
    <w:rsid w:val="008A5864"/>
    <w:rsid w:val="008C080F"/>
    <w:rsid w:val="008D3A96"/>
    <w:rsid w:val="0092685A"/>
    <w:rsid w:val="00981CC7"/>
    <w:rsid w:val="00A85994"/>
    <w:rsid w:val="00B17EE9"/>
    <w:rsid w:val="00BA6C8B"/>
    <w:rsid w:val="00BB0DBA"/>
    <w:rsid w:val="00BC4CFD"/>
    <w:rsid w:val="00BD3DC1"/>
    <w:rsid w:val="00BE4545"/>
    <w:rsid w:val="00C32F2E"/>
    <w:rsid w:val="00C934CD"/>
    <w:rsid w:val="00CB3384"/>
    <w:rsid w:val="00CB602B"/>
    <w:rsid w:val="00D85AB4"/>
    <w:rsid w:val="00DE45D5"/>
    <w:rsid w:val="00E90065"/>
    <w:rsid w:val="00EE2A41"/>
    <w:rsid w:val="00F2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094A27"/>
  <w15:chartTrackingRefBased/>
  <w15:docId w15:val="{614B0386-D8E2-DC42-AC6E-B29643917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38D"/>
    <w:pPr>
      <w:widowControl w:val="0"/>
      <w:jc w:val="both"/>
    </w:pPr>
    <w:rPr>
      <w:szCs w:val="22"/>
    </w:rPr>
  </w:style>
  <w:style w:type="paragraph" w:styleId="1">
    <w:name w:val="heading 1"/>
    <w:basedOn w:val="a"/>
    <w:link w:val="10"/>
    <w:uiPriority w:val="9"/>
    <w:qFormat/>
    <w:rsid w:val="006F4141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38D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6F4141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6F41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4141"/>
  </w:style>
  <w:style w:type="character" w:customStyle="1" w:styleId="highlight">
    <w:name w:val="highlight"/>
    <w:basedOn w:val="a0"/>
    <w:rsid w:val="006F4141"/>
  </w:style>
  <w:style w:type="paragraph" w:styleId="a5">
    <w:name w:val="footer"/>
    <w:basedOn w:val="a"/>
    <w:link w:val="a6"/>
    <w:uiPriority w:val="99"/>
    <w:unhideWhenUsed/>
    <w:rsid w:val="000845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45D2"/>
    <w:rPr>
      <w:szCs w:val="22"/>
    </w:rPr>
  </w:style>
  <w:style w:type="character" w:styleId="a7">
    <w:name w:val="page number"/>
    <w:basedOn w:val="a0"/>
    <w:uiPriority w:val="99"/>
    <w:semiHidden/>
    <w:unhideWhenUsed/>
    <w:rsid w:val="0008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2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533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1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IIDA</dc:creator>
  <cp:keywords/>
  <dc:description/>
  <cp:lastModifiedBy>Ari IIDA</cp:lastModifiedBy>
  <cp:revision>37</cp:revision>
  <dcterms:created xsi:type="dcterms:W3CDTF">2019-07-22T07:00:00Z</dcterms:created>
  <dcterms:modified xsi:type="dcterms:W3CDTF">2019-07-24T04:56:00Z</dcterms:modified>
</cp:coreProperties>
</file>