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3DDF7" w14:textId="2BD4D5BC" w:rsidR="00834266" w:rsidRPr="00834266" w:rsidRDefault="00834266" w:rsidP="00834266">
      <w:pPr>
        <w:keepNext/>
        <w:keepLines/>
        <w:spacing w:after="0" w:line="360" w:lineRule="auto"/>
        <w:jc w:val="both"/>
        <w:outlineLvl w:val="0"/>
        <w:rPr>
          <w:rFonts w:ascii="Times New Roman" w:eastAsia="Times New Roman" w:hAnsi="Times New Roman" w:cs="Times New Roman"/>
          <w:b/>
          <w:color w:val="000000"/>
          <w:spacing w:val="-10"/>
          <w:kern w:val="28"/>
          <w:sz w:val="22"/>
          <w:szCs w:val="22"/>
          <w:lang w:val="en-US"/>
          <w14:ligatures w14:val="none"/>
        </w:rPr>
      </w:pPr>
      <w:r>
        <w:rPr>
          <w:rFonts w:ascii="Times New Roman" w:eastAsia="Times New Roman" w:hAnsi="Times New Roman" w:cs="Times New Roman"/>
          <w:b/>
          <w:color w:val="000000"/>
          <w:spacing w:val="-10"/>
          <w:kern w:val="28"/>
          <w:sz w:val="22"/>
          <w:szCs w:val="22"/>
          <w:lang w:val="en-US"/>
          <w14:ligatures w14:val="none"/>
        </w:rPr>
        <w:t xml:space="preserve">1. </w:t>
      </w:r>
      <w:r w:rsidRPr="00834266">
        <w:rPr>
          <w:rFonts w:ascii="Times New Roman" w:eastAsia="Times New Roman" w:hAnsi="Times New Roman" w:cs="Times New Roman"/>
          <w:b/>
          <w:color w:val="000000"/>
          <w:spacing w:val="-10"/>
          <w:kern w:val="28"/>
          <w:sz w:val="22"/>
          <w:szCs w:val="22"/>
          <w:lang w:val="en-US"/>
          <w14:ligatures w14:val="none"/>
        </w:rPr>
        <w:t>SUPPLEMENTARY METHODS</w:t>
      </w:r>
    </w:p>
    <w:p w14:paraId="6F6C2001" w14:textId="7990EB62" w:rsidR="00834266" w:rsidRPr="00834266" w:rsidRDefault="00834266" w:rsidP="00834266">
      <w:pPr>
        <w:rPr>
          <w:rFonts w:ascii="Times New Roman" w:hAnsi="Times New Roman" w:cs="Times New Roman"/>
          <w:b/>
          <w:bCs/>
          <w:sz w:val="20"/>
          <w:szCs w:val="20"/>
          <w:lang w:val="en-US"/>
        </w:rPr>
      </w:pPr>
      <w:r w:rsidRPr="00834266">
        <w:rPr>
          <w:rFonts w:ascii="Times New Roman" w:hAnsi="Times New Roman" w:cs="Times New Roman"/>
          <w:b/>
          <w:bCs/>
          <w:sz w:val="20"/>
          <w:szCs w:val="20"/>
          <w:lang w:val="en-US"/>
        </w:rPr>
        <w:t>1.1 Supplementary analysis of immunohistochemical protein-expression ratios</w:t>
      </w:r>
    </w:p>
    <w:p w14:paraId="7218AAE9" w14:textId="3465C1FA" w:rsidR="00600F79" w:rsidRPr="00600F79"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To further investigate the interplay among inflammatory, angiogenic, hypoxic, and renin–angiotensin system-related pathways in the urinary bladder of spontaneously hypertensive rats (SHR), additional analyses were performed using ratios derived from immunohistochemical expression data. Immunohistochemical procedures and image acquisition were conducted as previously described by Veras et al. (2020). Semi-quantitative protein expression was obtained through image analysis based on the relative area of positive staining, and values were used to compute protein-to-protein ratios. This approach allows an integrative assessment of pathway balance, providing insight into the relative predominance of pro- versus anti-inflammatory, pro- versus anti-fibrotic, and vasoconstrictive versus vasodilatory signaling within the tissue microenvironment.</w:t>
      </w:r>
    </w:p>
    <w:p w14:paraId="3761A0EF" w14:textId="77777777" w:rsidR="00600F79" w:rsidRPr="00600F79"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For each animal, ratios were calculated using the following formula:</w:t>
      </w:r>
    </w:p>
    <w:p w14:paraId="234CB3A4" w14:textId="6DA37FAB" w:rsidR="00600F79" w:rsidRPr="00600F79" w:rsidRDefault="00600F79" w:rsidP="00600F79">
      <w:pPr>
        <w:spacing w:after="0" w:line="360" w:lineRule="auto"/>
        <w:ind w:firstLine="709"/>
        <w:jc w:val="both"/>
        <w:rPr>
          <w:rFonts w:ascii="Times New Roman" w:hAnsi="Times New Roman" w:cs="Times New Roman"/>
          <w:sz w:val="20"/>
          <w:szCs w:val="20"/>
        </w:rPr>
      </w:pPr>
      <w:proofErr w:type="spellStart"/>
      <w:r w:rsidRPr="00600F79">
        <w:rPr>
          <w:rFonts w:ascii="Times New Roman" w:hAnsi="Times New Roman" w:cs="Times New Roman"/>
          <w:sz w:val="20"/>
          <w:szCs w:val="20"/>
        </w:rPr>
        <w:t>Ratio</w:t>
      </w:r>
      <w:proofErr w:type="spellEnd"/>
      <w:r w:rsidRPr="00600F79">
        <w:rPr>
          <w:rFonts w:ascii="Times New Roman" w:hAnsi="Times New Roman" w:cs="Times New Roman"/>
          <w:sz w:val="20"/>
          <w:szCs w:val="20"/>
        </w:rPr>
        <w:t xml:space="preserve"> (%) = (protein A / protein B) × 100</w:t>
      </w:r>
    </w:p>
    <w:p w14:paraId="33EB9DE2" w14:textId="77777777" w:rsidR="00600F79" w:rsidRDefault="00600F79" w:rsidP="00600F79">
      <w:pPr>
        <w:spacing w:after="0" w:line="360" w:lineRule="auto"/>
        <w:ind w:firstLine="709"/>
        <w:jc w:val="both"/>
        <w:rPr>
          <w:rFonts w:ascii="Times New Roman" w:hAnsi="Times New Roman" w:cs="Times New Roman"/>
          <w:sz w:val="20"/>
          <w:szCs w:val="20"/>
          <w:lang w:val="en-US"/>
        </w:rPr>
      </w:pPr>
    </w:p>
    <w:p w14:paraId="50945399" w14:textId="3ECF5B3A" w:rsidR="00600F79" w:rsidRPr="00600F79"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For example, the IL-6/IL-10 ratio was determined by dividing the immunohistochemical value of IL-6 by that of IL-10 and multiplying by 100. The same approach was applied to the following ratios: IL-6/IL-10, NF-</w:t>
      </w:r>
      <w:proofErr w:type="spellStart"/>
      <w:r w:rsidRPr="00600F79">
        <w:rPr>
          <w:rFonts w:ascii="Times New Roman" w:hAnsi="Times New Roman" w:cs="Times New Roman"/>
          <w:sz w:val="20"/>
          <w:szCs w:val="20"/>
          <w:lang w:val="en-US"/>
        </w:rPr>
        <w:t>κB</w:t>
      </w:r>
      <w:proofErr w:type="spellEnd"/>
      <w:r w:rsidRPr="00600F79">
        <w:rPr>
          <w:rFonts w:ascii="Times New Roman" w:hAnsi="Times New Roman" w:cs="Times New Roman"/>
          <w:sz w:val="20"/>
          <w:szCs w:val="20"/>
          <w:lang w:val="en-US"/>
        </w:rPr>
        <w:t>/IL-10, MAS/IL-6, MAS/IL-10, MAS/TGF-β, MAS/VEGF, MAS/HIF-1α, AT1/IL-10, AT1/IL-6, AT1/TGF-β, AT1/VEGF, and AT1/HIF-1α.</w:t>
      </w:r>
    </w:p>
    <w:p w14:paraId="7EC22FD0" w14:textId="7AB2C7C6" w:rsidR="00600F79" w:rsidRDefault="00600F79" w:rsidP="00600F79">
      <w:pPr>
        <w:spacing w:after="0" w:line="360" w:lineRule="auto"/>
        <w:ind w:firstLine="708"/>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Data are presented as mean ± standard deviation (SD). Statistical comparisons between the control hypertensive group (CT) and the trained hypertensive group (T) were performed using Student’s t-test, with significance set at p &lt; 0.05.</w:t>
      </w:r>
    </w:p>
    <w:p w14:paraId="40DC5605" w14:textId="77777777" w:rsidR="00600F79" w:rsidRDefault="00600F79" w:rsidP="00600F79">
      <w:pPr>
        <w:spacing w:after="0" w:line="360" w:lineRule="auto"/>
        <w:ind w:firstLine="708"/>
        <w:jc w:val="both"/>
        <w:rPr>
          <w:rFonts w:ascii="Times New Roman" w:hAnsi="Times New Roman" w:cs="Times New Roman"/>
          <w:sz w:val="20"/>
          <w:szCs w:val="20"/>
          <w:lang w:val="en-US"/>
        </w:rPr>
      </w:pPr>
    </w:p>
    <w:p w14:paraId="574ABCCF" w14:textId="67FF279E" w:rsidR="00834266" w:rsidRPr="00834266" w:rsidRDefault="00834266" w:rsidP="00834266">
      <w:pPr>
        <w:spacing w:after="0" w:line="360" w:lineRule="auto"/>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2. </w:t>
      </w:r>
      <w:r w:rsidRPr="00834266">
        <w:rPr>
          <w:rFonts w:ascii="Times New Roman" w:hAnsi="Times New Roman" w:cs="Times New Roman"/>
          <w:b/>
          <w:bCs/>
          <w:sz w:val="20"/>
          <w:szCs w:val="20"/>
          <w:lang w:val="en-US"/>
        </w:rPr>
        <w:t>SUPPLEMENTARY RESULTS</w:t>
      </w:r>
    </w:p>
    <w:p w14:paraId="693A2591" w14:textId="6E094AEF" w:rsidR="00834266" w:rsidRPr="00834266" w:rsidRDefault="00834266" w:rsidP="00834266">
      <w:pPr>
        <w:spacing w:after="0" w:line="360" w:lineRule="auto"/>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2.1 </w:t>
      </w:r>
      <w:r w:rsidRPr="00834266">
        <w:rPr>
          <w:rFonts w:ascii="Times New Roman" w:hAnsi="Times New Roman" w:cs="Times New Roman"/>
          <w:b/>
          <w:bCs/>
          <w:sz w:val="20"/>
          <w:szCs w:val="20"/>
          <w:lang w:val="en-US"/>
        </w:rPr>
        <w:t>Exercise training modifies immunohistochemical protein-expression ratios in the urinary bladder of spontaneously hypertensive rats</w:t>
      </w:r>
    </w:p>
    <w:p w14:paraId="1B6B4251" w14:textId="35872661" w:rsidR="00600F79" w:rsidRPr="00600F79"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To further evaluate the impact of exercise training on the balance among inflammatory, angiogenic, hypoxic, and renin–angiotensin system-related markers, protein-to-protein immunohistochemical expression ratios were analyzed in the urinary bladder of spontaneously hypertensive rats. The IL-6/IL-10 ratio was significantly reduced in the trained group (T) (65.60 ± 12.25) compared to the control group (CT) (105.9 ± 21.07; p = 0.0089; Supplementary Figure 1A). Similarly, the NF-</w:t>
      </w:r>
      <w:proofErr w:type="spellStart"/>
      <w:r w:rsidRPr="00600F79">
        <w:rPr>
          <w:rFonts w:ascii="Times New Roman" w:hAnsi="Times New Roman" w:cs="Times New Roman"/>
          <w:sz w:val="20"/>
          <w:szCs w:val="20"/>
          <w:lang w:val="en-US"/>
        </w:rPr>
        <w:t>κB</w:t>
      </w:r>
      <w:proofErr w:type="spellEnd"/>
      <w:r w:rsidRPr="00600F79">
        <w:rPr>
          <w:rFonts w:ascii="Times New Roman" w:hAnsi="Times New Roman" w:cs="Times New Roman"/>
          <w:sz w:val="20"/>
          <w:szCs w:val="20"/>
          <w:lang w:val="en-US"/>
        </w:rPr>
        <w:t>/IL-10 ratio was lower in the T group (52.53 ± 14.12) than in the CT group (82.22 ± 4.89; p = 0.0069; Supplementary Figure 1B).</w:t>
      </w:r>
    </w:p>
    <w:p w14:paraId="171DE8C6" w14:textId="1CD82B76" w:rsidR="00600F79" w:rsidRPr="00600F79"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t>In contrast, ratios involving the Mas receptor indicated a shift toward a protective profile. The MAS/IL-6 ratio was significantly higher in the T group (116.2 ± 14.01) compared to the CT group (76.03 ± 28.40; p = 0.0307; Supplementary Figure 1C), while no difference was observed for MAS/IL-10 (p = 0.9421; Supplementary Figure 1D). The MAS/TGF-β ratio was markedly increased in trained animals (222.7 ± 63.19 vs. 106.5 ± 10.28; p = 0.0138; Supplementary Figure 1E), whereas the MAS/VEGF ratio was significantly reduced (72.42 ± 16.05 vs. 118.2 ± 28.84; p = 0.0200; Supplementary Figure 1F). Additionally, the MAS/HIF-1α ratio was significantly elevated in the T group (116.6 ± 15.83 vs. 70.10 ± 13.69; p = 0.0012; Supplementary Figure 1G).</w:t>
      </w:r>
    </w:p>
    <w:p w14:paraId="16D1FCA2" w14:textId="6D3D74DF" w:rsidR="00834266" w:rsidRDefault="00600F79" w:rsidP="00600F79">
      <w:pPr>
        <w:spacing w:after="0" w:line="360" w:lineRule="auto"/>
        <w:ind w:firstLine="709"/>
        <w:jc w:val="both"/>
        <w:rPr>
          <w:rFonts w:ascii="Times New Roman" w:hAnsi="Times New Roman" w:cs="Times New Roman"/>
          <w:sz w:val="20"/>
          <w:szCs w:val="20"/>
          <w:lang w:val="en-US"/>
        </w:rPr>
      </w:pPr>
      <w:r w:rsidRPr="00600F79">
        <w:rPr>
          <w:rFonts w:ascii="Times New Roman" w:hAnsi="Times New Roman" w:cs="Times New Roman"/>
          <w:sz w:val="20"/>
          <w:szCs w:val="20"/>
          <w:lang w:val="en-US"/>
        </w:rPr>
        <w:lastRenderedPageBreak/>
        <w:t>Regarding AT1-related ratios, the AT1/IL-10 ratio was significantly reduced in the T group (65.36 ± 13.95) compared to the CT group (85.97±10.67; p=0.0323; Supplementary Figure 1H), while no significant differences were observed for AT1/IL-6 (p = 0.2852; Supplementary Figure 1I) or AT1/TGF-β (p = 0.0629; Supplementary Figure 1J). In contrast, the AT1/VEGF ratio was significantly lower in trained animals (62.86 ± 14.21 vs. 131.5 ± 12.18; p&lt;0.0001; Supplementary Figure 1K), whereas the AT1/HIF-1α ratio was significantly higher in the T group (100.9 ± 11.99 vs. 78.58 ± 7.53; p = 0.0103; Supplementary Figure 1L).</w:t>
      </w:r>
    </w:p>
    <w:p w14:paraId="1AA9C9DD" w14:textId="30F27EAD" w:rsidR="004E226E" w:rsidRDefault="004E226E" w:rsidP="00600F79">
      <w:pPr>
        <w:spacing w:after="0" w:line="360" w:lineRule="auto"/>
        <w:ind w:firstLine="709"/>
        <w:jc w:val="both"/>
        <w:rPr>
          <w:rFonts w:ascii="Times New Roman" w:hAnsi="Times New Roman" w:cs="Times New Roman"/>
          <w:sz w:val="20"/>
          <w:szCs w:val="20"/>
          <w:lang w:val="en-US"/>
        </w:rPr>
      </w:pPr>
      <w:r>
        <w:rPr>
          <w:rFonts w:ascii="Times New Roman" w:hAnsi="Times New Roman" w:cs="Times New Roman"/>
          <w:sz w:val="20"/>
          <w:szCs w:val="20"/>
          <w:lang w:val="en-US"/>
        </w:rPr>
        <w:t>T</w:t>
      </w:r>
      <w:r w:rsidRPr="004E226E">
        <w:rPr>
          <w:rFonts w:ascii="Times New Roman" w:hAnsi="Times New Roman" w:cs="Times New Roman"/>
          <w:sz w:val="20"/>
          <w:szCs w:val="20"/>
          <w:lang w:val="en-US"/>
        </w:rPr>
        <w:t>hese findings indicate that HIIT promotes a coordinated shift toward an anti-inflammatory and protective molecular profile in the hypertensive bladder, characterized by attenuation of pro-inflammatory signaling, modulation of angiogenic and hypoxic pathways, and rebalancing of the renin</w:t>
      </w:r>
      <w:r w:rsidR="00607E7B">
        <w:rPr>
          <w:rFonts w:ascii="Times New Roman" w:hAnsi="Times New Roman" w:cs="Times New Roman"/>
          <w:sz w:val="20"/>
          <w:szCs w:val="20"/>
          <w:lang w:val="en-US"/>
        </w:rPr>
        <w:t>-</w:t>
      </w:r>
      <w:r w:rsidRPr="004E226E">
        <w:rPr>
          <w:rFonts w:ascii="Times New Roman" w:hAnsi="Times New Roman" w:cs="Times New Roman"/>
          <w:sz w:val="20"/>
          <w:szCs w:val="20"/>
          <w:lang w:val="en-US"/>
        </w:rPr>
        <w:t>angiotensin system toward a more favorable axis.</w:t>
      </w:r>
    </w:p>
    <w:p w14:paraId="30013A42" w14:textId="77777777" w:rsidR="00834266" w:rsidRDefault="00834266" w:rsidP="00834266">
      <w:pPr>
        <w:spacing w:after="0" w:line="360" w:lineRule="auto"/>
        <w:ind w:firstLine="709"/>
        <w:jc w:val="both"/>
        <w:rPr>
          <w:rFonts w:ascii="Times New Roman" w:hAnsi="Times New Roman" w:cs="Times New Roman"/>
          <w:sz w:val="20"/>
          <w:szCs w:val="20"/>
          <w:lang w:val="en-US"/>
        </w:rPr>
      </w:pPr>
    </w:p>
    <w:p w14:paraId="7EDAF75D" w14:textId="4DF62697" w:rsidR="00834266" w:rsidRDefault="00834266" w:rsidP="00834266">
      <w:pPr>
        <w:spacing w:after="0" w:line="360" w:lineRule="auto"/>
        <w:ind w:firstLine="709"/>
        <w:jc w:val="both"/>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1FD74129" wp14:editId="77335248">
            <wp:extent cx="5397500" cy="4375150"/>
            <wp:effectExtent l="0" t="0" r="0" b="6350"/>
            <wp:docPr id="1403720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7500" cy="4375150"/>
                    </a:xfrm>
                    <a:prstGeom prst="rect">
                      <a:avLst/>
                    </a:prstGeom>
                    <a:noFill/>
                    <a:ln>
                      <a:noFill/>
                    </a:ln>
                  </pic:spPr>
                </pic:pic>
              </a:graphicData>
            </a:graphic>
          </wp:inline>
        </w:drawing>
      </w:r>
    </w:p>
    <w:p w14:paraId="2EBBB3D4" w14:textId="11D5830D" w:rsidR="00834266" w:rsidRDefault="00834266" w:rsidP="00834266">
      <w:pPr>
        <w:spacing w:after="0" w:line="360" w:lineRule="auto"/>
        <w:ind w:firstLine="709"/>
        <w:jc w:val="both"/>
        <w:rPr>
          <w:rFonts w:ascii="Times New Roman" w:hAnsi="Times New Roman" w:cs="Times New Roman"/>
          <w:sz w:val="20"/>
          <w:szCs w:val="20"/>
          <w:lang w:val="en-US"/>
        </w:rPr>
      </w:pPr>
      <w:r w:rsidRPr="00834266">
        <w:rPr>
          <w:rFonts w:ascii="Times New Roman" w:hAnsi="Times New Roman" w:cs="Times New Roman"/>
          <w:b/>
          <w:bCs/>
          <w:sz w:val="20"/>
          <w:szCs w:val="20"/>
          <w:lang w:val="en-US"/>
        </w:rPr>
        <w:t xml:space="preserve">Supplementary Figure 1. Protein-to-protein immunohistochemical expression ratios in the urinary bladder of spontaneously hypertensive rats (SHR): </w:t>
      </w:r>
      <w:r w:rsidRPr="00834266">
        <w:rPr>
          <w:rFonts w:ascii="Times New Roman" w:hAnsi="Times New Roman" w:cs="Times New Roman"/>
          <w:sz w:val="20"/>
          <w:szCs w:val="20"/>
          <w:lang w:val="en-US"/>
        </w:rPr>
        <w:t>Bar graphs show the relative ratios between inflammatory, angiogenic, hypoxic, and renin–angiotensin system-related proteins in the urinary bladder of the control hypertensive group (CT) and the trained hypertensive group (T). Ratios were calculated according to the equation (protein A / protein B) × 100. Panels represent the following ratios: (A) IL-6/IL-10, (B) NF-</w:t>
      </w:r>
      <w:proofErr w:type="spellStart"/>
      <w:r w:rsidRPr="00834266">
        <w:rPr>
          <w:rFonts w:ascii="Times New Roman" w:hAnsi="Times New Roman" w:cs="Times New Roman"/>
          <w:sz w:val="20"/>
          <w:szCs w:val="20"/>
          <w:lang w:val="en-US"/>
        </w:rPr>
        <w:t>κB</w:t>
      </w:r>
      <w:proofErr w:type="spellEnd"/>
      <w:r w:rsidRPr="00834266">
        <w:rPr>
          <w:rFonts w:ascii="Times New Roman" w:hAnsi="Times New Roman" w:cs="Times New Roman"/>
          <w:sz w:val="20"/>
          <w:szCs w:val="20"/>
          <w:lang w:val="en-US"/>
        </w:rPr>
        <w:t xml:space="preserve">/IL-10, (C) MAS/IL-6, (D) MAS/IL-10, (E) MAS/TGF-β, (F) MAS/VEGF, (G) MAS/HIF-1α, (H) AT1/IL-10, (I) AT1/IL-6, (J) AT1/TGF-β, (K) AT1/VEGF, and (L) AT1/HIF-1α. Data are expressed </w:t>
      </w:r>
      <w:r w:rsidRPr="00834266">
        <w:rPr>
          <w:rFonts w:ascii="Times New Roman" w:hAnsi="Times New Roman" w:cs="Times New Roman"/>
          <w:sz w:val="20"/>
          <w:szCs w:val="20"/>
          <w:lang w:val="en-US"/>
        </w:rPr>
        <w:lastRenderedPageBreak/>
        <w:t xml:space="preserve">as </w:t>
      </w:r>
      <w:proofErr w:type="spellStart"/>
      <w:r w:rsidRPr="00834266">
        <w:rPr>
          <w:rFonts w:ascii="Times New Roman" w:hAnsi="Times New Roman" w:cs="Times New Roman"/>
          <w:sz w:val="20"/>
          <w:szCs w:val="20"/>
          <w:lang w:val="en-US"/>
        </w:rPr>
        <w:t>mean±SD</w:t>
      </w:r>
      <w:proofErr w:type="spellEnd"/>
      <w:r w:rsidRPr="00834266">
        <w:rPr>
          <w:rFonts w:ascii="Times New Roman" w:hAnsi="Times New Roman" w:cs="Times New Roman"/>
          <w:sz w:val="20"/>
          <w:szCs w:val="20"/>
          <w:lang w:val="en-US"/>
        </w:rPr>
        <w:t>. Statistical comparisons between groups were performed using Student’s t-test, with significant differences indicated by the corresponding p values shown above the bars.</w:t>
      </w:r>
    </w:p>
    <w:p w14:paraId="76E8AB34" w14:textId="77777777" w:rsidR="00600F79" w:rsidRDefault="00600F79" w:rsidP="00834266">
      <w:pPr>
        <w:spacing w:after="0" w:line="360" w:lineRule="auto"/>
        <w:ind w:firstLine="709"/>
        <w:jc w:val="both"/>
        <w:rPr>
          <w:rFonts w:ascii="Times New Roman" w:hAnsi="Times New Roman" w:cs="Times New Roman"/>
          <w:sz w:val="20"/>
          <w:szCs w:val="20"/>
          <w:lang w:val="en-US"/>
        </w:rPr>
      </w:pPr>
    </w:p>
    <w:p w14:paraId="2533879D" w14:textId="77777777" w:rsidR="00600F79" w:rsidRDefault="00600F79" w:rsidP="00600F79">
      <w:pPr>
        <w:spacing w:after="0" w:line="360" w:lineRule="auto"/>
        <w:jc w:val="both"/>
        <w:rPr>
          <w:rFonts w:ascii="Times New Roman" w:hAnsi="Times New Roman" w:cs="Times New Roman"/>
          <w:sz w:val="20"/>
          <w:szCs w:val="20"/>
        </w:rPr>
      </w:pPr>
    </w:p>
    <w:p w14:paraId="554CC9FE" w14:textId="77777777" w:rsidR="00600F79" w:rsidRDefault="00600F79" w:rsidP="00600F79">
      <w:pPr>
        <w:spacing w:after="0" w:line="360" w:lineRule="auto"/>
        <w:jc w:val="both"/>
        <w:rPr>
          <w:rFonts w:ascii="Times New Roman" w:hAnsi="Times New Roman" w:cs="Times New Roman"/>
          <w:sz w:val="20"/>
          <w:szCs w:val="20"/>
        </w:rPr>
      </w:pPr>
    </w:p>
    <w:p w14:paraId="3F2EF228" w14:textId="44E66210" w:rsidR="00600F79" w:rsidRPr="00600F79" w:rsidRDefault="00600F79" w:rsidP="00600F79">
      <w:pPr>
        <w:spacing w:after="0" w:line="360" w:lineRule="auto"/>
        <w:jc w:val="both"/>
        <w:rPr>
          <w:rFonts w:ascii="Times New Roman" w:hAnsi="Times New Roman" w:cs="Times New Roman"/>
          <w:sz w:val="20"/>
          <w:szCs w:val="20"/>
        </w:rPr>
      </w:pPr>
      <w:proofErr w:type="spellStart"/>
      <w:r w:rsidRPr="00600F79">
        <w:rPr>
          <w:rFonts w:ascii="Times New Roman" w:hAnsi="Times New Roman" w:cs="Times New Roman"/>
          <w:sz w:val="20"/>
          <w:szCs w:val="20"/>
        </w:rPr>
        <w:t>References</w:t>
      </w:r>
      <w:proofErr w:type="spellEnd"/>
    </w:p>
    <w:p w14:paraId="6964E149" w14:textId="3E92026B" w:rsidR="00600F79" w:rsidRPr="00834266" w:rsidRDefault="00600F79" w:rsidP="00600F79">
      <w:pPr>
        <w:spacing w:after="0" w:line="360" w:lineRule="auto"/>
        <w:jc w:val="both"/>
        <w:rPr>
          <w:rFonts w:ascii="Times New Roman" w:hAnsi="Times New Roman" w:cs="Times New Roman"/>
          <w:sz w:val="20"/>
          <w:szCs w:val="20"/>
          <w:lang w:val="en-US"/>
        </w:rPr>
      </w:pPr>
      <w:r w:rsidRPr="00600F79">
        <w:rPr>
          <w:rFonts w:ascii="Times New Roman" w:hAnsi="Times New Roman" w:cs="Times New Roman"/>
          <w:sz w:val="20"/>
          <w:szCs w:val="20"/>
        </w:rPr>
        <w:t xml:space="preserve">Veras, A.S.C., de Freitas, M.C., Thorpe, H.H.A. et al. </w:t>
      </w:r>
      <w:r w:rsidRPr="00600F79">
        <w:rPr>
          <w:rFonts w:ascii="Times New Roman" w:hAnsi="Times New Roman" w:cs="Times New Roman"/>
          <w:sz w:val="20"/>
          <w:szCs w:val="20"/>
          <w:lang w:val="en-US"/>
        </w:rPr>
        <w:t xml:space="preserve">Strength Training Modulates Prostate of Wistar Rats Submitted to High-Fat Diet. </w:t>
      </w:r>
      <w:proofErr w:type="spellStart"/>
      <w:r w:rsidRPr="00600F79">
        <w:rPr>
          <w:rFonts w:ascii="Times New Roman" w:hAnsi="Times New Roman" w:cs="Times New Roman"/>
          <w:sz w:val="20"/>
          <w:szCs w:val="20"/>
          <w:lang w:val="en-US"/>
        </w:rPr>
        <w:t>Reprod</w:t>
      </w:r>
      <w:proofErr w:type="spellEnd"/>
      <w:r w:rsidRPr="00600F79">
        <w:rPr>
          <w:rFonts w:ascii="Times New Roman" w:hAnsi="Times New Roman" w:cs="Times New Roman"/>
          <w:sz w:val="20"/>
          <w:szCs w:val="20"/>
          <w:lang w:val="en-US"/>
        </w:rPr>
        <w:t>. Sci. 27, 2187–2196 (2020). https://doi.org/10.1007/s43032-020-00238-y</w:t>
      </w:r>
    </w:p>
    <w:sectPr w:rsidR="00600F79" w:rsidRPr="008342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91793"/>
    <w:multiLevelType w:val="hybridMultilevel"/>
    <w:tmpl w:val="0854CD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99573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66"/>
    <w:rsid w:val="00262F59"/>
    <w:rsid w:val="003D7FE6"/>
    <w:rsid w:val="003E5685"/>
    <w:rsid w:val="004E226E"/>
    <w:rsid w:val="00600F79"/>
    <w:rsid w:val="00607E7B"/>
    <w:rsid w:val="00834266"/>
    <w:rsid w:val="00C7319F"/>
    <w:rsid w:val="00E42E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D87F"/>
  <w15:chartTrackingRefBased/>
  <w15:docId w15:val="{CD0C945E-5F03-42D9-8F5D-CD49B96F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342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342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342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342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342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342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342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342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3426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3426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3426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3426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3426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3426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3426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3426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3426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34266"/>
    <w:rPr>
      <w:rFonts w:eastAsiaTheme="majorEastAsia" w:cstheme="majorBidi"/>
      <w:color w:val="272727" w:themeColor="text1" w:themeTint="D8"/>
    </w:rPr>
  </w:style>
  <w:style w:type="paragraph" w:styleId="Ttulo">
    <w:name w:val="Title"/>
    <w:basedOn w:val="Normal"/>
    <w:next w:val="Normal"/>
    <w:link w:val="TtuloChar"/>
    <w:uiPriority w:val="10"/>
    <w:qFormat/>
    <w:rsid w:val="00834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342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3426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3426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34266"/>
    <w:pPr>
      <w:spacing w:before="160"/>
      <w:jc w:val="center"/>
    </w:pPr>
    <w:rPr>
      <w:i/>
      <w:iCs/>
      <w:color w:val="404040" w:themeColor="text1" w:themeTint="BF"/>
    </w:rPr>
  </w:style>
  <w:style w:type="character" w:customStyle="1" w:styleId="CitaoChar">
    <w:name w:val="Citação Char"/>
    <w:basedOn w:val="Fontepargpadro"/>
    <w:link w:val="Citao"/>
    <w:uiPriority w:val="29"/>
    <w:rsid w:val="00834266"/>
    <w:rPr>
      <w:i/>
      <w:iCs/>
      <w:color w:val="404040" w:themeColor="text1" w:themeTint="BF"/>
    </w:rPr>
  </w:style>
  <w:style w:type="paragraph" w:styleId="PargrafodaLista">
    <w:name w:val="List Paragraph"/>
    <w:basedOn w:val="Normal"/>
    <w:uiPriority w:val="34"/>
    <w:qFormat/>
    <w:rsid w:val="00834266"/>
    <w:pPr>
      <w:ind w:left="720"/>
      <w:contextualSpacing/>
    </w:pPr>
  </w:style>
  <w:style w:type="character" w:styleId="nfaseIntensa">
    <w:name w:val="Intense Emphasis"/>
    <w:basedOn w:val="Fontepargpadro"/>
    <w:uiPriority w:val="21"/>
    <w:qFormat/>
    <w:rsid w:val="00834266"/>
    <w:rPr>
      <w:i/>
      <w:iCs/>
      <w:color w:val="0F4761" w:themeColor="accent1" w:themeShade="BF"/>
    </w:rPr>
  </w:style>
  <w:style w:type="paragraph" w:styleId="CitaoIntensa">
    <w:name w:val="Intense Quote"/>
    <w:basedOn w:val="Normal"/>
    <w:next w:val="Normal"/>
    <w:link w:val="CitaoIntensaChar"/>
    <w:uiPriority w:val="30"/>
    <w:qFormat/>
    <w:rsid w:val="00834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34266"/>
    <w:rPr>
      <w:i/>
      <w:iCs/>
      <w:color w:val="0F4761" w:themeColor="accent1" w:themeShade="BF"/>
    </w:rPr>
  </w:style>
  <w:style w:type="character" w:styleId="RefernciaIntensa">
    <w:name w:val="Intense Reference"/>
    <w:basedOn w:val="Fontepargpadro"/>
    <w:uiPriority w:val="32"/>
    <w:qFormat/>
    <w:rsid w:val="008342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1F9B7-BD24-4143-8323-452721941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812</Words>
  <Characters>4390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Rogerio Garcia Batista</dc:creator>
  <cp:keywords/>
  <dc:description/>
  <cp:lastModifiedBy>Giovana Rampazzo Teixeira</cp:lastModifiedBy>
  <cp:revision>3</cp:revision>
  <dcterms:created xsi:type="dcterms:W3CDTF">2026-04-21T14:52:00Z</dcterms:created>
  <dcterms:modified xsi:type="dcterms:W3CDTF">2026-04-22T20:42:00Z</dcterms:modified>
</cp:coreProperties>
</file>