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Predefinição"/>
        <w:keepNext w:val="1"/>
        <w:bidi w:val="0"/>
        <w:spacing w:before="200" w:line="480" w:lineRule="auto"/>
        <w:ind w:left="0" w:right="0" w:firstLine="0"/>
        <w:jc w:val="both"/>
        <w:rPr>
          <w:i w:val="1"/>
          <w:iCs w:val="1"/>
          <w:sz w:val="22"/>
          <w:szCs w:val="22"/>
          <w:u w:color="000000"/>
          <w:rtl w:val="0"/>
          <w:lang w:val="en-US"/>
          <w14:textOutline w14:w="12700" w14:cap="flat">
            <w14:noFill/>
            <w14:miter w14:lim="400000"/>
          </w14:textOutline>
        </w:rPr>
      </w:pPr>
      <w:r>
        <w:rPr>
          <w:i w:val="1"/>
          <w:iCs w:val="1"/>
          <w:sz w:val="22"/>
          <w:szCs w:val="22"/>
          <w:u w:color="000000"/>
          <w:rtl w:val="0"/>
          <w:lang w:val="en-US"/>
          <w14:textOutline w14:w="12700" w14:cap="flat">
            <w14:noFill/>
            <w14:miter w14:lim="400000"/>
          </w14:textOutline>
        </w:rPr>
        <w:t>Unclear results</w:t>
      </w:r>
    </w:p>
    <w:p>
      <w:pPr>
        <w:pStyle w:val="Predefinição"/>
        <w:bidi w:val="0"/>
        <w:spacing w:before="200" w:line="480" w:lineRule="auto"/>
        <w:ind w:left="0" w:right="0" w:firstLine="0"/>
        <w:jc w:val="both"/>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b/>
      </w:r>
      <w:r>
        <w:rPr>
          <w:i w:val="1"/>
          <w:iCs w:val="1"/>
          <w:sz w:val="22"/>
          <w:szCs w:val="22"/>
          <w:u w:color="000000"/>
          <w:rtl w:val="0"/>
          <w:lang w:val="en-US"/>
          <w14:textOutline w14:w="12700" w14:cap="flat">
            <w14:noFill/>
            <w14:miter w14:lim="400000"/>
          </w14:textOutline>
        </w:rPr>
        <w:t>Trigonella foenum-graecum</w:t>
      </w:r>
      <w:r>
        <w:rPr>
          <w:sz w:val="22"/>
          <w:szCs w:val="22"/>
          <w:u w:color="000000"/>
          <w:rtl w:val="0"/>
          <w:lang w:val="en-US"/>
          <w14:textOutline w14:w="12700" w14:cap="flat">
            <w14:noFill/>
            <w14:miter w14:lim="400000"/>
          </w14:textOutline>
        </w:rPr>
        <w:t xml:space="preserve"> seed extract (</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Fenugreek</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 in the form of 500 mg/day of patented Furosap</w:t>
      </w:r>
      <w:r>
        <w:rPr>
          <w:sz w:val="22"/>
          <w:szCs w:val="22"/>
          <w:u w:color="000000"/>
          <w:vertAlign w:val="superscript"/>
          <w:rtl w:val="0"/>
          <w:lang w:val="en-US"/>
          <w14:textOutline w14:w="12700" w14:cap="flat">
            <w14:noFill/>
            <w14:miter w14:lim="400000"/>
          </w14:textOutline>
        </w:rPr>
        <w:t>TM</w:t>
      </w:r>
      <w:r>
        <w:rPr>
          <w:sz w:val="22"/>
          <w:szCs w:val="22"/>
          <w:u w:color="000000"/>
          <w:rtl w:val="0"/>
          <w:lang w:val="en-US"/>
          <w14:textOutline w14:w="12700" w14:cap="flat">
            <w14:noFill/>
            <w14:miter w14:lim="400000"/>
          </w14:textOutline>
        </w:rPr>
        <w:t xml:space="preserve"> was tested in 50 healthy men without controls, although it did not reach a statistically significant increase in </w:t>
      </w:r>
      <w:r>
        <w:rPr>
          <w:sz w:val="22"/>
          <w:szCs w:val="22"/>
          <w:u w:color="000000"/>
          <w:rtl w:val="0"/>
          <w:lang w:val="pt-PT"/>
          <w14:textOutline w14:w="12700" w14:cap="flat">
            <w14:noFill/>
            <w14:miter w14:lim="400000"/>
          </w14:textOutline>
        </w:rPr>
        <w:t>s</w:t>
      </w:r>
      <w:r>
        <w:rPr>
          <w:sz w:val="22"/>
          <w:szCs w:val="22"/>
          <w:u w:color="000000"/>
          <w:rtl w:val="0"/>
          <w:lang w:val="en-US"/>
          <w14:textOutline w14:w="12700" w14:cap="flat">
            <w14:noFill/>
            <w14:miter w14:lim="400000"/>
          </w14:textOutline>
        </w:rPr>
        <w:t xml:space="preserve">TT after 12 weeks (405.19 </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 xml:space="preserve">156.95 vs 436.34 </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189.94 ng/dL, p=0.164)</w:t>
      </w:r>
      <w:r>
        <w:rPr>
          <w:sz w:val="22"/>
          <w:szCs w:val="22"/>
          <w:u w:color="000000"/>
          <w:rtl w:val="0"/>
          <w:lang w:val="en-US"/>
          <w14:textOutline w14:w="12700" w14:cap="flat">
            <w14:noFill/>
            <w14:miter w14:lim="400000"/>
          </w14:textOutline>
        </w:rPr>
        <w:fldChar w:fldCharType="begin" w:fldLock="0"/>
      </w:r>
      <w:r>
        <w:rPr>
          <w:sz w:val="22"/>
          <w:szCs w:val="22"/>
          <w:u w:color="000000"/>
          <w:rtl w:val="0"/>
          <w:lang w:val="en-US"/>
          <w14:textOutline w14:w="12700" w14:cap="flat">
            <w14:noFill/>
            <w14:miter w14:lim="400000"/>
          </w14:textOutline>
        </w:rPr>
        <w:instrText xml:space="preserve"> ADDIN EN.CITE &lt;EndNote&gt;&lt;Cite  &gt;&lt;Author&gt;Maheshwari, A.; Verma, N.; Swaroop, A.; Bagchi, M.; Preuss, H. G.; Tiwari, K.; Bagchi, D.&lt;/Author&gt;&lt;Year&gt;2017&lt;/Year&gt;&lt;RecNum&gt;46&lt;/RecNum&gt;&lt;Prefix&gt;&lt;/Prefix&gt;&lt;Suffix&gt;&lt;/Suffix&gt;&lt;Pages&gt;&lt;/Pages&gt;&lt;DisplayText&gt;[1]&lt;/DisplayText&gt;&lt;record&gt;&lt;database name="en04f73eea" path="/private/var/folders/y0/mp5jl9fd5jg1mz9clfkt2gr40000gn/T/TemporaryItems/en04f73eea"&gt;en04f73eea&lt;/database&gt;&lt;source-app name="EndNote" version="19.3"&gt;EndNote&lt;/source-app&gt;&lt;rec-number&gt;46&lt;/rec-number&gt;&lt;foreign-keys&gt;&lt;key app="EN" db-id="s2fpaw0fbevep9efawuxwxvz2zz00wpf5ffe"&gt;46&lt;/key&gt;&lt;/foreign-keys&gt;&lt;ref-type name="Journal Article"&gt;17&lt;/ref-type&gt;&lt;contributors&gt;&lt;authors&gt;&lt;author&gt;&lt;style face="normal" font="default" size="100%"&gt;Maheshwari, A.&lt;/style&gt;&lt;/author&gt;&lt;author&gt;&lt;style face="normal" font="default" size="100%"&gt;Verma, N.&lt;/style&gt;&lt;/author&gt;&lt;author&gt;&lt;style face="normal" font="default" size="100%"&gt;Swaroop, A.&lt;/style&gt;&lt;/author&gt;&lt;author&gt;&lt;style face="normal" font="default" size="100%"&gt;Bagchi, M.&lt;/style&gt;&lt;/author&gt;&lt;author&gt;&lt;style face="normal" font="default" size="100%"&gt;Preuss, H. G.&lt;/style&gt;&lt;/author&gt;&lt;author&gt;&lt;style face="normal" font="default" size="100%"&gt;Tiwari, K.&lt;/style&gt;&lt;/author&gt;&lt;author&gt;&lt;style face="normal" font="default" size="100%"&gt;Bagchi, D.&lt;/style&gt;&lt;/author&gt;&lt;/authors&gt;&lt;/contributors&gt;&lt;auth-address&gt;&lt;style face="normal" font="default" size="100%"&gt;Department of Medicine, BBD University, Lucknow, India; Metabolic Physician, SHK Diabetes Clinic &amp;amp; Research Center, Lucknow, India. Department of Physiology, King George's Medical University, Lucknow, India. Cepham Research Center, Piscataway, NJ, USA. Georgetown University Medical Center, Washington, DC, USA. Chemical Resources, Panchkula, Haryana, India. Cepham Research Center, Piscataway, NJ, USA; University of Houston College of Pharmacy, Houston, TX, USA.&lt;/style&gt;&lt;/auth-address&gt;&lt;titles&gt;&lt;title&gt;&lt;style face="normal" font="default" size="100%"&gt;Efficacy of Furosap(TM), a novel Trigonella foenum-graecum seed extract, in Enhancing Testosterone Level and Improving Sperm Profile in Male Volunteers&lt;/style&gt;&lt;/title&gt;&lt;secondary-title&gt;&lt;style face="normal" font="default" size="100%"&gt;Int J Med Sci&lt;/style&gt;&lt;/secondary-title&gt;&lt;/titles&gt;&lt;periodical&gt;&lt;full-title&gt;&lt;style face="normal" font="default" size="100%"&gt;Int J Med Sci&lt;/style&gt;&lt;/full-title&gt;&lt;/periodical&gt;&lt;pages&gt;&lt;style face="normal" font="default" size="100%"&gt;58-66&lt;/style&gt;&lt;/pages&gt;&lt;volume&gt;&lt;style face="normal" font="default" size="100%"&gt;14&lt;/style&gt;&lt;/volume&gt;&lt;number&gt;&lt;style face="normal" font="default" size="100%"&gt;1&lt;/style&gt;&lt;/number&gt;&lt;edition&gt;&lt;style face="normal" font="default" size="100%"&gt;2017/02/01&lt;/style&gt;&lt;/edition&gt;&lt;keywords&gt;&lt;keyword&gt;&lt;style face="normal" font="default" size="100%"&gt;Adult&lt;/style&gt;&lt;/keyword&gt;&lt;keyword&gt;&lt;style face="normal" font="default" size="100%"&gt;Affect/drug effects&lt;/style&gt;&lt;/keyword&gt;&lt;keyword&gt;&lt;style face="normal" font="default" size="100%"&gt;Aged&lt;/style&gt;&lt;/keyword&gt;&lt;keyword&gt;&lt;style face="normal" font="default" size="100%"&gt;Dehydroepiandrosterone Sulfate/blood&lt;/style&gt;&lt;/keyword&gt;&lt;keyword&gt;&lt;style face="normal" font="default" size="100%"&gt;Healthy Volunteers&lt;/style&gt;&lt;/keyword&gt;&lt;keyword&gt;&lt;style face="normal" font="default" size="100%"&gt;Humans&lt;/style&gt;&lt;/keyword&gt;&lt;keyword&gt;&lt;style face="normal" font="default" size="100%"&gt;Leukocyte Count&lt;/style&gt;&lt;/keyword&gt;&lt;keyword&gt;&lt;style face="normal" font="default" size="100%"&gt;Male&lt;/style&gt;&lt;/keyword&gt;&lt;keyword&gt;&lt;style face="normal" font="default" size="100%"&gt;Middle Aged&lt;/style&gt;&lt;/keyword&gt;&lt;keyword&gt;&lt;style face="normal" font="default" size="100%"&gt;Penile Erection/drug effects&lt;/style&gt;&lt;/keyword&gt;&lt;keyword&gt;&lt;style face="normal" font="default" size="100%"&gt;Plant Extracts/*pharmacology&lt;/style&gt;&lt;/keyword&gt;&lt;keyword&gt;&lt;style face="normal" font="default" size="100%"&gt;Sperm Count&lt;/style&gt;&lt;/keyword&gt;&lt;keyword&gt;&lt;style face="normal" font="default" size="100%"&gt;Sperm Motility/drug effects&lt;/style&gt;&lt;/keyword&gt;&lt;keyword&gt;&lt;style face="normal" font="default" size="100%"&gt;Spermatozoa/*drug effects/physiology&lt;/style&gt;&lt;/keyword&gt;&lt;keyword&gt;&lt;style face="normal" font="default" size="100%"&gt;Testosterone/*blood&lt;/style&gt;&lt;/keyword&gt;&lt;keyword&gt;&lt;style face="normal" font="default" size="100%"&gt;Cardiovascular health&lt;/style&gt;&lt;/keyword&gt;&lt;keyword&gt;&lt;style face="normal" font="default" size="100%"&gt;Fenugreeks seed extract (FurosapTM)&lt;/style&gt;&lt;/keyword&gt;&lt;keyword&gt;&lt;style face="normal" font="default" size="100%"&gt;Mental alertness&lt;/style&gt;&lt;/keyword&gt;&lt;keyword&gt;&lt;style face="normal" font="default" size="100%"&gt;Mood&lt;/style&gt;&lt;/keyword&gt;&lt;keyword&gt;&lt;style face="normal" font="default" size="100%"&gt;Protodioscin&lt;/style&gt;&lt;/keyword&gt;&lt;keyword&gt;&lt;style face="normal" font="default" size="100%"&gt;Safety&lt;/style&gt;&lt;/keyword&gt;&lt;keyword&gt;&lt;style face="normal" font="default" size="100%"&gt;Sperm profile&lt;/style&gt;&lt;/keyword&gt;&lt;keyword&gt;&lt;style face="normal" font="default" size="100%"&gt;Testosterone&lt;/style&gt;&lt;/keyword&gt;&lt;keyword&gt;&lt;style face="normal" font="default" size="100%"&gt;organized, coordinated the study and analyzed the data. MB and HGP served as&lt;/style&gt;&lt;/keyword&gt;&lt;keyword&gt;&lt;style face="normal" font="default" size="100%"&gt;consultants and coordinated in writing the manuscript and coordinated by AM, NV&lt;/style&gt;&lt;/keyword&gt;&lt;keyword&gt;&lt;style face="normal" font="default" size="100%"&gt;and DB. DB is the chief scientific officer of Cepham, Inc., and AS is the&lt;/style&gt;&lt;/keyword&gt;&lt;keyword&gt;&lt;style face="normal" font="default" size="100%"&gt;president of Cepham Inc. AM, NV, MB, HGP and DB have no competing interests. AS&lt;/style&gt;&lt;/keyword&gt;&lt;keyword&gt;&lt;style face="normal" font="default" size="100%"&gt;being a PhD in Biochemistry took interest in reviewing the final report.&lt;/style&gt;&lt;/keyword&gt;&lt;/keywords&gt;&lt;dates&gt;&lt;year&gt;&lt;style face="normal" font="default" size="100%"&gt;2017&lt;/style&gt;&lt;/year&gt;&lt;/dates&gt;&lt;isbn&gt;&lt;style face="normal" font="default" size="100%"&gt;1449-1907 (Electronic) 1449-1907 (Linking)&lt;/style&gt;&lt;/isbn&gt;&lt;accession-num&gt;&lt;style face="normal" font="default" size="100%"&gt;28138310&lt;/style&gt;&lt;/accession-num&gt;&lt;abstract&gt;&lt;style face="normal" font="default" size="100%"&gt;Background: Dietary fiber rich fenugreek (Trigonella foenum-graecum) seeds have exhibited cardioprotective, hypolipidemic and other health benefits. Furosap (FS), an innovative, patented, 20% protodioscin-enriched extract was developed in our laboratory from fenugreek seeds. This study examined the free and total testosterone levels, sperm profile and morphology, sexual health, mood and mental alertness, and broad spectrum safety parameters of FS in 50 male volunteers following supplementation over a period of 12 weeks. Methods: Institutional Review Board (IRB) and other regulatory approvals were obtained for our study. This one-arm, open-labelled, multi-center study was conducted in 50 male volunteers (age: 35 to 65 years) over a period of 12 weeks to determine the efficacy of FS (500 mg/day/subject) on free and total testosterone levels, sperm profile, sperm morphology, libido and sexual health, mood and mental alertness, and broad spectrum safety parameters. Results: Free testosterone levels were improved up to 46% in 90% of the study population. 85.4% of the study population showed improvements in sperm counts. Sperm morphology improved in 14.6% of volunteers. Majority of the subjects enrolled in the study demonstrated improvements in mental alertness and mood. Furthermore, cardiovascular health and libido were significantly improved. Extensive safety parameters were evaluated which included blood chemistry data. No significant changes were observed in serum lipid function, cholesterol, triglyceride, HDL and LDL levels, hemogram (CBC), hepatotoxicity and nephrotoxicity. Conclusion: Overall, the results demonstrate that FS, enriched in 20% protodioscin, is safe and effective in attenuating testosterone levels, healthy sperm profile, mental alertness, cardiovascular health and overall performance in human subjects.&lt;/style&gt;&lt;/abstract&gt;&lt;notes&gt;&lt;style face="normal" font="default" size="100%"&gt;Maheshwari, Anuj Verma, Narsingh Swaroop, Anand Bagchi, Manashi Preuss, Harry G Tiwari, Kiran Bagchi, Debasis eng Clinical Trial Australia Int J Med Sci. 2017 Jan 10;14(1):58-66. doi: 10.7150/ijms.17256. eCollection 2017.&lt;/style&gt;&lt;/notes&gt;&lt;urls&gt;&lt;related-urls&gt;&lt;url&gt;&lt;style face="normal" font="default" size="100%"&gt;https://www.ncbi.nlm.nih.gov/pubmed/28138310&lt;/style&gt;&lt;/url&gt;&lt;/related-urls&gt;&lt;/urls&gt;&lt;custom2&gt;&lt;style face="normal" font="default" size="100%"&gt;PMC5278660&lt;/style&gt;&lt;/custom2&gt;&lt;electronic-resource-num&gt;&lt;style face="normal" font="default" size="100%"&gt;10.7150/ijms.17256&lt;/style&gt;&lt;/electronic-resource-num&gt;&lt;/record&gt;&lt;/Cite&gt;&lt;/EndNote&gt;</w:instrText>
      </w:r>
      <w:r>
        <w:rPr>
          <w:sz w:val="22"/>
          <w:szCs w:val="22"/>
          <w:u w:color="000000"/>
          <w:rtl w:val="0"/>
          <w:lang w:val="en-US"/>
          <w14:textOutline w14:w="12700" w14:cap="flat">
            <w14:noFill/>
            <w14:miter w14:lim="400000"/>
          </w14:textOutline>
        </w:rPr>
        <w:fldChar w:fldCharType="separate" w:fldLock="0"/>
      </w:r>
      <w:r>
        <w:rPr>
          <w:sz w:val="22"/>
          <w:szCs w:val="22"/>
          <w:u w:color="000000"/>
          <w:rtl w:val="0"/>
          <w:lang w:val="en-US"/>
          <w14:textOutline w14:w="12700" w14:cap="flat">
            <w14:noFill/>
            <w14:miter w14:lim="400000"/>
          </w14:textOutline>
        </w:rPr>
        <w:t>[1]</w:t>
      </w:r>
      <w:r>
        <w:rPr>
          <w:sz w:val="22"/>
          <w:szCs w:val="22"/>
          <w:u w:color="000000"/>
          <w:rtl w:val="0"/>
          <w:lang w:val="en-US"/>
          <w14:textOutline w14:w="12700" w14:cap="flat">
            <w14:noFill/>
            <w14:miter w14:lim="400000"/>
          </w14:textOutline>
        </w:rPr>
        <w:fldChar w:fldCharType="end" w:fldLock="0"/>
      </w:r>
      <w:r>
        <w:rPr>
          <w:sz w:val="22"/>
          <w:szCs w:val="22"/>
          <w:u w:color="000000"/>
          <w:rtl w:val="0"/>
          <w:lang w:val="en-US"/>
          <w14:textOutline w14:w="12700" w14:cap="flat">
            <w14:noFill/>
            <w14:miter w14:lim="400000"/>
          </w14:textOutline>
        </w:rPr>
        <w:t xml:space="preserve">. A significant difference in FT was noted (~1.47x increase, p=0.0004) however, the methods used </w:t>
      </w:r>
      <w:r>
        <w:rPr>
          <w:sz w:val="22"/>
          <w:szCs w:val="22"/>
          <w:u w:color="000000"/>
          <w:rtl w:val="0"/>
          <w:lang w:val="pt-PT"/>
          <w14:textOutline w14:w="12700" w14:cap="flat">
            <w14:noFill/>
            <w14:miter w14:lim="400000"/>
          </w14:textOutline>
        </w:rPr>
        <w:t xml:space="preserve">to directly measure FT </w:t>
      </w:r>
      <w:r>
        <w:rPr>
          <w:sz w:val="22"/>
          <w:szCs w:val="22"/>
          <w:u w:color="000000"/>
          <w:rtl w:val="0"/>
          <w:lang w:val="en-US"/>
          <w14:textOutline w14:w="12700" w14:cap="flat">
            <w14:noFill/>
            <w14:miter w14:lim="400000"/>
          </w14:textOutline>
        </w:rPr>
        <w:t xml:space="preserve">are not considered gold-standard. </w:t>
      </w:r>
    </w:p>
    <w:p>
      <w:pPr>
        <w:pStyle w:val="Predefinição"/>
        <w:bidi w:val="0"/>
        <w:spacing w:before="200" w:line="480" w:lineRule="auto"/>
        <w:ind w:left="0" w:right="0" w:firstLine="0"/>
        <w:jc w:val="both"/>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b/>
        <w:t>Lipoic acid (600 mg/day) was tested in 44 infertile men in a 12-week RCT with no statistically significant results</w:t>
      </w:r>
      <w:r>
        <w:rPr>
          <w:sz w:val="22"/>
          <w:szCs w:val="22"/>
          <w:u w:color="000000"/>
          <w:rtl w:val="0"/>
          <w:lang w:val="en-US"/>
          <w14:textOutline w14:w="12700" w14:cap="flat">
            <w14:noFill/>
            <w14:miter w14:lim="400000"/>
          </w14:textOutline>
        </w:rPr>
        <w:fldChar w:fldCharType="begin" w:fldLock="0"/>
      </w:r>
      <w:r>
        <w:rPr>
          <w:sz w:val="22"/>
          <w:szCs w:val="22"/>
          <w:u w:color="000000"/>
          <w:rtl w:val="0"/>
          <w:lang w:val="en-US"/>
          <w14:textOutline w14:w="12700" w14:cap="flat">
            <w14:noFill/>
            <w14:miter w14:lim="400000"/>
          </w14:textOutline>
        </w:rPr>
        <w:instrText xml:space="preserve"> ADDIN EN.CITE &lt;EndNote&gt;&lt;Cite  &gt;&lt;Author&gt;Haidari, F.; Mohammadi-Asl, J.; Kavianpour, M.; Dadfar, M.; Haghighian, H. K.&lt;/Author&gt;&lt;Year&gt;2021&lt;/Year&gt;&lt;RecNum&gt;47&lt;/RecNum&gt;&lt;Prefix&gt;&lt;/Prefix&gt;&lt;Suffix&gt;&lt;/Suffix&gt;&lt;Pages&gt;&lt;/Pages&gt;&lt;DisplayText&gt;[2]&lt;/DisplayText&gt;&lt;record&gt;&lt;database name="en04f73eea" path="/private/var/folders/y0/mp5jl9fd5jg1mz9clfkt2gr40000gn/T/TemporaryItems/en04f73eea"&gt;en04f73eea&lt;/database&gt;&lt;source-app name="EndNote" version="19.3"&gt;EndNote&lt;/source-app&gt;&lt;rec-number&gt;47&lt;/rec-number&gt;&lt;foreign-keys&gt;&lt;key app="EN" db-id="s2fpaw0fbevep9efawuxwxvz2zz00wpf5ffe"&gt;47&lt;/key&gt;&lt;/foreign-keys&gt;&lt;ref-type name="Journal Article"&gt;17&lt;/ref-type&gt;&lt;contributors&gt;&lt;authors&gt;&lt;author&gt;&lt;style face="normal" font="default" size="100%"&gt;Haidari, F.&lt;/style&gt;&lt;/author&gt;&lt;author&gt;&lt;style face="normal" font="default" size="100%"&gt;Mohammadi-Asl, J.&lt;/style&gt;&lt;/author&gt;&lt;author&gt;&lt;style face="normal" font="default" size="100%"&gt;Kavianpour, M.&lt;/style&gt;&lt;/author&gt;&lt;author&gt;&lt;style face="normal" font="default" size="100%"&gt;Dadfar, M.&lt;/style&gt;&lt;/author&gt;&lt;author&gt;&lt;style face="normal" font="default" size="100%"&gt;Haghighian, H. K.&lt;/style&gt;&lt;/author&gt;&lt;/authors&gt;&lt;/contributors&gt;&lt;auth-address&gt;&lt;style face="normal" font="default" size="100%"&gt;Nutrition and Metabolic Diseases Research Center, Ahvaz Jundishapur, University of Medical Sciences, Ahvaz, Iran.Department of Medical Genetics, Ahvaz Jundishapur, University of Medical Sciences, Ahvaz, Iran.Faculty of Advanced Technologies in Medicine, Department of Tissue Engineering and Applied Cell Sciences, Tehran University of Medical Sciences, Tehran, Iran.Department of Urology, Imam Khomeini Hospital, School of Medicine, Ahvaz Jundishapur, University of Medical Sciences, Ahvaz, Iran.Faculty of Health, Department of Nutrition, Qazvin University of Medical Sciences, Qazvin, Iran.Metabolic Diseases Research Center, Qazvin University of Medical Sciences, Qazvin, Iran.&lt;/style&gt;&lt;/auth-address&gt;&lt;titles&gt;&lt;title&gt;&lt;style face="normal" font="default" size="100%"&gt;Effect of lipoic acid supplementation on gene expression and activity of glutathione S-transferase enzyme in infertile men&lt;/style&gt;&lt;/title&gt;&lt;secondary-title&gt;&lt;style face="normal" font="default" size="100%"&gt;Hum Fertil (Camb)&lt;/style&gt;&lt;/secondary-title&gt;&lt;/titles&gt;&lt;periodical&gt;&lt;full-title&gt;&lt;style face="normal" font="default" size="100%"&gt;Hum Fertil (Camb)&lt;/style&gt;&lt;/full-title&gt;&lt;/periodical&gt;&lt;pages&gt;&lt;style face="normal" font="default" size="100%"&gt;276-283&lt;/style&gt;&lt;/pages&gt;&lt;volume&gt;&lt;style face="normal" font="default" size="100%"&gt;24&lt;/style&gt;&lt;/volume&gt;&lt;number&gt;&lt;style face="normal" font="default" size="100%"&gt;4&lt;/style&gt;&lt;/number&gt;&lt;edition&gt;&lt;style face="normal" font="default" size="100%"&gt;2019/07/12&lt;/style&gt;&lt;/edition&gt;&lt;keywords&gt;&lt;keyword&gt;&lt;style face="normal" font="default" size="100%"&gt;Dietary Supplements&lt;/style&gt;&lt;/keyword&gt;&lt;keyword&gt;&lt;style face="normal" font="default" size="100%"&gt;Follicle Stimulating Hormone&lt;/style&gt;&lt;/keyword&gt;&lt;keyword&gt;&lt;style face="normal" font="default" size="100%"&gt;Gene Expression&lt;/style&gt;&lt;/keyword&gt;&lt;keyword&gt;&lt;style face="normal" font="default" size="100%"&gt;Glutathione Transferase/genetics&lt;/style&gt;&lt;/keyword&gt;&lt;keyword&gt;&lt;style face="normal" font="default" size="100%"&gt;Humans&lt;/style&gt;&lt;/keyword&gt;&lt;keyword&gt;&lt;style face="normal" font="default" size="100%"&gt;*Infertility, Male/drug therapy&lt;/style&gt;&lt;/keyword&gt;&lt;keyword&gt;&lt;style face="normal" font="default" size="100%"&gt;Luteinizing Hormone&lt;/style&gt;&lt;/keyword&gt;&lt;keyword&gt;&lt;style face="normal" font="default" size="100%"&gt;Male&lt;/style&gt;&lt;/keyword&gt;&lt;keyword&gt;&lt;style face="normal" font="default" size="100%"&gt;Semen&lt;/style&gt;&lt;/keyword&gt;&lt;keyword&gt;&lt;style face="normal" font="default" size="100%"&gt;Testosterone&lt;/style&gt;&lt;/keyword&gt;&lt;keyword&gt;&lt;style face="normal" font="default" size="100%"&gt;*Thioctic Acid&lt;/style&gt;&lt;/keyword&gt;&lt;keyword&gt;&lt;style face="normal" font="default" size="100%"&gt;Lipoic acid&lt;/style&gt;&lt;/keyword&gt;&lt;keyword&gt;&lt;style face="normal" font="default" size="100%"&gt;glutathione S-transferase&lt;/style&gt;&lt;/keyword&gt;&lt;keyword&gt;&lt;style face="normal" font="default" size="100%"&gt;infertile men&lt;/style&gt;&lt;/keyword&gt;&lt;keyword&gt;&lt;style face="normal" font="default" size="100%"&gt;reproductive hormones&lt;/style&gt;&lt;/keyword&gt;&lt;/keywords&gt;&lt;dates&gt;&lt;year&gt;&lt;style face="normal" font="default" size="100%"&gt;2021&lt;/style&gt;&lt;/year&gt;&lt;pub-dates&gt;&lt;date&gt;&lt;style face="normal" font="default" size="100%"&gt;Oct&lt;/style&gt;&lt;/date&gt;&lt;/pub-dates&gt;&lt;/dates&gt;&lt;isbn&gt;&lt;style face="normal" font="default" size="100%"&gt;1742-8149 (Electronic)1464-7273 (Linking)&lt;/style&gt;&lt;/isbn&gt;&lt;accession-num&gt;&lt;style face="normal" font="default" size="100%"&gt;31291793&lt;/style&gt;&lt;/accession-num&gt;&lt;abstract&gt;&lt;style face="normal" font="default" size="100%"&gt;Oxidative stress has become the focus of interest as a potential cause of male infertility. We evaluate effects of lipoic acid (LA) supplementation on glutathione S-transferase (GST) expression. This randomized, triple-blind, placebo-controlled clinical trial was conducted on 44 infertile males with idiopathic asthenozoospermia. Men were randomized to receive 600 mg LA or placebo once daily for 12 weeks and semen samples and venous blood samples were obtained. GST expression, reactive oxygen species (ROS) levels, GST activity and reproductive hormone profiles were also measured. GST expression in the intervention group were significantly higher than the control group. Also, at the end of the study, GST activity increased, and ROS levels decreased significantly compared to the baseline. Additionally, the intervention group showed an increase in testosterone and decrease in serum follicle-stimulating hormone (FSH), luteinizing hormone (LH) and prolactin after 12 weeks, but this difference was not significant. We conclude a 12-week treatment with LA leads to improvements in reproductive hormones in serum, and significantly reduces the generation of ROS and increases the gene expression and activity of GST in seminal fluid.&lt;/style&gt;&lt;/abstract&gt;&lt;notes&gt;&lt;style face="normal" font="default" size="100%"&gt;Haidari, FatemehMohammadi-Asl, JavadKavianpour, MariaDadfar, MohammadrezaHaghighian, Hossein KhademengRandomized Controlled TrialEnglandHum Fertil (Camb). 2021 Oct;24(4):276-283. doi: 10.1080/14647273.2019.1639221. Epub 2019 Jul 11.&lt;/style&gt;&lt;/notes&gt;&lt;urls&gt;&lt;related-urls&gt;&lt;url&gt;&lt;style face="normal" font="default" size="100%"&gt;https://www.ncbi.nlm.nih.gov/pubmed/31291793&lt;/style&gt;&lt;/url&gt;&lt;/related-urls&gt;&lt;/urls&gt;&lt;electronic-resource-num&gt;&lt;style face="normal" font="default" size="100%"&gt;10.1080/14647273.2019.1639221&lt;/style&gt;&lt;/electronic-resource-num&gt;&lt;/record&gt;&lt;/Cite&gt;&lt;/EndNote&gt;</w:instrText>
      </w:r>
      <w:r>
        <w:rPr>
          <w:sz w:val="22"/>
          <w:szCs w:val="22"/>
          <w:u w:color="000000"/>
          <w:rtl w:val="0"/>
          <w:lang w:val="en-US"/>
          <w14:textOutline w14:w="12700" w14:cap="flat">
            <w14:noFill/>
            <w14:miter w14:lim="400000"/>
          </w14:textOutline>
        </w:rPr>
        <w:fldChar w:fldCharType="separate" w:fldLock="0"/>
      </w:r>
      <w:r>
        <w:rPr>
          <w:sz w:val="22"/>
          <w:szCs w:val="22"/>
          <w:u w:color="000000"/>
          <w:rtl w:val="0"/>
          <w:lang w:val="en-US"/>
          <w14:textOutline w14:w="12700" w14:cap="flat">
            <w14:noFill/>
            <w14:miter w14:lim="400000"/>
          </w14:textOutline>
        </w:rPr>
        <w:t>[2]</w:t>
      </w:r>
      <w:r>
        <w:rPr>
          <w:sz w:val="22"/>
          <w:szCs w:val="22"/>
          <w:u w:color="000000"/>
          <w:rtl w:val="0"/>
          <w:lang w:val="en-US"/>
          <w14:textOutline w14:w="12700" w14:cap="flat">
            <w14:noFill/>
            <w14:miter w14:lim="400000"/>
          </w14:textOutline>
        </w:rPr>
        <w:fldChar w:fldCharType="end" w:fldLock="0"/>
      </w:r>
      <w:r>
        <w:rPr>
          <w:sz w:val="22"/>
          <w:szCs w:val="22"/>
          <w:u w:color="000000"/>
          <w:rtl w:val="0"/>
          <w:lang w:val="en-US"/>
          <w14:textOutline w14:w="12700" w14:cap="flat">
            <w14:noFill/>
            <w14:miter w14:lim="400000"/>
          </w14:textOutline>
        </w:rPr>
        <w:t xml:space="preserve">. Although numerically mean </w:t>
      </w:r>
      <w:r>
        <w:rPr>
          <w:sz w:val="22"/>
          <w:szCs w:val="22"/>
          <w:u w:color="000000"/>
          <w:rtl w:val="0"/>
          <w:lang w:val="pt-PT"/>
          <w14:textOutline w14:w="12700" w14:cap="flat">
            <w14:noFill/>
            <w14:miter w14:lim="400000"/>
          </w14:textOutline>
        </w:rPr>
        <w:t>s</w:t>
      </w:r>
      <w:r>
        <w:rPr>
          <w:sz w:val="22"/>
          <w:szCs w:val="22"/>
          <w:u w:color="000000"/>
          <w:rtl w:val="0"/>
          <w:lang w:val="en-US"/>
          <w14:textOutline w14:w="12700" w14:cap="flat">
            <w14:noFill/>
            <w14:miter w14:lim="400000"/>
          </w14:textOutline>
        </w:rPr>
        <w:t xml:space="preserve">TT was notably higher in the lipoic acid group, the possibility of a type II error cannot be excluded due to small trial size. </w:t>
      </w:r>
    </w:p>
    <w:p>
      <w:pPr>
        <w:pStyle w:val="Predefinição"/>
        <w:bidi w:val="0"/>
        <w:spacing w:before="200" w:line="480" w:lineRule="auto"/>
        <w:ind w:left="0" w:right="0" w:firstLine="0"/>
        <w:jc w:val="both"/>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b/>
        <w:t xml:space="preserve">The use of virgin argan oil (produced from the fruit of </w:t>
      </w:r>
      <w:r>
        <w:rPr>
          <w:i w:val="1"/>
          <w:iCs w:val="1"/>
          <w:sz w:val="22"/>
          <w:szCs w:val="22"/>
          <w:u w:color="000000"/>
          <w:rtl w:val="0"/>
          <w:lang w:val="en-US"/>
          <w14:textOutline w14:w="12700" w14:cap="flat">
            <w14:noFill/>
            <w14:miter w14:lim="400000"/>
          </w14:textOutline>
        </w:rPr>
        <w:t>Argania spinosa</w:t>
      </w:r>
      <w:r>
        <w:rPr>
          <w:sz w:val="22"/>
          <w:szCs w:val="22"/>
          <w:u w:color="000000"/>
          <w:rtl w:val="0"/>
          <w:lang w:val="en-US"/>
          <w14:textOutline w14:w="12700" w14:cap="flat">
            <w14:noFill/>
            <w14:miter w14:lim="400000"/>
          </w14:textOutline>
        </w:rPr>
        <w:t xml:space="preserve">, a species indigenous to southwestern Morocco) and extra virgin olive oil was tested for 3 weeks with positive results on </w:t>
      </w:r>
      <w:r>
        <w:rPr>
          <w:sz w:val="22"/>
          <w:szCs w:val="22"/>
          <w:u w:color="000000"/>
          <w:rtl w:val="0"/>
          <w:lang w:val="pt-PT"/>
          <w14:textOutline w14:w="12700" w14:cap="flat">
            <w14:noFill/>
            <w14:miter w14:lim="400000"/>
          </w14:textOutline>
        </w:rPr>
        <w:t>s</w:t>
      </w:r>
      <w:r>
        <w:rPr>
          <w:sz w:val="22"/>
          <w:szCs w:val="22"/>
          <w:u w:color="000000"/>
          <w:rtl w:val="0"/>
          <w:lang w:val="en-US"/>
          <w14:textOutline w14:w="12700" w14:cap="flat">
            <w14:noFill/>
            <w14:miter w14:lim="400000"/>
          </w14:textOutline>
        </w:rPr>
        <w:t>TT (17.8</w:t>
      </w:r>
      <w:r>
        <w:rPr>
          <w:rFonts w:ascii="Arial Unicode MS" w:hAnsi="Arial Unicode MS" w:hint="default"/>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3.6 vs 21.3</w:t>
      </w:r>
      <w:r>
        <w:rPr>
          <w:rFonts w:ascii="Arial Unicode MS" w:hAnsi="Arial Unicode MS" w:hint="default"/>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4.7, p&lt;0.001 for virgin argan oil)</w:t>
      </w:r>
      <w:r>
        <w:rPr>
          <w:sz w:val="22"/>
          <w:szCs w:val="22"/>
          <w:u w:color="000000"/>
          <w:rtl w:val="0"/>
          <w:lang w:val="en-US"/>
          <w14:textOutline w14:w="12700" w14:cap="flat">
            <w14:noFill/>
            <w14:miter w14:lim="400000"/>
          </w14:textOutline>
        </w:rPr>
        <w:fldChar w:fldCharType="begin" w:fldLock="0"/>
      </w:r>
      <w:r>
        <w:rPr>
          <w:sz w:val="22"/>
          <w:szCs w:val="22"/>
          <w:u w:color="000000"/>
          <w:rtl w:val="0"/>
          <w:lang w:val="en-US"/>
          <w14:textOutline w14:w="12700" w14:cap="flat">
            <w14:noFill/>
            <w14:miter w14:lim="400000"/>
          </w14:textOutline>
        </w:rPr>
        <w:instrText xml:space="preserve"> ADDIN EN.CITE &lt;EndNote&gt;&lt;Cite  &gt;&lt;Author&gt;Derouiche, A.; Jafri, A.; Driouch, I.; El Khasmi, M.; Adlouni, A.; Benajiba, N.; Bamou, Y.; Saile, R.; Benouhoud, M.&lt;/Author&gt;&lt;Year&gt;2013&lt;/Year&gt;&lt;RecNum&gt;48&lt;/RecNum&gt;&lt;Prefix&gt;&lt;/Prefix&gt;&lt;Suffix&gt;&lt;/Suffix&gt;&lt;Pages&gt;&lt;/Pages&gt;&lt;DisplayText&gt;[3]&lt;/DisplayText&gt;&lt;record&gt;&lt;database name="en04f73eea" path="/private/var/folders/y0/mp5jl9fd5jg1mz9clfkt2gr40000gn/T/TemporaryItems/en04f73eea"&gt;en04f73eea&lt;/database&gt;&lt;source-app name="EndNote" version="19.3"&gt;EndNote&lt;/source-app&gt;&lt;rec-number&gt;48&lt;/rec-number&gt;&lt;foreign-keys&gt;&lt;key app="EN" db-id="s2fpaw0fbevep9efawuxwxvz2zz00wpf5ffe"&gt;48&lt;/key&gt;&lt;/foreign-keys&gt;&lt;ref-type name="Journal Article"&gt;17&lt;/ref-type&gt;&lt;contributors&gt;&lt;authors&gt;&lt;author&gt;&lt;style face="normal" font="default" size="100%"&gt;Derouiche, A.&lt;/style&gt;&lt;/author&gt;&lt;author&gt;&lt;style face="normal" font="default" size="100%"&gt;Jafri, A.&lt;/style&gt;&lt;/author&gt;&lt;author&gt;&lt;style face="normal" font="default" size="100%"&gt;Driouch, I.&lt;/style&gt;&lt;/author&gt;&lt;author&gt;&lt;style face="normal" font="default" size="100%"&gt;El Khasmi, M.&lt;/style&gt;&lt;/author&gt;&lt;author&gt;&lt;style face="normal" font="default" size="100%"&gt;Adlouni, A.&lt;/style&gt;&lt;/author&gt;&lt;author&gt;&lt;style face="normal" font="default" size="100%"&gt;Benajiba, N.&lt;/style&gt;&lt;/author&gt;&lt;author&gt;&lt;style face="normal" font="default" size="100%"&gt;Bamou, Y.&lt;/style&gt;&lt;/author&gt;&lt;author&gt;&lt;style face="normal" font="default" size="100%"&gt;Saile, R.&lt;/style&gt;&lt;/author&gt;&lt;author&gt;&lt;style face="normal" font="default" size="100%"&gt;Benouhoud, M.&lt;/style&gt;&lt;/author&gt;&lt;/authors&gt;&lt;/contributors&gt;&lt;auth-address&gt;&lt;style face="normal" font="default" size="100%"&gt;Universite Hassan II Mohammedia Casablanca, Faculte des Sciences Ben M'sik, Laboratoire de Recherche sur les Lipoproteines et l'Atherosclerose (URAC 34), Casablanca, Morocco. afderouiche@yahoo.fr&lt;/style&gt;&lt;/auth-address&gt;&lt;titles&gt;&lt;title&gt;&lt;style face="normal" font="default" size="100%"&gt;Effect of argan and olive oil consumption on the hormonal profile of androgens among healthy adult Moroccan men&lt;/style&gt;&lt;/title&gt;&lt;secondary-title&gt;&lt;style face="normal" font="default" size="100%"&gt;Nat Prod Commun&lt;/style&gt;&lt;/secondary-title&gt;&lt;/titles&gt;&lt;periodical&gt;&lt;full-title&gt;&lt;style face="normal" font="default" size="100%"&gt;Nat Prod Commun&lt;/style&gt;&lt;/full-title&gt;&lt;/periodical&gt;&lt;pages&gt;&lt;style face="normal" font="default" size="100%"&gt;51-3&lt;/style&gt;&lt;/pages&gt;&lt;volume&gt;&lt;style face="normal" font="default" size="100%"&gt;8&lt;/style&gt;&lt;/volume&gt;&lt;number&gt;&lt;style face="normal" font="default" size="100%"&gt;1&lt;/style&gt;&lt;/number&gt;&lt;edition&gt;&lt;style face="normal" font="default" size="100%"&gt;2013/03/12&lt;/style&gt;&lt;/edition&gt;&lt;keywords&gt;&lt;keyword&gt;&lt;style face="normal" font="default" size="100%"&gt;Adult&lt;/style&gt;&lt;/keyword&gt;&lt;keyword&gt;&lt;style face="normal" font="default" size="100%"&gt;Androgens/blood&lt;/style&gt;&lt;/keyword&gt;&lt;keyword&gt;&lt;style face="normal" font="default" size="100%"&gt;Dehydroepiandrosterone/*blood&lt;/style&gt;&lt;/keyword&gt;&lt;keyword&gt;&lt;style face="normal" font="default" size="100%"&gt;Dietary Fats, Unsaturated/pharmacology&lt;/style&gt;&lt;/keyword&gt;&lt;keyword&gt;&lt;style face="normal" font="default" size="100%"&gt;Humans&lt;/style&gt;&lt;/keyword&gt;&lt;keyword&gt;&lt;style face="normal" font="default" size="100%"&gt;Luteinizing Hormone/*blood&lt;/style&gt;&lt;/keyword&gt;&lt;keyword&gt;&lt;style face="normal" font="default" size="100%"&gt;Male&lt;/style&gt;&lt;/keyword&gt;&lt;keyword&gt;&lt;style face="normal" font="default" size="100%"&gt;Olive Oil&lt;/style&gt;&lt;/keyword&gt;&lt;keyword&gt;&lt;style face="normal" font="default" size="100%"&gt;Plant Oils/*pharmacology&lt;/style&gt;&lt;/keyword&gt;&lt;keyword&gt;&lt;style face="normal" font="default" size="100%"&gt;Sapotaceae&lt;/style&gt;&lt;/keyword&gt;&lt;keyword&gt;&lt;style face="normal" font="default" size="100%"&gt;Testosterone/*blood&lt;/style&gt;&lt;/keyword&gt;&lt;keyword&gt;&lt;style face="normal" font="default" size="100%"&gt;Young Adult&lt;/style&gt;&lt;/keyword&gt;&lt;/keywords&gt;&lt;dates&gt;&lt;year&gt;&lt;style face="normal" font="default" size="100%"&gt;2013&lt;/style&gt;&lt;/year&gt;&lt;pub-dates&gt;&lt;date&gt;&lt;style face="normal" font="default" size="100%"&gt;Jan&lt;/style&gt;&lt;/date&gt;&lt;/pub-dates&gt;&lt;/dates&gt;&lt;isbn&gt;&lt;style face="normal" font="default" size="100%"&gt;1934-578X (Print)1555-9475 (Linking)&lt;/style&gt;&lt;/isbn&gt;&lt;accession-num&gt;&lt;style face="normal" font="default" size="100%"&gt;23472458&lt;/style&gt;&lt;/accession-num&gt;&lt;abstract&gt;&lt;style face="normal" font="default" size="100%"&gt;This study aimed to assess the effect of virgin argan oil (VAO) and extra virgin olive oil (EVO) on the hormonal profile of androgens and anthropometric parameters among healthy adult Moroccan men during a controlled nutritional intervention. The study was carried out on 60 young and healthy male volunteers aged between 23 and 40 years old. During a stabilization period of 2 weeks they consumed butter. The group was then randomized into two categories, the first one consuming VAO and the second EVO for 3 weeks. Testosterone (T), luteinizing hormone (LH) and dehydroepiandrosterone (DHEAS) serum concentrations were measured at the beginning of the study and at the end of each period. The Mann-Whitney test was used to compare the two groups (VAO and EVO) during each step of the study. Differences in androgens and anthropometric parameters between the baseline and after 3 weeks of the diet in the VAO and EVO groups were analyzed using the Wilcoxon test. T and LH serum concentrations significantly increased after the intervention period. T levels increased by 19.9% and 17.4% (p &amp;lt; 0.0001), and LH levels by 18.5% (p &amp;lt; 0.007) and 42.6% (p &amp;lt; 0.0001), respectively, for VAO and EVO (p &amp;lt; 0.0001). However, DHEAS serum concentrations, body weight, body mass index, arterial pressure and daily energetic intake did not show any significant variation after the intervention with either argan or olive oils. The results suggest that consumption of AVO and EVO might be the origin of a positive action on the androgen hormonal profile of men.&lt;/style&gt;&lt;/abstract&gt;&lt;notes&gt;&lt;style face="normal" font="default" size="100%"&gt;Derouiche, AbdelfettahJafri, AliDriouch, IssamEl Khasmi, MohammedAdlouni, AhmedBenajiba, NadaBamou, YoussefSaile, RachidBenouhoud, MohammedengComparative StudyRandomized Controlled TrialResearch Support, Non-U.S. Gov'tNat Prod Commun. 2013 Jan;8(1):51-3.&lt;/style&gt;&lt;/notes&gt;&lt;urls&gt;&lt;related-urls&gt;&lt;url&gt;&lt;style face="normal" font="default" size="100%"&gt;https://www.ncbi.nlm.nih.gov/pubmed/23472458&lt;/style&gt;&lt;/url&gt;&lt;/related-urls&gt;&lt;/urls&gt;&lt;/record&gt;&lt;/Cite&gt;&lt;/EndNote&gt;</w:instrText>
      </w:r>
      <w:r>
        <w:rPr>
          <w:sz w:val="22"/>
          <w:szCs w:val="22"/>
          <w:u w:color="000000"/>
          <w:rtl w:val="0"/>
          <w:lang w:val="en-US"/>
          <w14:textOutline w14:w="12700" w14:cap="flat">
            <w14:noFill/>
            <w14:miter w14:lim="400000"/>
          </w14:textOutline>
        </w:rPr>
        <w:fldChar w:fldCharType="separate" w:fldLock="0"/>
      </w:r>
      <w:r>
        <w:rPr>
          <w:sz w:val="22"/>
          <w:szCs w:val="22"/>
          <w:u w:color="000000"/>
          <w:rtl w:val="0"/>
          <w:lang w:val="en-US"/>
          <w14:textOutline w14:w="12700" w14:cap="flat">
            <w14:noFill/>
            <w14:miter w14:lim="400000"/>
          </w14:textOutline>
        </w:rPr>
        <w:t>[3]</w:t>
      </w:r>
      <w:r>
        <w:rPr>
          <w:sz w:val="22"/>
          <w:szCs w:val="22"/>
          <w:u w:color="000000"/>
          <w:rtl w:val="0"/>
          <w:lang w:val="en-US"/>
          <w14:textOutline w14:w="12700" w14:cap="flat">
            <w14:noFill/>
            <w14:miter w14:lim="400000"/>
          </w14:textOutline>
        </w:rPr>
        <w:fldChar w:fldCharType="end" w:fldLock="0"/>
      </w:r>
      <w:r>
        <w:rPr>
          <w:sz w:val="22"/>
          <w:szCs w:val="22"/>
          <w:u w:color="000000"/>
          <w:rtl w:val="0"/>
          <w:lang w:val="en-US"/>
          <w14:textOutline w14:w="12700" w14:cap="flat">
            <w14:noFill/>
            <w14:miter w14:lim="400000"/>
          </w14:textOutline>
        </w:rPr>
        <w:t>.</w:t>
      </w:r>
    </w:p>
    <w:p>
      <w:pPr>
        <w:pStyle w:val="Predefinição"/>
        <w:bidi w:val="0"/>
        <w:spacing w:before="200" w:line="480" w:lineRule="auto"/>
        <w:ind w:left="0" w:right="0" w:firstLine="0"/>
        <w:jc w:val="both"/>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b/>
        <w:t>Calcium gluconate (35 mg/kg/day) for 4 weeks was tested in combination with exercise in young male athletes in a three-arm trial</w:t>
      </w:r>
      <w:r>
        <w:rPr>
          <w:sz w:val="22"/>
          <w:szCs w:val="22"/>
          <w:u w:color="000000"/>
          <w:rtl w:val="0"/>
          <w:lang w:val="en-US"/>
          <w14:textOutline w14:w="12700" w14:cap="flat">
            <w14:noFill/>
            <w14:miter w14:lim="400000"/>
          </w14:textOutline>
        </w:rPr>
        <w:fldChar w:fldCharType="begin" w:fldLock="0"/>
      </w:r>
      <w:r>
        <w:rPr>
          <w:sz w:val="22"/>
          <w:szCs w:val="22"/>
          <w:u w:color="000000"/>
          <w:rtl w:val="0"/>
          <w:lang w:val="en-US"/>
          <w14:textOutline w14:w="12700" w14:cap="flat">
            <w14:noFill/>
            <w14:miter w14:lim="400000"/>
          </w14:textOutline>
        </w:rPr>
        <w:instrText xml:space="preserve"> ADDIN EN.CITE &lt;EndNote&gt;&lt;Cite  &gt;&lt;Author&gt;Cinar, V.; Baltaci, A. K.; Mogulkoc, R.; Kilic, M.&lt;/Author&gt;&lt;Year&gt;2009&lt;/Year&gt;&lt;RecNum&gt;49&lt;/RecNum&gt;&lt;Prefix&gt;&lt;/Prefix&gt;&lt;Suffix&gt;&lt;/Suffix&gt;&lt;Pages&gt;&lt;/Pages&gt;&lt;DisplayText&gt;[4]&lt;/DisplayText&gt;&lt;record&gt;&lt;database name="en04f73eea" path="/private/var/folders/y0/mp5jl9fd5jg1mz9clfkt2gr40000gn/T/TemporaryItems/en04f73eea"&gt;en04f73eea&lt;/database&gt;&lt;source-app name="EndNote" version="19.3"&gt;EndNote&lt;/source-app&gt;&lt;rec-number&gt;49&lt;/rec-number&gt;&lt;foreign-keys&gt;&lt;key app="EN" db-id="s2fpaw0fbevep9efawuxwxvz2zz00wpf5ffe"&gt;49&lt;/key&gt;&lt;/foreign-keys&gt;&lt;ref-type name="Journal Article"&gt;17&lt;/ref-type&gt;&lt;contributors&gt;&lt;authors&gt;&lt;author&gt;&lt;style face="normal" font="default" size="100%"&gt;Cinar, V.&lt;/style&gt;&lt;/author&gt;&lt;author&gt;&lt;style face="normal" font="default" size="100%"&gt;Baltaci, A. K.&lt;/style&gt;&lt;/author&gt;&lt;author&gt;&lt;style face="normal" font="default" size="100%"&gt;Mogulkoc, R.&lt;/style&gt;&lt;/author&gt;&lt;author&gt;&lt;style face="normal" font="default" size="100%"&gt;Kilic, M.&lt;/style&gt;&lt;/author&gt;&lt;/authors&gt;&lt;/contributors&gt;&lt;auth-address&gt;&lt;style face="normal" font="default" size="100%"&gt;Karaman High School of Physical Education and Sport, Selcuk University, Karaman, Turkey. bsyovedat@yahoo.com.tr&lt;/style&gt;&lt;/auth-address&gt;&lt;titles&gt;&lt;title&gt;&lt;style face="normal" font="default" size="100%"&gt;Testosterone levels in athletes at rest and exhaustion: effects of calcium supplementation&lt;/style&gt;&lt;/title&gt;&lt;secondary-title&gt;&lt;style face="normal" font="default" size="100%"&gt;Biol Trace Elem Res&lt;/style&gt;&lt;/secondary-title&gt;&lt;/titles&gt;&lt;periodical&gt;&lt;full-title&gt;&lt;style face="normal" font="default" size="100%"&gt;Biol Trace Elem Res&lt;/style&gt;&lt;/full-title&gt;&lt;/periodical&gt;&lt;pages&gt;&lt;style face="normal" font="default" size="100%"&gt;65-9&lt;/style&gt;&lt;/pages&gt;&lt;volume&gt;&lt;style face="normal" font="default" size="100%"&gt;129&lt;/style&gt;&lt;/volume&gt;&lt;number&gt;&lt;style face="normal" font="default" size="100%"&gt;1-3&lt;/style&gt;&lt;/number&gt;&lt;edition&gt;&lt;style face="normal" font="default" size="100%"&gt;2008/12/23&lt;/style&gt;&lt;/edition&gt;&lt;keywords&gt;&lt;keyword&gt;&lt;style face="normal" font="default" size="100%"&gt;Adolescent&lt;/style&gt;&lt;/keyword&gt;&lt;keyword&gt;&lt;style face="normal" font="default" size="100%"&gt;Adult&lt;/style&gt;&lt;/keyword&gt;&lt;keyword&gt;&lt;style face="normal" font="default" size="100%"&gt;Calcium Gluconate/administration &amp;amp; dosage/*pharmacology&lt;/style&gt;&lt;/keyword&gt;&lt;keyword&gt;&lt;style face="normal" font="default" size="100%"&gt;*Dietary Supplements&lt;/style&gt;&lt;/keyword&gt;&lt;keyword&gt;&lt;style face="normal" font="default" size="100%"&gt;Exercise/*physiology&lt;/style&gt;&lt;/keyword&gt;&lt;keyword&gt;&lt;style face="normal" font="default" size="100%"&gt;Exercise Test&lt;/style&gt;&lt;/keyword&gt;&lt;keyword&gt;&lt;style face="normal" font="default" size="100%"&gt;Fatigue/*blood&lt;/style&gt;&lt;/keyword&gt;&lt;keyword&gt;&lt;style face="normal" font="default" size="100%"&gt;Humans&lt;/style&gt;&lt;/keyword&gt;&lt;keyword&gt;&lt;style face="normal" font="default" size="100%"&gt;Male&lt;/style&gt;&lt;/keyword&gt;&lt;keyword&gt;&lt;style face="normal" font="default" size="100%"&gt;Reference Values&lt;/style&gt;&lt;/keyword&gt;&lt;keyword&gt;&lt;style face="normal" font="default" size="100%"&gt;Rest/*physiology&lt;/style&gt;&lt;/keyword&gt;&lt;keyword&gt;&lt;style face="normal" font="default" size="100%"&gt;Testosterone/*blood&lt;/style&gt;&lt;/keyword&gt;&lt;/keywords&gt;&lt;dates&gt;&lt;year&gt;&lt;style face="normal" font="default" size="100%"&gt;2009&lt;/style&gt;&lt;/year&gt;&lt;pub-dates&gt;&lt;date&gt;&lt;style face="normal" font="default" size="100%"&gt;Summer&lt;/style&gt;&lt;/date&gt;&lt;/pub-dates&gt;&lt;/dates&gt;&lt;isbn&gt;&lt;style face="normal" font="default" size="100%"&gt;1559-0720 (Electronic)0163-4984 (Linking)&lt;/style&gt;&lt;/isbn&gt;&lt;accession-num&gt;&lt;style face="normal" font="default" size="100%"&gt;19099204&lt;/style&gt;&lt;/accession-num&gt;&lt;abstract&gt;&lt;style face="normal" font="default" size="100%"&gt;The effects of 4 weeks of calcium supplementation on free- and total testosterone levels were established in active and sedentary adult males at rest and exhaustion. Thirty healthy male athletes were equally divided into three study groups, as follows: Group 1-non-exercising subjects receiving 35 mg calcium/kg body weight; Group 2-subjects receiving 35 mg calcium/kg body weight undergoing training routines for 90 min/day, 5 days a week and Group 3-subjects undergoing training routines for 90 min/day, 5 days a week. The testosterone levels were determined before and after supplementation, at rest and following a hard training routine. The plasma free- and total testosterone levels increased at exhaustion before and after supplementation relative to resting values (p &amp;lt; 0.05). This was also true when active subjects were compared to inactive subjects (p &amp;lt; 0.05). Our results show that training results in increased testosterone levels in athletes and that the increase is greater if accompanied by calcium supplementation, which may be useful for increasing overall athletic performance.&lt;/style&gt;&lt;/abstract&gt;&lt;notes&gt;&lt;style face="normal" font="default" size="100%"&gt;Cinar, VedatBaltaci, Abdulkerim KasimMogulkoc, RasimKilic, MehmetengBiol Trace Elem Res. 2009 Summer;129(1-3):65-9. doi: 10.1007/s12011-008-8294-5. Epub 2008 Dec 20.&lt;/style&gt;&lt;/notes&gt;&lt;urls&gt;&lt;related-urls&gt;&lt;url&gt;&lt;style face="normal" font="default" size="100%"&gt;https://www.ncbi.nlm.nih.gov/pubmed/19099204&lt;/style&gt;&lt;/url&gt;&lt;/related-urls&gt;&lt;/urls&gt;&lt;electronic-resource-num&gt;&lt;style face="normal" font="default" size="100%"&gt;10.1007/s12011-008-8294-5&lt;/style&gt;&lt;/electronic-resource-num&gt;&lt;/record&gt;&lt;/Cite&gt;&lt;/EndNote&gt;</w:instrText>
      </w:r>
      <w:r>
        <w:rPr>
          <w:sz w:val="22"/>
          <w:szCs w:val="22"/>
          <w:u w:color="000000"/>
          <w:rtl w:val="0"/>
          <w:lang w:val="en-US"/>
          <w14:textOutline w14:w="12700" w14:cap="flat">
            <w14:noFill/>
            <w14:miter w14:lim="400000"/>
          </w14:textOutline>
        </w:rPr>
        <w:fldChar w:fldCharType="separate" w:fldLock="0"/>
      </w:r>
      <w:r>
        <w:rPr>
          <w:sz w:val="22"/>
          <w:szCs w:val="22"/>
          <w:u w:color="000000"/>
          <w:rtl w:val="0"/>
          <w:lang w:val="en-US"/>
          <w14:textOutline w14:w="12700" w14:cap="flat">
            <w14:noFill/>
            <w14:miter w14:lim="400000"/>
          </w14:textOutline>
        </w:rPr>
        <w:t>[4]</w:t>
      </w:r>
      <w:r>
        <w:rPr>
          <w:sz w:val="22"/>
          <w:szCs w:val="22"/>
          <w:u w:color="000000"/>
          <w:rtl w:val="0"/>
          <w:lang w:val="en-US"/>
          <w14:textOutline w14:w="12700" w14:cap="flat">
            <w14:noFill/>
            <w14:miter w14:lim="400000"/>
          </w14:textOutline>
        </w:rPr>
        <w:fldChar w:fldCharType="end" w:fldLock="0"/>
      </w:r>
      <w:r>
        <w:rPr>
          <w:sz w:val="22"/>
          <w:szCs w:val="22"/>
          <w:u w:color="000000"/>
          <w:rtl w:val="0"/>
          <w:lang w:val="en-US"/>
          <w14:textOutline w14:w="12700" w14:cap="flat">
            <w14:noFill/>
            <w14:miter w14:lim="400000"/>
          </w14:textOutline>
        </w:rPr>
        <w:t xml:space="preserve">. No statistically difference was noted in </w:t>
      </w:r>
      <w:r>
        <w:rPr>
          <w:sz w:val="22"/>
          <w:szCs w:val="22"/>
          <w:u w:color="000000"/>
          <w:rtl w:val="0"/>
          <w:lang w:val="pt-PT"/>
          <w14:textOutline w14:w="12700" w14:cap="flat">
            <w14:noFill/>
            <w14:miter w14:lim="400000"/>
          </w14:textOutline>
        </w:rPr>
        <w:t>s</w:t>
      </w:r>
      <w:r>
        <w:rPr>
          <w:sz w:val="22"/>
          <w:szCs w:val="22"/>
          <w:u w:color="000000"/>
          <w:rtl w:val="0"/>
          <w:lang w:val="en-US"/>
          <w14:textOutline w14:w="12700" w14:cap="flat">
            <w14:noFill/>
            <w14:miter w14:lim="400000"/>
          </w14:textOutline>
        </w:rPr>
        <w:t xml:space="preserve">TT concentration when compared to </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training routine</w:t>
      </w:r>
      <w:r>
        <w:rPr>
          <w:sz w:val="22"/>
          <w:szCs w:val="22"/>
          <w:u w:color="000000"/>
          <w:rtl w:val="0"/>
          <w:lang w:val="en-US"/>
          <w14:textOutline w14:w="12700" w14:cap="flat">
            <w14:noFill/>
            <w14:miter w14:lim="400000"/>
          </w14:textOutline>
        </w:rPr>
        <w:t xml:space="preserve">” </w:t>
      </w:r>
      <w:r>
        <w:rPr>
          <w:sz w:val="22"/>
          <w:szCs w:val="22"/>
          <w:u w:color="000000"/>
          <w:rtl w:val="0"/>
          <w:lang w:val="en-US"/>
          <w14:textOutline w14:w="12700" w14:cap="flat">
            <w14:noFill/>
            <w14:miter w14:lim="400000"/>
          </w14:textOutline>
        </w:rPr>
        <w:t>only. No adverse effects were reported by participants.</w:t>
      </w:r>
    </w:p>
    <w:p>
      <w:pPr>
        <w:pStyle w:val="Predefinição"/>
        <w:bidi w:val="0"/>
        <w:spacing w:before="200" w:line="480" w:lineRule="auto"/>
        <w:ind w:left="0" w:right="0" w:firstLine="0"/>
        <w:jc w:val="both"/>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b/>
        <w:t>The Jingui Shenqui pill (3 grams three times per day) was used in a 3-month prospective single-arm study of 40 men with late-onset hypogonadism</w:t>
      </w:r>
      <w:r>
        <w:rPr>
          <w:sz w:val="22"/>
          <w:szCs w:val="22"/>
          <w:u w:color="000000"/>
          <w:rtl w:val="0"/>
          <w:lang w:val="en-US"/>
          <w14:textOutline w14:w="12700" w14:cap="flat">
            <w14:noFill/>
            <w14:miter w14:lim="400000"/>
          </w14:textOutline>
        </w:rPr>
        <w:fldChar w:fldCharType="begin" w:fldLock="0"/>
      </w:r>
      <w:r>
        <w:rPr>
          <w:sz w:val="22"/>
          <w:szCs w:val="22"/>
          <w:u w:color="000000"/>
          <w:rtl w:val="0"/>
          <w:lang w:val="en-US"/>
          <w14:textOutline w14:w="12700" w14:cap="flat">
            <w14:noFill/>
            <w14:miter w14:lim="400000"/>
          </w14:textOutline>
        </w:rPr>
        <w:instrText xml:space="preserve"> ADDIN EN.CITE &lt;EndNote&gt;&lt;Cite  &gt;&lt;Author&gt;Che, W. J.; He, X. Z.; Jiang, J. P.; Cai, W. Y.; Xie, S. J.&lt;/Author&gt;&lt;Year&gt;2005&lt;/Year&gt;&lt;RecNum&gt;50&lt;/RecNum&gt;&lt;Prefix&gt;&lt;/Prefix&gt;&lt;Suffix&gt;&lt;/Suffix&gt;&lt;Pages&gt;&lt;/Pages&gt;&lt;DisplayText&gt;[5]&lt;/DisplayText&gt;&lt;record&gt;&lt;database name="en04f73eea" path="/private/var/folders/y0/mp5jl9fd5jg1mz9clfkt2gr40000gn/T/TemporaryItems/en04f73eea"&gt;en04f73eea&lt;/database&gt;&lt;source-app name="EndNote" version="19.3"&gt;EndNote&lt;/source-app&gt;&lt;rec-number&gt;50&lt;/rec-number&gt;&lt;foreign-keys&gt;&lt;key app="EN" db-id="s2fpaw0fbevep9efawuxwxvz2zz00wpf5ffe"&gt;50&lt;/key&gt;&lt;/foreign-keys&gt;&lt;ref-type name="Journal Article"&gt;17&lt;/ref-type&gt;&lt;contributors&gt;&lt;authors&gt;&lt;author&gt;&lt;style face="normal" font="default" size="100%"&gt;Che, W. J.&lt;/style&gt;&lt;/author&gt;&lt;author&gt;&lt;style face="normal" font="default" size="100%"&gt;He, X. Z.&lt;/style&gt;&lt;/author&gt;&lt;author&gt;&lt;style face="normal" font="default" size="100%"&gt;Jiang, J. P.&lt;/style&gt;&lt;/author&gt;&lt;author&gt;&lt;style face="normal" font="default" size="100%"&gt;Cai, W. Y.&lt;/style&gt;&lt;/author&gt;&lt;author&gt;&lt;style face="normal" font="default" size="100%"&gt;Xie, S. J.&lt;/style&gt;&lt;/author&gt;&lt;/authors&gt;&lt;/contributors&gt;&lt;auth-address&gt;&lt;style face="normal" font="default" size="100%"&gt;The First Hospital of Changzhou City, 3rd Affiliated Hospital of Suzhou University, Jiangsu 213003. erya_guo@hotmail.com&lt;/style&gt;&lt;/auth-address&gt;&lt;titles&gt;&lt;title&gt;&lt;style face="normal" font="default" size="100%"&gt;Preliminary study on treatment of partial androgen deficiency in aging males with Jingui Shenqi Pill&lt;/style&gt;&lt;/title&gt;&lt;secondary-title&gt;&lt;style face="normal" font="default" size="100%"&gt;Chin J Integr Med&lt;/style&gt;&lt;/secondary-title&gt;&lt;/titles&gt;&lt;periodical&gt;&lt;full-title&gt;&lt;style face="normal" font="default" size="100%"&gt;Chin J Integr Med&lt;/style&gt;&lt;/full-title&gt;&lt;/periodical&gt;&lt;pages&gt;&lt;style face="normal" font="default" size="100%"&gt;300-2&lt;/style&gt;&lt;/pages&gt;&lt;volume&gt;&lt;style face="normal" font="default" size="100%"&gt;11&lt;/style&gt;&lt;/volume&gt;&lt;number&gt;&lt;style face="normal" font="default" size="100%"&gt;4&lt;/style&gt;&lt;/number&gt;&lt;edition&gt;&lt;style face="normal" font="default" size="100%"&gt;2006/01/19&lt;/style&gt;&lt;/edition&gt;&lt;keywords&gt;&lt;keyword&gt;&lt;style face="normal" font="default" size="100%"&gt;Aged&lt;/style&gt;&lt;/keyword&gt;&lt;keyword&gt;&lt;style face="normal" font="default" size="100%"&gt;Androgens/*deficiency&lt;/style&gt;&lt;/keyword&gt;&lt;keyword&gt;&lt;style face="normal" font="default" size="100%"&gt;Drugs, Chinese Herbal/adverse effects/*therapeutic use&lt;/style&gt;&lt;/keyword&gt;&lt;keyword&gt;&lt;style face="normal" font="default" size="100%"&gt;Erectile Dysfunction/drug therapy&lt;/style&gt;&lt;/keyword&gt;&lt;keyword&gt;&lt;style face="normal" font="default" size="100%"&gt;Follicle Stimulating Hormone/blood&lt;/style&gt;&lt;/keyword&gt;&lt;keyword&gt;&lt;style face="normal" font="default" size="100%"&gt;Humans&lt;/style&gt;&lt;/keyword&gt;&lt;keyword&gt;&lt;style face="normal" font="default" size="100%"&gt;Luteinizing Hormone/blood&lt;/style&gt;&lt;/keyword&gt;&lt;keyword&gt;&lt;style face="normal" font="default" size="100%"&gt;Male&lt;/style&gt;&lt;/keyword&gt;&lt;keyword&gt;&lt;style face="normal" font="default" size="100%"&gt;Middle Aged&lt;/style&gt;&lt;/keyword&gt;&lt;keyword&gt;&lt;style face="normal" font="default" size="100%"&gt;Prostate-Specific Antigen/blood&lt;/style&gt;&lt;/keyword&gt;&lt;keyword&gt;&lt;style face="normal" font="default" size="100%"&gt;Testosterone/blood&lt;/style&gt;&lt;/keyword&gt;&lt;/keywords&gt;&lt;dates&gt;&lt;year&gt;&lt;style face="normal" font="default" size="100%"&gt;2005&lt;/style&gt;&lt;/year&gt;&lt;pub-dates&gt;&lt;date&gt;&lt;style face="normal" font="default" size="100%"&gt;Dec&lt;/style&gt;&lt;/date&gt;&lt;/pub-dates&gt;&lt;/dates&gt;&lt;isbn&gt;&lt;style face="normal" font="default" size="100%"&gt;1672-0415 (Print)1672-0415 (Linking)&lt;/style&gt;&lt;/isbn&gt;&lt;accession-num&gt;&lt;style face="normal" font="default" size="100%"&gt;16417783&lt;/style&gt;&lt;/accession-num&gt;&lt;abstract&gt;&lt;style face="normal" font="default" size="100%"&gt;OBJECTIVE: To observe the efficacy and safety of Jingui Shengqi Pill in treating partial androgen deficiency in aging males (PADAM), and to explore the new approach in improving the quality of life in PADAM patients. METHODS: Forty patients with PADAM were treated with JSP, the efficacy was evaluated with international index of erectile function (IIEF) scoring, PADAM questionnaire scoring, hormone, prostatic specific antigen (PSA), etc., and the data before treatment were compared with those after treatment in the same group. RESULTS: After 3 months of treatment, PADAM scoring and IIEF scoring were all significantly improved. Symptoms regarding physical ability, vasomotion, and psychical and mental condition all got improved more markedly than symptoms regarding sexual hypofunction. The serum level of testosterone was 3.85 +/- 0.36 before treatment and 5.02 +/- 0.83 after treatment (P &amp;lt; 0.05); luteinizing hormone of 7.33 +/- 2.14 and 4.84 +/- 1.43 (P &amp;lt; 0.01), follicle-stimulating hormone of 10.22 +/- 4.48 and 6.47 +/- 3.28 (P &amp;lt; 0.01), respectively. The level of PSA failed to change significantly (1.94 +/- 0.55 and 2.06 +/- 0.47, P &amp;gt; 0.05). CONCLUSION: JSP is effective and safe in treating PADAM, the mechanism of it is different from supplementing extrinsic androgen. It may have produced the effect by means of favorably regulating the condition of sex hormone to improve the balance of pituitary-sex gland axis, so it has more extensive clinical application.&lt;/style&gt;&lt;/abstract&gt;&lt;notes&gt;&lt;style face="normal" font="default" size="100%"&gt;Che, Wen-junHe, Xiao-zhouJiang, Jian-pinCai, Wen-yuanXie, Si-jieengChinaChin J Integr Med. 2005 Dec;11(4):300-2. doi: 10.1007/BF02835794.&lt;/style&gt;&lt;/notes&gt;&lt;urls&gt;&lt;related-urls&gt;&lt;url&gt;&lt;style face="normal" font="default" size="100%"&gt;https://www.ncbi.nlm.nih.gov/pubmed/16417783&lt;/style&gt;&lt;/url&gt;&lt;/related-urls&gt;&lt;/urls&gt;&lt;electronic-resource-num&gt;&lt;style face="normal" font="default" size="100%"&gt;10.1007/BF02835794&lt;/style&gt;&lt;/electronic-resource-num&gt;&lt;/record&gt;&lt;/Cite&gt;&lt;/EndNote&gt;</w:instrText>
      </w:r>
      <w:r>
        <w:rPr>
          <w:sz w:val="22"/>
          <w:szCs w:val="22"/>
          <w:u w:color="000000"/>
          <w:rtl w:val="0"/>
          <w:lang w:val="en-US"/>
          <w14:textOutline w14:w="12700" w14:cap="flat">
            <w14:noFill/>
            <w14:miter w14:lim="400000"/>
          </w14:textOutline>
        </w:rPr>
        <w:fldChar w:fldCharType="separate" w:fldLock="0"/>
      </w:r>
      <w:r>
        <w:rPr>
          <w:sz w:val="22"/>
          <w:szCs w:val="22"/>
          <w:u w:color="000000"/>
          <w:rtl w:val="0"/>
          <w:lang w:val="en-US"/>
          <w14:textOutline w14:w="12700" w14:cap="flat">
            <w14:noFill/>
            <w14:miter w14:lim="400000"/>
          </w14:textOutline>
        </w:rPr>
        <w:t>[5]</w:t>
      </w:r>
      <w:r>
        <w:rPr>
          <w:sz w:val="22"/>
          <w:szCs w:val="22"/>
          <w:u w:color="000000"/>
          <w:rtl w:val="0"/>
          <w:lang w:val="en-US"/>
          <w14:textOutline w14:w="12700" w14:cap="flat">
            <w14:noFill/>
            <w14:miter w14:lim="400000"/>
          </w14:textOutline>
        </w:rPr>
        <w:fldChar w:fldCharType="end" w:fldLock="0"/>
      </w:r>
      <w:r>
        <w:rPr>
          <w:sz w:val="22"/>
          <w:szCs w:val="22"/>
          <w:u w:color="000000"/>
          <w:rtl w:val="0"/>
          <w:lang w:val="en-US"/>
          <w14:textOutline w14:w="12700" w14:cap="flat">
            <w14:noFill/>
            <w14:miter w14:lim="400000"/>
          </w14:textOutline>
        </w:rPr>
        <w:t xml:space="preserve">. A significant increase in </w:t>
      </w:r>
      <w:r>
        <w:rPr>
          <w:sz w:val="22"/>
          <w:szCs w:val="22"/>
          <w:u w:color="000000"/>
          <w:rtl w:val="0"/>
          <w:lang w:val="pt-PT"/>
          <w14:textOutline w14:w="12700" w14:cap="flat">
            <w14:noFill/>
            <w14:miter w14:lim="400000"/>
          </w14:textOutline>
        </w:rPr>
        <w:t>s</w:t>
      </w:r>
      <w:r>
        <w:rPr>
          <w:sz w:val="22"/>
          <w:szCs w:val="22"/>
          <w:u w:color="000000"/>
          <w:rtl w:val="0"/>
          <w:lang w:val="en-US"/>
          <w14:textOutline w14:w="12700" w14:cap="flat">
            <w14:noFill/>
            <w14:miter w14:lim="400000"/>
          </w14:textOutline>
        </w:rPr>
        <w:t xml:space="preserve">TT (3.85 </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 xml:space="preserve">0.36 vs 5.02 </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0.83) was recorded with no adverse effects.</w:t>
        <w:tab/>
      </w:r>
    </w:p>
    <w:p>
      <w:pPr>
        <w:pStyle w:val="Predefinição"/>
        <w:bidi w:val="0"/>
        <w:spacing w:before="200" w:line="480" w:lineRule="auto"/>
        <w:ind w:left="0" w:right="0" w:firstLine="0"/>
        <w:jc w:val="both"/>
        <w:rPr>
          <w:sz w:val="22"/>
          <w:szCs w:val="22"/>
          <w:u w:color="000000"/>
          <w:rtl w:val="0"/>
          <w:lang w:val="en-US"/>
          <w14:textOutline w14:w="12700" w14:cap="flat">
            <w14:noFill/>
            <w14:miter w14:lim="400000"/>
          </w14:textOutline>
        </w:rPr>
      </w:pPr>
    </w:p>
    <w:p>
      <w:pPr>
        <w:pStyle w:val="Predefinição"/>
        <w:bidi w:val="0"/>
        <w:spacing w:before="200" w:line="480" w:lineRule="auto"/>
        <w:ind w:left="0" w:right="0" w:firstLine="0"/>
        <w:jc w:val="both"/>
        <w:rPr>
          <w:sz w:val="22"/>
          <w:szCs w:val="22"/>
          <w:u w:color="000000"/>
          <w:rtl w:val="0"/>
          <w:lang w:val="en-US"/>
          <w14:textOutline w14:w="12700" w14:cap="flat">
            <w14:noFill/>
            <w14:miter w14:lim="400000"/>
          </w14:textOutline>
        </w:rPr>
      </w:pPr>
      <w:r>
        <w:rPr>
          <w:i w:val="1"/>
          <w:iCs w:val="1"/>
          <w:sz w:val="22"/>
          <w:szCs w:val="22"/>
          <w:u w:color="000000"/>
          <w:rtl w:val="0"/>
          <w:lang w:val="en-US"/>
          <w14:textOutline w14:w="12700" w14:cap="flat">
            <w14:noFill/>
            <w14:miter w14:lim="400000"/>
          </w14:textOutline>
        </w:rPr>
        <w:t>No effect</w:t>
      </w:r>
    </w:p>
    <w:p>
      <w:pPr>
        <w:pStyle w:val="Predefinição"/>
        <w:bidi w:val="0"/>
        <w:spacing w:before="200" w:line="480" w:lineRule="auto"/>
        <w:ind w:left="0" w:right="0" w:firstLine="0"/>
        <w:jc w:val="both"/>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b/>
        <w:t>Vardenafil, a phosphodiesterase-5 inhibitor used to treat erectile dysfunction, was used for 24 weeks in a RCT (10 mg twice per day) in men with type 2 diabetes mellitus</w:t>
      </w:r>
      <w:r>
        <w:rPr>
          <w:sz w:val="22"/>
          <w:szCs w:val="22"/>
          <w:u w:color="000000"/>
          <w:rtl w:val="0"/>
          <w:lang w:val="en-US"/>
          <w14:textOutline w14:w="12700" w14:cap="flat">
            <w14:noFill/>
            <w14:miter w14:lim="400000"/>
          </w14:textOutline>
        </w:rPr>
        <w:fldChar w:fldCharType="begin" w:fldLock="0"/>
      </w:r>
      <w:r>
        <w:rPr>
          <w:sz w:val="22"/>
          <w:szCs w:val="22"/>
          <w:u w:color="000000"/>
          <w:rtl w:val="0"/>
          <w:lang w:val="en-US"/>
          <w14:textOutline w14:w="12700" w14:cap="flat">
            <w14:noFill/>
            <w14:miter w14:lim="400000"/>
          </w14:textOutline>
        </w:rPr>
        <w:instrText xml:space="preserve"> ADDIN EN.CITE &lt;EndNote&gt;&lt;Cite  &gt;&lt;Author&gt;Santi, D.; Granata, A. R.; Pignatti, E.; Trenti, T.; Roli, L.; Bozic, R.; Zaza, S.; Pacchioni, C.; Rochira, V.; Carani, C.; Simoni, M.&lt;/Author&gt;&lt;Year&gt;2017&lt;/Year&gt;&lt;RecNum&gt;52&lt;/RecNum&gt;&lt;Prefix&gt;&lt;/Prefix&gt;&lt;Suffix&gt;&lt;/Suffix&gt;&lt;Pages&gt;&lt;/Pages&gt;&lt;DisplayText&gt;[6]&lt;/DisplayText&gt;&lt;record&gt;&lt;database name="en04f73eea" path="/private/var/folders/y0/mp5jl9fd5jg1mz9clfkt2gr40000gn/T/TemporaryItems/en04f73eea"&gt;en04f73eea&lt;/database&gt;&lt;source-app name="EndNote" version="19.3"&gt;EndNote&lt;/source-app&gt;&lt;rec-number&gt;52&lt;/rec-number&gt;&lt;foreign-keys&gt;&lt;key app="EN" db-id="s2fpaw0fbevep9efawuxwxvz2zz00wpf5ffe"&gt;52&lt;/key&gt;&lt;/foreign-keys&gt;&lt;ref-type name="Journal Article"&gt;17&lt;/ref-type&gt;&lt;contributors&gt;&lt;authors&gt;&lt;author&gt;&lt;style face="normal" font="default" size="100%"&gt;Santi, D.&lt;/style&gt;&lt;/author&gt;&lt;author&gt;&lt;style face="normal" font="default" size="100%"&gt;Granata, A. R.&lt;/style&gt;&lt;/author&gt;&lt;author&gt;&lt;style face="normal" font="default" size="100%"&gt;Pignatti, E.&lt;/style&gt;&lt;/author&gt;&lt;author&gt;&lt;style face="normal" font="default" size="100%"&gt;Trenti, T.&lt;/style&gt;&lt;/author&gt;&lt;author&gt;&lt;style face="normal" font="default" size="100%"&gt;Roli, L.&lt;/style&gt;&lt;/author&gt;&lt;author&gt;&lt;style face="normal" font="default" size="100%"&gt;Bozic, R.&lt;/style&gt;&lt;/author&gt;&lt;author&gt;&lt;style face="normal" font="default" size="100%"&gt;Zaza, S.&lt;/style&gt;&lt;/author&gt;&lt;author&gt;&lt;style face="normal" font="default" size="100%"&gt;Pacchioni, C.&lt;/style&gt;&lt;/author&gt;&lt;author&gt;&lt;style face="normal" font="default" size="100%"&gt;Rochira, V.&lt;/style&gt;&lt;/author&gt;&lt;author&gt;&lt;style face="normal" font="default" size="100%"&gt;Carani, C.&lt;/style&gt;&lt;/author&gt;&lt;author&gt;&lt;style face="normal" font="default" size="100%"&gt;Simoni, M.&lt;/style&gt;&lt;/author&gt;&lt;/authors&gt;&lt;/contributors&gt;&lt;auth-address&gt;&lt;style face="normal" font="default" size="100%"&gt;Unit of Endocrinology, Department of Biomedical, Metabolic and Neural Sciences, University of Modena and Reggio Emilia, Modena, Italy. santi.daniele@gmail.com.Department of Medicine, Endocrinology, Metabolism and Geriatrics, Azienda USL of Modena, Modena, Italy. santi.daniele@gmail.com.Department of Medicine, Endocrinology, Metabolism and Geriatrics, Azienda USL of Modena, Modena, Italy.Unit of Endocrinology, Department of Biomedical, Metabolic and Neural Sciences, University of Modena and Reggio Emilia, Modena, Italy.Center for Genomic Research, University of Modena and Reggio Emilia, Modena, Italy.Department of Laboratory Medicine and Pathological Anatomy, Azienda USL of Modena, Modena, Italy.PerkinElmer, 20126, Milan, Italy.SHIMADZU Italia, Milan, Italy.Diabetic Service, Azienda USL of Modena, Modena, Italy.&lt;/style&gt;&lt;/auth-address&gt;&lt;titles&gt;&lt;title&gt;&lt;style face="normal" font="default" size="100%"&gt;Effects of chronic administration of the phosphodiesterase inhibitor vardenafil on serum levels of adrenal and testicular steroids in men with type 2 diabetes mellitus&lt;/style&gt;&lt;/title&gt;&lt;secondary-title&gt;&lt;style face="normal" font="default" size="100%"&gt;Endocrine&lt;/style&gt;&lt;/secondary-title&gt;&lt;/titles&gt;&lt;periodical&gt;&lt;full-title&gt;&lt;style face="normal" font="default" size="100%"&gt;Endocrine&lt;/style&gt;&lt;/full-title&gt;&lt;/periodical&gt;&lt;pages&gt;&lt;style face="normal" font="default" size="100%"&gt;426-437&lt;/style&gt;&lt;/pages&gt;&lt;volume&gt;&lt;style face="normal" font="default" size="100%"&gt;56&lt;/style&gt;&lt;/volume&gt;&lt;number&gt;&lt;style face="normal" font="default" size="100%"&gt;2&lt;/style&gt;&lt;/number&gt;&lt;edition&gt;&lt;style face="normal" font="default" size="100%"&gt;2016/08/16&lt;/style&gt;&lt;/edition&gt;&lt;keywords&gt;&lt;keyword&gt;&lt;style face="normal" font="default" size="100%"&gt;17-alpha-Hydroxyprogesterone/blood&lt;/style&gt;&lt;/keyword&gt;&lt;keyword&gt;&lt;style face="normal" font="default" size="100%"&gt;Androgens/*blood&lt;/style&gt;&lt;/keyword&gt;&lt;keyword&gt;&lt;style face="normal" font="default" size="100%"&gt;Androstenedione/blood&lt;/style&gt;&lt;/keyword&gt;&lt;keyword&gt;&lt;style face="normal" font="default" size="100%"&gt;Chromatography, Liquid&lt;/style&gt;&lt;/keyword&gt;&lt;keyword&gt;&lt;style face="normal" font="default" size="100%"&gt;Corticosterone/*blood&lt;/style&gt;&lt;/keyword&gt;&lt;keyword&gt;&lt;style face="normal" font="default" size="100%"&gt;Diabetes Mellitus, Type 2/*blood&lt;/style&gt;&lt;/keyword&gt;&lt;keyword&gt;&lt;style face="normal" font="default" size="100%"&gt;Double-Blind Method&lt;/style&gt;&lt;/keyword&gt;&lt;keyword&gt;&lt;style face="normal" font="default" size="100%"&gt;Humans&lt;/style&gt;&lt;/keyword&gt;&lt;keyword&gt;&lt;style face="normal" font="default" size="100%"&gt;Hydrocortisone/*blood&lt;/style&gt;&lt;/keyword&gt;&lt;keyword&gt;&lt;style face="normal" font="default" size="100%"&gt;Longitudinal Studies&lt;/style&gt;&lt;/keyword&gt;&lt;keyword&gt;&lt;style face="normal" font="default" size="100%"&gt;Male&lt;/style&gt;&lt;/keyword&gt;&lt;keyword&gt;&lt;style face="normal" font="default" size="100%"&gt;Middle Aged&lt;/style&gt;&lt;/keyword&gt;&lt;keyword&gt;&lt;style face="normal" font="default" size="100%"&gt;Progesterone/*blood&lt;/style&gt;&lt;/keyword&gt;&lt;keyword&gt;&lt;style face="normal" font="default" size="100%"&gt;Prospective Studies&lt;/style&gt;&lt;/keyword&gt;&lt;keyword&gt;&lt;style face="normal" font="default" size="100%"&gt;Tandem Mass Spectrometry&lt;/style&gt;&lt;/keyword&gt;&lt;keyword&gt;&lt;style face="normal" font="default" size="100%"&gt;Testosterone/blood&lt;/style&gt;&lt;/keyword&gt;&lt;keyword&gt;&lt;style face="normal" font="default" size="100%"&gt;Vardenafil Dihydrochloride/*administration &amp;amp; dosage&lt;/style&gt;&lt;/keyword&gt;&lt;keyword&gt;&lt;style face="normal" font="default" size="100%"&gt;Adrenal steroid&lt;/style&gt;&lt;/keyword&gt;&lt;keyword&gt;&lt;style face="normal" font="default" size="100%"&gt;Mass-spectrometry&lt;/style&gt;&lt;/keyword&gt;&lt;keyword&gt;&lt;style face="normal" font="default" size="100%"&gt;Type 2 diabetes mellitus&lt;/style&gt;&lt;/keyword&gt;&lt;keyword&gt;&lt;style face="normal" font="default" size="100%"&gt;Vardenafil&lt;/style&gt;&lt;/keyword&gt;&lt;/keywords&gt;&lt;dates&gt;&lt;year&gt;&lt;style face="normal" font="default" size="100%"&gt;2017&lt;/style&gt;&lt;/year&gt;&lt;pub-dates&gt;&lt;date&gt;&lt;style face="normal" font="default" size="100%"&gt;May&lt;/style&gt;&lt;/date&gt;&lt;/pub-dates&gt;&lt;/dates&gt;&lt;isbn&gt;&lt;style face="normal" font="default" size="100%"&gt;1559-0100 (Electronic)1355-008X (Linking)&lt;/style&gt;&lt;/isbn&gt;&lt;accession-num&gt;&lt;style face="normal" font="default" size="100%"&gt;27515804&lt;/style&gt;&lt;/accession-num&gt;&lt;abstract&gt;&lt;style face="normal" font="default" size="100%"&gt;To investigate whether long-term, chronic treatment with the phosphodiesterase-5 inhibitor vardenafil affects adrenal and testicular steroidogenesis in diabetic men, using liquid chromatography-tandem mass spectrometry. A longitudinal, prospective, investigator-started, randomized, placebo-controlled, double-blind, clinical-trial was carried out, enrolling 54 male patients affected by type 2 diabetes mellitus diagnosed within the last 5 years. In total, 26 and 28 patients were followed for 1 year and assigned to the study and placebo group, respectively. Progesterone, 17-hydroxyprogesterone, androstenedione, testosterone, dehydroepiandrosterone, dehydroepiandrosterone sulfate, corticosterone, 11-deoxycortisol and cortisol, were evaluated using liquid chromatography-tandem mass spectrometry. No differences were seen in sex testicular steroids between study and control group. As for the adrenal gland, steroids were considered according to the zona in which they are produced. No significant differences were seen in steroid produced in zona fasciculata. For the zona reticularis, dehydroepiandrosterone significantly decreased during treatment only in the study group (p = 0.007), with higher levels at visit 2 and 8 than other visits. The dehydroepiandrosterone sulfate/dehydroepiandrosterone ratio significantly increased during treatment only in the verum group. Considering the adrenal zona glomerulosa, corticosterone significantly changed among visits both in both groups (p &amp;lt; 0.001), with higher levels at visit 2 (p = 0.028), 8 (p = 0.003), and 10 (p = 0.044), i.e., in coincidence with the complete clinical and instrumental examination performed only at these visits according to the study protocol. Chronically administered vardenafil reduces dehydroepiandrosterone levels and increases dehydroepiandrosterone sulfate/dehydroepiandrosterone ratio as possible consequences of modulation of steroidogenic enzymes by tissue changes in cyclic adenosine monophosphate and cyclic guanosine monophosphate availability. A possibly stress-related increase in corticosterone is suggested for the first time.&lt;/style&gt;&lt;/abstract&gt;&lt;notes&gt;&lt;style face="normal" font="default" size="100%"&gt;Santi, DanieleGranata, Antonio RmPignatti, ElisaTrenti, TommasoRoli, LauraBozic, RobertoZaza, StefanoPacchioni, ChiaraRochira, VincenzoCarani, CesareSimoni, ManuelaengRandomized Controlled TrialEndocrine. 2017 May;56(2):426-437. doi: 10.1007/s12020-016-1055-x. Epub 2016 Aug 11.&lt;/style&gt;&lt;/notes&gt;&lt;urls&gt;&lt;related-urls&gt;&lt;url&gt;&lt;style face="normal" font="default" size="100%"&gt;https://www.ncbi.nlm.nih.gov/pubmed/27515804&lt;/style&gt;&lt;/url&gt;&lt;/related-urls&gt;&lt;/urls&gt;&lt;electronic-resource-num&gt;&lt;style face="normal" font="default" size="100%"&gt;10.1007/s12020-016-1055-x&lt;/style&gt;&lt;/electronic-resource-num&gt;&lt;/record&gt;&lt;/Cite&gt;&lt;/EndNote&gt;</w:instrText>
      </w:r>
      <w:r>
        <w:rPr>
          <w:sz w:val="22"/>
          <w:szCs w:val="22"/>
          <w:u w:color="000000"/>
          <w:rtl w:val="0"/>
          <w:lang w:val="en-US"/>
          <w14:textOutline w14:w="12700" w14:cap="flat">
            <w14:noFill/>
            <w14:miter w14:lim="400000"/>
          </w14:textOutline>
        </w:rPr>
        <w:fldChar w:fldCharType="separate" w:fldLock="0"/>
      </w:r>
      <w:r>
        <w:rPr>
          <w:sz w:val="22"/>
          <w:szCs w:val="22"/>
          <w:u w:color="000000"/>
          <w:rtl w:val="0"/>
          <w:lang w:val="en-US"/>
          <w14:textOutline w14:w="12700" w14:cap="flat">
            <w14:noFill/>
            <w14:miter w14:lim="400000"/>
          </w14:textOutline>
        </w:rPr>
        <w:t>[6]</w:t>
      </w:r>
      <w:r>
        <w:rPr>
          <w:sz w:val="22"/>
          <w:szCs w:val="22"/>
          <w:u w:color="000000"/>
          <w:rtl w:val="0"/>
          <w:lang w:val="en-US"/>
          <w14:textOutline w14:w="12700" w14:cap="flat">
            <w14:noFill/>
            <w14:miter w14:lim="400000"/>
          </w14:textOutline>
        </w:rPr>
        <w:fldChar w:fldCharType="end" w:fldLock="0"/>
      </w:r>
      <w:r>
        <w:rPr>
          <w:sz w:val="22"/>
          <w:szCs w:val="22"/>
          <w:u w:color="000000"/>
          <w:rtl w:val="0"/>
          <w:lang w:val="en-US"/>
          <w14:textOutline w14:w="12700" w14:cap="flat">
            <w14:noFill/>
            <w14:miter w14:lim="400000"/>
          </w14:textOutline>
        </w:rPr>
        <w:t xml:space="preserve">. No difference in </w:t>
      </w:r>
      <w:r>
        <w:rPr>
          <w:sz w:val="22"/>
          <w:szCs w:val="22"/>
          <w:u w:color="000000"/>
          <w:rtl w:val="0"/>
          <w:lang w:val="pt-PT"/>
          <w14:textOutline w14:w="12700" w14:cap="flat">
            <w14:noFill/>
            <w14:miter w14:lim="400000"/>
          </w14:textOutline>
        </w:rPr>
        <w:t>s</w:t>
      </w:r>
      <w:r>
        <w:rPr>
          <w:sz w:val="22"/>
          <w:szCs w:val="22"/>
          <w:u w:color="000000"/>
          <w:rtl w:val="0"/>
          <w:lang w:val="en-US"/>
          <w14:textOutline w14:w="12700" w14:cap="flat">
            <w14:noFill/>
            <w14:miter w14:lim="400000"/>
          </w14:textOutline>
        </w:rPr>
        <w:t xml:space="preserve">TT after treatment was noted versus either baseline (13.7 </w:t>
      </w:r>
      <w:r>
        <w:rPr>
          <w:rFonts w:ascii="Arial Unicode MS" w:hAnsi="Arial Unicode MS" w:hint="default"/>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 xml:space="preserve">6.7 vs 12.5 </w:t>
      </w:r>
      <w:r>
        <w:rPr>
          <w:rFonts w:ascii="Arial Unicode MS" w:hAnsi="Arial Unicode MS" w:hint="default"/>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 xml:space="preserve">4.5 nmol/L) or placebo. </w:t>
      </w:r>
    </w:p>
    <w:p>
      <w:pPr>
        <w:pStyle w:val="Predefinição"/>
        <w:bidi w:val="0"/>
        <w:spacing w:before="200" w:line="480" w:lineRule="auto"/>
        <w:ind w:left="0" w:right="0" w:firstLine="0"/>
        <w:jc w:val="both"/>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b/>
        <w:t>400 mg/day intakes of the n</w:t>
      </w:r>
      <w:r>
        <w:rPr>
          <w:sz w:val="22"/>
          <w:szCs w:val="22"/>
          <w:u w:color="000000"/>
          <w:rtl w:val="0"/>
          <w:lang w:val="en-US"/>
          <w14:textOutline w14:w="12700" w14:cap="flat">
            <w14:noFill/>
            <w14:miter w14:lim="400000"/>
          </w14:textOutline>
        </w:rPr>
        <w:t>−</w:t>
      </w:r>
      <w:r>
        <w:rPr>
          <w:sz w:val="22"/>
          <w:szCs w:val="22"/>
          <w:u w:color="000000"/>
          <w:rtl w:val="0"/>
          <w:lang w:val="en-US"/>
          <w14:textOutline w14:w="12700" w14:cap="flat">
            <w14:noFill/>
            <w14:miter w14:lim="400000"/>
          </w14:textOutline>
        </w:rPr>
        <w:t>3 fatty acids alpha-linolenic acid (ALA), acid (EPA) and docosahexaenoic acid (DHA) was tested in a large 4-arm RCT for 41 months in older men post-myocardial infarction</w:t>
      </w:r>
      <w:r>
        <w:rPr>
          <w:sz w:val="22"/>
          <w:szCs w:val="22"/>
          <w:u w:color="000000"/>
          <w:rtl w:val="0"/>
          <w:lang w:val="en-US"/>
          <w14:textOutline w14:w="12700" w14:cap="flat">
            <w14:noFill/>
            <w14:miter w14:lim="400000"/>
          </w14:textOutline>
        </w:rPr>
        <w:fldChar w:fldCharType="begin" w:fldLock="0"/>
      </w:r>
      <w:r>
        <w:rPr>
          <w:sz w:val="22"/>
          <w:szCs w:val="22"/>
          <w:u w:color="000000"/>
          <w:rtl w:val="0"/>
          <w:lang w:val="en-US"/>
          <w14:textOutline w14:w="12700" w14:cap="flat">
            <w14:noFill/>
            <w14:miter w14:lim="400000"/>
          </w14:textOutline>
        </w:rPr>
        <w:instrText xml:space="preserve"> ADDIN EN.CITE &lt;EndNote&gt;&lt;Cite  &gt;&lt;Author&gt;Giltay, E. J.; Geleijnse, J. M.; Heijboer, A. C.; de Goede, J.; Oude Griep, L. M.; Blankenstein, M. A.; Kromhout, D.&lt;/Author&gt;&lt;Year&gt;2012&lt;/Year&gt;&lt;RecNum&gt;53&lt;/RecNum&gt;&lt;Prefix&gt;&lt;/Prefix&gt;&lt;Suffix&gt;&lt;/Suffix&gt;&lt;Pages&gt;&lt;/Pages&gt;&lt;DisplayText&gt;[7]&lt;/DisplayText&gt;&lt;record&gt;&lt;database name="en04f73eea" path="/private/var/folders/y0/mp5jl9fd5jg1mz9clfkt2gr40000gn/T/TemporaryItems/en04f73eea"&gt;en04f73eea&lt;/database&gt;&lt;source-app name="EndNote" version="19.3"&gt;EndNote&lt;/source-app&gt;&lt;rec-number&gt;53&lt;/rec-number&gt;&lt;foreign-keys&gt;&lt;key app="EN" db-id="s2fpaw0fbevep9efawuxwxvz2zz00wpf5ffe"&gt;53&lt;/key&gt;&lt;/foreign-keys&gt;&lt;ref-type name="Journal Article"&gt;17&lt;/ref-type&gt;&lt;contributors&gt;&lt;authors&gt;&lt;author&gt;&lt;style face="normal" font="default" size="100%"&gt;Giltay, E. J.&lt;/style&gt;&lt;/author&gt;&lt;author&gt;&lt;style face="normal" font="default" size="100%"&gt;Geleijnse, J. M.&lt;/style&gt;&lt;/author&gt;&lt;author&gt;&lt;style face="normal" font="default" size="100%"&gt;Heijboer, A. C.&lt;/style&gt;&lt;/author&gt;&lt;author&gt;&lt;style face="normal" font="default" size="100%"&gt;de Goede, J.&lt;/style&gt;&lt;/author&gt;&lt;author&gt;&lt;style face="normal" font="default" size="100%"&gt;Oude Griep, L. M.&lt;/style&gt;&lt;/author&gt;&lt;author&gt;&lt;style face="normal" font="default" size="100%"&gt;Blankenstein, M. A.&lt;/style&gt;&lt;/author&gt;&lt;author&gt;&lt;style face="normal" font="default" size="100%"&gt;Kromhout, D.&lt;/style&gt;&lt;/author&gt;&lt;/authors&gt;&lt;/contributors&gt;&lt;auth-address&gt;&lt;style face="normal" font="default" size="100%"&gt;Department of Psychiatry, Leiden University Medical Center, Leiden, The Netherlands. e.j.giltay@lumc.nl&lt;/style&gt;&lt;/auth-address&gt;&lt;titles&gt;&lt;title&gt;&lt;style face="normal" font="default" size="100%"&gt;No effects of n-3 fatty acid supplementation on serum total testosterone levels in older men: the Alpha Omega Trial&lt;/style&gt;&lt;/title&gt;&lt;secondary-title&gt;&lt;style face="normal" font="default" size="100%"&gt;Int J Androl&lt;/style&gt;&lt;/secondary-title&gt;&lt;/titles&gt;&lt;periodical&gt;&lt;full-title&gt;&lt;style face="normal" font="default" size="100%"&gt;Int J Androl&lt;/style&gt;&lt;/full-title&gt;&lt;/periodical&gt;&lt;pages&gt;&lt;style face="normal" font="default" size="100%"&gt;680-7&lt;/style&gt;&lt;/pages&gt;&lt;volume&gt;&lt;style face="normal" font="default" size="100%"&gt;35&lt;/style&gt;&lt;/volume&gt;&lt;number&gt;&lt;style face="normal" font="default" size="100%"&gt;5&lt;/style&gt;&lt;/number&gt;&lt;edition&gt;&lt;style face="normal" font="default" size="100%"&gt;2012/03/08&lt;/style&gt;&lt;/edition&gt;&lt;keywords&gt;&lt;keyword&gt;&lt;style face="normal" font="default" size="100%"&gt;Aged&lt;/style&gt;&lt;/keyword&gt;&lt;keyword&gt;&lt;style face="normal" font="default" size="100%"&gt;Aged, 80 and over&lt;/style&gt;&lt;/keyword&gt;&lt;keyword&gt;&lt;style face="normal" font="default" size="100%"&gt;Dietary Supplements&lt;/style&gt;&lt;/keyword&gt;&lt;keyword&gt;&lt;style face="normal" font="default" size="100%"&gt;Double-Blind Method&lt;/style&gt;&lt;/keyword&gt;&lt;keyword&gt;&lt;style face="normal" font="default" size="100%"&gt;Fatty Acids, Omega-3/*administration &amp;amp; dosage&lt;/style&gt;&lt;/keyword&gt;&lt;keyword&gt;&lt;style face="normal" font="default" size="100%"&gt;Humans&lt;/style&gt;&lt;/keyword&gt;&lt;keyword&gt;&lt;style face="normal" font="default" size="100%"&gt;Male&lt;/style&gt;&lt;/keyword&gt;&lt;keyword&gt;&lt;style face="normal" font="default" size="100%"&gt;Margarine&lt;/style&gt;&lt;/keyword&gt;&lt;keyword&gt;&lt;style face="normal" font="default" size="100%"&gt;Middle Aged&lt;/style&gt;&lt;/keyword&gt;&lt;keyword&gt;&lt;style face="normal" font="default" size="100%"&gt;Myocardial Infarction/drug therapy&lt;/style&gt;&lt;/keyword&gt;&lt;keyword&gt;&lt;style face="normal" font="default" size="100%"&gt;Testosterone/*blood/deficiency&lt;/style&gt;&lt;/keyword&gt;&lt;/keywords&gt;&lt;dates&gt;&lt;year&gt;&lt;style face="normal" font="default" size="100%"&gt;2012&lt;/style&gt;&lt;/year&gt;&lt;pub-dates&gt;&lt;date&gt;&lt;style face="normal" font="default" size="100%"&gt;Oct&lt;/style&gt;&lt;/date&gt;&lt;/pub-dates&gt;&lt;/dates&gt;&lt;isbn&gt;&lt;style face="normal" font="default" size="100%"&gt;1365-2605 (Electronic)0105-6263 (Print)0105-6263 (Linking)&lt;/style&gt;&lt;/isbn&gt;&lt;accession-num&gt;&lt;style face="normal" font="default" size="100%"&gt;22394170&lt;/style&gt;&lt;/accession-num&gt;&lt;abstract&gt;&lt;style face="normal" font="default" size="100%"&gt;The intake of the n-3 fatty acids alpha-linolenic acid (ALA), acid (EPA) and docosahexaenoic acid (DHA) has been related to testosterone levels in epidemiological analyses. The aim of this study was to assess whether the n-3 fatty acids affects testosterone levels in post-myocardial infarction (MI) patients, who are at risk of testosterone deficiency. In a double-blind, placebo-controlled trial of low-dose supplementation of n-3 fatty acids, we included 1850 male post-MI patients aged 60-80 years who participated in the Alpha Omega Trial. Patients were randomly allocated to margarines that provided 400 mg/day of EPA-DHA (n = 453), 2 mg/day of ALA (n = 467), EPA-DHA plus ALA (n = 458), or placebo (n = 472). Serum testosterone levels were assessed at baseline and after 41 months using whole day blood samples obtained at the subjects' home or at the hospital. Subjects were on average age of 68.4 (SD 5.3) years old and had baseline mean serum total testosterone of 14.8 (SD 5.6) nmol/L. The four randomized groups did not differ for baseline characteristics. ALA, EPA-DHA, and EPA-DHA plus ALA supplementation did not affect serum total testosterone compared to placebo. Moreover, n-3 fatty acid supplementation did not affect the risk of incident testosterone deficiency (n = 76 with total testosterone &amp;lt;8.0 nmol/L). We conclude that n-3 fatty acids supplementation did not affect serum total testosterone in men who had had a MI.&lt;/style&gt;&lt;/abstract&gt;&lt;notes&gt;&lt;style face="normal" font="default" size="100%"&gt;Giltay, E JGeleijnse, J MHeijboer, A Cde Goede, JOude Griep, L MBlankenstein, M AKromhout, DengR01 HL076200/HL/NHLBI NIH HHS/R01 HL076200-03S1/HL/NHLBI NIH HHS/R01-HL076200/HL/NHLBI NIH HHS/Randomized Controlled TrialResearch Support, N.I.H., ExtramuralResearch Support, Non-U.S. Gov'tEnglandInt J Androl. 2012 Oct;35(5):680-7. doi: 10.1111/j.1365-2605.2012.01255.x. Epub 2012 Mar 6.&lt;/style&gt;&lt;/notes&gt;&lt;urls&gt;&lt;related-urls&gt;&lt;url&gt;&lt;style face="normal" font="default" size="100%"&gt;https://www.ncbi.nlm.nih.gov/pubmed/22394170&lt;/style&gt;&lt;/url&gt;&lt;/related-urls&gt;&lt;/urls&gt;&lt;custom2&gt;&lt;style face="normal" font="default" size="100%"&gt;PMC3387289&lt;/style&gt;&lt;/custom2&gt;&lt;electronic-resource-num&gt;&lt;style face="normal" font="default" size="100%"&gt;10.1111/j.1365-2605.2012.01255.x&lt;/style&gt;&lt;/electronic-resource-num&gt;&lt;/record&gt;&lt;/Cite&gt;&lt;/EndNote&gt;</w:instrText>
      </w:r>
      <w:r>
        <w:rPr>
          <w:sz w:val="22"/>
          <w:szCs w:val="22"/>
          <w:u w:color="000000"/>
          <w:rtl w:val="0"/>
          <w:lang w:val="en-US"/>
          <w14:textOutline w14:w="12700" w14:cap="flat">
            <w14:noFill/>
            <w14:miter w14:lim="400000"/>
          </w14:textOutline>
        </w:rPr>
        <w:fldChar w:fldCharType="separate" w:fldLock="0"/>
      </w:r>
      <w:r>
        <w:rPr>
          <w:sz w:val="22"/>
          <w:szCs w:val="22"/>
          <w:u w:color="000000"/>
          <w:rtl w:val="0"/>
          <w:lang w:val="en-US"/>
          <w14:textOutline w14:w="12700" w14:cap="flat">
            <w14:noFill/>
            <w14:miter w14:lim="400000"/>
          </w14:textOutline>
        </w:rPr>
        <w:t>[7]</w:t>
      </w:r>
      <w:r>
        <w:rPr>
          <w:sz w:val="22"/>
          <w:szCs w:val="22"/>
          <w:u w:color="000000"/>
          <w:rtl w:val="0"/>
          <w:lang w:val="en-US"/>
          <w14:textOutline w14:w="12700" w14:cap="flat">
            <w14:noFill/>
            <w14:miter w14:lim="400000"/>
          </w14:textOutline>
        </w:rPr>
        <w:fldChar w:fldCharType="end" w:fldLock="0"/>
      </w:r>
      <w:r>
        <w:rPr>
          <w:sz w:val="22"/>
          <w:szCs w:val="22"/>
          <w:u w:color="000000"/>
          <w:rtl w:val="0"/>
          <w:lang w:val="en-US"/>
          <w14:textOutline w14:w="12700" w14:cap="flat">
            <w14:noFill/>
            <w14:miter w14:lim="400000"/>
          </w14:textOutline>
        </w:rPr>
        <w:t>. No statistically significant difference was found when compared to baseline or placebo after treatment.</w:t>
      </w:r>
    </w:p>
    <w:p>
      <w:pPr>
        <w:pStyle w:val="Predefinição"/>
        <w:bidi w:val="0"/>
        <w:spacing w:before="200" w:line="480" w:lineRule="auto"/>
        <w:ind w:left="0" w:right="0" w:firstLine="0"/>
        <w:jc w:val="both"/>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b/>
        <w:t>A dietary chicken breast extract containing Carnosine (b-alanyl-L-histidine) and anserine (b-alanyl-l-methyl-L-histidine) in combination with an exercise program was tested in a small 30-day RCT in young athletes</w:t>
      </w:r>
      <w:r>
        <w:rPr>
          <w:sz w:val="22"/>
          <w:szCs w:val="22"/>
          <w:u w:color="000000"/>
          <w:rtl w:val="0"/>
          <w:lang w:val="en-US"/>
          <w14:textOutline w14:w="12700" w14:cap="flat">
            <w14:noFill/>
            <w14:miter w14:lim="400000"/>
          </w14:textOutline>
        </w:rPr>
        <w:fldChar w:fldCharType="begin" w:fldLock="0"/>
      </w:r>
      <w:r>
        <w:rPr>
          <w:sz w:val="22"/>
          <w:szCs w:val="22"/>
          <w:u w:color="000000"/>
          <w:rtl w:val="0"/>
          <w:lang w:val="en-US"/>
          <w14:textOutline w14:w="12700" w14:cap="flat">
            <w14:noFill/>
            <w14:miter w14:lim="400000"/>
          </w14:textOutline>
        </w:rPr>
        <w:instrText xml:space="preserve"> ADDIN EN.CITE &lt;EndNote&gt;&lt;Cite  &gt;&lt;Author&gt;Goto, K.; Maemura, H.; Takamatsu, K.; Ishii, N.&lt;/Author&gt;&lt;Year&gt;2011&lt;/Year&gt;&lt;RecNum&gt;54&lt;/RecNum&gt;&lt;Prefix&gt;&lt;/Prefix&gt;&lt;Suffix&gt;&lt;/Suffix&gt;&lt;Pages&gt;&lt;/Pages&gt;&lt;DisplayText&gt;[8]&lt;/DisplayText&gt;&lt;record&gt;&lt;database name="en04f73eea" path="/private/var/folders/y0/mp5jl9fd5jg1mz9clfkt2gr40000gn/T/TemporaryItems/en04f73eea"&gt;en04f73eea&lt;/database&gt;&lt;source-app name="EndNote" version="19.3"&gt;EndNote&lt;/source-app&gt;&lt;rec-number&gt;54&lt;/rec-number&gt;&lt;foreign-keys&gt;&lt;key app="EN" db-id="s2fpaw0fbevep9efawuxwxvz2zz00wpf5ffe"&gt;54&lt;/key&gt;&lt;/foreign-keys&gt;&lt;ref-type name="Journal Article"&gt;17&lt;/ref-type&gt;&lt;contributors&gt;&lt;authors&gt;&lt;author&gt;&lt;style face="normal" font="default" size="100%"&gt;Goto, K.&lt;/style&gt;&lt;/author&gt;&lt;author&gt;&lt;style face="normal" font="default" size="100%"&gt;Maemura, H.&lt;/style&gt;&lt;/author&gt;&lt;author&gt;&lt;style face="normal" font="default" size="100%"&gt;Takamatsu, K.&lt;/style&gt;&lt;/author&gt;&lt;author&gt;&lt;style face="normal" font="default" size="100%"&gt;Ishii, N.&lt;/style&gt;&lt;/author&gt;&lt;/authors&gt;&lt;/contributors&gt;&lt;auth-address&gt;&lt;style face="normal" font="default" size="100%"&gt;Faculty of Sport Sciences, Waseda University, Tokorozawa, Saitama, Japan. kgoto@aoni.waseda.jp&lt;/style&gt;&lt;/auth-address&gt;&lt;titles&gt;&lt;title&gt;&lt;style face="normal" font="default" size="100%"&gt;Hormonal responses to resistance exercise after ingestion of carnosine and anserine&lt;/style&gt;&lt;/title&gt;&lt;secondary-title&gt;&lt;style face="normal" font="default" size="100%"&gt;J Strength Cond Res&lt;/style&gt;&lt;/secondary-title&gt;&lt;/titles&gt;&lt;periodical&gt;&lt;full-title&gt;&lt;style face="normal" font="default" size="100%"&gt;J Strength Cond Res&lt;/style&gt;&lt;/full-title&gt;&lt;/periodical&gt;&lt;pages&gt;&lt;style face="normal" font="default" size="100%"&gt;398-405&lt;/style&gt;&lt;/pages&gt;&lt;volume&gt;&lt;style face="normal" font="default" size="100%"&gt;25&lt;/style&gt;&lt;/volume&gt;&lt;number&gt;&lt;style face="normal" font="default" size="100%"&gt;2&lt;/style&gt;&lt;/number&gt;&lt;edition&gt;&lt;style face="normal" font="default" size="100%"&gt;2010/03/13&lt;/style&gt;&lt;/edition&gt;&lt;keywords&gt;&lt;keyword&gt;&lt;style face="normal" font="default" size="100%"&gt;Administration, Oral&lt;/style&gt;&lt;/keyword&gt;&lt;keyword&gt;&lt;style face="normal" font="default" size="100%"&gt;Adult&lt;/style&gt;&lt;/keyword&gt;&lt;keyword&gt;&lt;style face="normal" font="default" size="100%"&gt;Analysis of Variance&lt;/style&gt;&lt;/keyword&gt;&lt;keyword&gt;&lt;style face="normal" font="default" size="100%"&gt;Anserine/*administration &amp;amp; dosage&lt;/style&gt;&lt;/keyword&gt;&lt;keyword&gt;&lt;style face="normal" font="default" size="100%"&gt;Carnosine/*administration &amp;amp; dosage&lt;/style&gt;&lt;/keyword&gt;&lt;keyword&gt;&lt;style face="normal" font="default" size="100%"&gt;Dose-Response Relationship, Drug&lt;/style&gt;&lt;/keyword&gt;&lt;keyword&gt;&lt;style face="normal" font="default" size="100%"&gt;Drug Administration Schedule&lt;/style&gt;&lt;/keyword&gt;&lt;keyword&gt;&lt;style face="normal" font="default" size="100%"&gt;Epinephrine/metabolism&lt;/style&gt;&lt;/keyword&gt;&lt;keyword&gt;&lt;style face="normal" font="default" size="100%"&gt;Human Growth Hormone/drug effects/metabolism&lt;/style&gt;&lt;/keyword&gt;&lt;keyword&gt;&lt;style face="normal" font="default" size="100%"&gt;Humans&lt;/style&gt;&lt;/keyword&gt;&lt;keyword&gt;&lt;style face="normal" font="default" size="100%"&gt;Lactates/blood&lt;/style&gt;&lt;/keyword&gt;&lt;keyword&gt;&lt;style face="normal" font="default" size="100%"&gt;Male&lt;/style&gt;&lt;/keyword&gt;&lt;keyword&gt;&lt;style face="normal" font="default" size="100%"&gt;Muscle Strength/*drug effects&lt;/style&gt;&lt;/keyword&gt;&lt;keyword&gt;&lt;style face="normal" font="default" size="100%"&gt;Muscle, Skeletal/*drug effects&lt;/style&gt;&lt;/keyword&gt;&lt;keyword&gt;&lt;style face="normal" font="default" size="100%"&gt;Norepinephrine/metabolism&lt;/style&gt;&lt;/keyword&gt;&lt;keyword&gt;&lt;style face="normal" font="default" size="100%"&gt;Physical Endurance/drug effects&lt;/style&gt;&lt;/keyword&gt;&lt;keyword&gt;&lt;style face="normal" font="default" size="100%"&gt;Reference Values&lt;/style&gt;&lt;/keyword&gt;&lt;keyword&gt;&lt;style face="normal" font="default" size="100%"&gt;*Resistance Training&lt;/style&gt;&lt;/keyword&gt;&lt;keyword&gt;&lt;style face="normal" font="default" size="100%"&gt;Testosterone/*blood&lt;/style&gt;&lt;/keyword&gt;&lt;/keywords&gt;&lt;dates&gt;&lt;year&gt;&lt;style face="normal" font="default" size="100%"&gt;2011&lt;/style&gt;&lt;/year&gt;&lt;pub-dates&gt;&lt;date&gt;&lt;style face="normal" font="default" size="100%"&gt;Feb&lt;/style&gt;&lt;/date&gt;&lt;/pub-dates&gt;&lt;/dates&gt;&lt;isbn&gt;&lt;style face="normal" font="default" size="100%"&gt;1533-4287 (Electronic)1064-8011 (Linking)&lt;/style&gt;&lt;/isbn&gt;&lt;accession-num&gt;&lt;style face="normal" font="default" size="100%"&gt;20224451&lt;/style&gt;&lt;/accession-num&gt;&lt;abstract&gt;&lt;style face="normal" font="default" size="100%"&gt;Intramuscular carnosine buffers protons (H+) in skeletal muscle. We examined the effects of supplementation with chicken breast meat extract (CBEX) containing carnosine and anserine on hormonal responses to resistance exercise. Twenty-two men were assigned to a CBEX drink group (CBEX containing total 2 g of carnosine and anserine) (n = 14) or a placebo drink group (n = 8). The subjects ingested the prescribed drink (100 mL) twice daily for 30 days without physical training. Before and after the supplementation period, the subjects completed 5 sets of bilateral knee extension exercises (with a 90-s rest between sets). The magnitude of the increase in exercise-induced free testosterone did not change significantly after supplementation in either group. The blood lactate response to exercise was attenuated after supplementation in both groups (p &amp;lt; 0.05). In the CBEX group, the plasma epinephrine and norepinephrine concentrations after exercise were significantly lower after supplementation (p &amp;lt; 0.05). The serum growth hormone response to exercise was also reduced in the CBEX group after supplementation (delta value: 5.4 +/- 1.9 ng/mL [pre] vs. 1.6 +/- 0.5 ng/mL [post], p = 0.05). No significant differences in exercise-induced strength reduction (fatigue index) were observed in the 2 groups after supplementation. These results suggest that short-term supplementation with CBEX attenuates the exercise-induced epinephrine, norepinephrine, and growth hormone responses.&lt;/style&gt;&lt;/abstract&gt;&lt;notes&gt;&lt;style face="normal" font="default" size="100%"&gt;Goto, KazushigeMaemura, HirohikoTakamatsu, KaoruIshii, NaokataengComparative StudyRandomized Controlled TrialResearch Support, Non-U.S. Gov'tJ Strength Cond Res. 2011 Feb;25(2):398-405. doi: 10.1519/JSC.0b013e3181bac43c.&lt;/style&gt;&lt;/notes&gt;&lt;urls&gt;&lt;related-urls&gt;&lt;url&gt;&lt;style face="normal" font="default" size="100%"&gt;https://www.ncbi.nlm.nih.gov/pubmed/20224451&lt;/style&gt;&lt;/url&gt;&lt;/related-urls&gt;&lt;/urls&gt;&lt;electronic-resource-num&gt;&lt;style face="normal" font="default" size="100%"&gt;10.1519/JSC.0b013e3181bac43c&lt;/style&gt;&lt;/electronic-resource-num&gt;&lt;/record&gt;&lt;/Cite&gt;&lt;/EndNote&gt;</w:instrText>
      </w:r>
      <w:r>
        <w:rPr>
          <w:sz w:val="22"/>
          <w:szCs w:val="22"/>
          <w:u w:color="000000"/>
          <w:rtl w:val="0"/>
          <w:lang w:val="en-US"/>
          <w14:textOutline w14:w="12700" w14:cap="flat">
            <w14:noFill/>
            <w14:miter w14:lim="400000"/>
          </w14:textOutline>
        </w:rPr>
        <w:fldChar w:fldCharType="separate" w:fldLock="0"/>
      </w:r>
      <w:r>
        <w:rPr>
          <w:sz w:val="22"/>
          <w:szCs w:val="22"/>
          <w:u w:color="000000"/>
          <w:rtl w:val="0"/>
          <w:lang w:val="en-US"/>
          <w14:textOutline w14:w="12700" w14:cap="flat">
            <w14:noFill/>
            <w14:miter w14:lim="400000"/>
          </w14:textOutline>
        </w:rPr>
        <w:t>[8]</w:t>
      </w:r>
      <w:r>
        <w:rPr>
          <w:sz w:val="22"/>
          <w:szCs w:val="22"/>
          <w:u w:color="000000"/>
          <w:rtl w:val="0"/>
          <w:lang w:val="en-US"/>
          <w14:textOutline w14:w="12700" w14:cap="flat">
            <w14:noFill/>
            <w14:miter w14:lim="400000"/>
          </w14:textOutline>
        </w:rPr>
        <w:fldChar w:fldCharType="end" w:fldLock="0"/>
      </w:r>
      <w:r>
        <w:rPr>
          <w:sz w:val="22"/>
          <w:szCs w:val="22"/>
          <w:u w:color="000000"/>
          <w:rtl w:val="0"/>
          <w:lang w:val="en-US"/>
          <w14:textOutline w14:w="12700" w14:cap="flat">
            <w14:noFill/>
            <w14:miter w14:lim="400000"/>
          </w14:textOutline>
        </w:rPr>
        <w:t>. No difference in serum FT was found when compared to the placebo plus exercise arm after treatment.</w:t>
      </w:r>
    </w:p>
    <w:p>
      <w:pPr>
        <w:pStyle w:val="Predefinição"/>
        <w:bidi w:val="0"/>
        <w:spacing w:before="200" w:line="480" w:lineRule="auto"/>
        <w:ind w:left="0" w:right="0" w:firstLine="0"/>
        <w:jc w:val="both"/>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b/>
        <w:t xml:space="preserve">A combination of </w:t>
      </w:r>
      <w:r>
        <w:rPr>
          <w:i w:val="1"/>
          <w:iCs w:val="1"/>
          <w:sz w:val="22"/>
          <w:szCs w:val="22"/>
          <w:u w:color="000000"/>
          <w:rtl w:val="0"/>
          <w:lang w:val="en-US"/>
          <w14:textOutline w14:w="12700" w14:cap="flat">
            <w14:noFill/>
            <w14:miter w14:lim="400000"/>
          </w14:textOutline>
        </w:rPr>
        <w:t>Rhodiola Crenulata</w:t>
      </w:r>
      <w:r>
        <w:rPr>
          <w:sz w:val="22"/>
          <w:szCs w:val="22"/>
          <w:u w:color="000000"/>
          <w:rtl w:val="0"/>
          <w:lang w:val="en-US"/>
          <w14:textOutline w14:w="12700" w14:cap="flat">
            <w14:noFill/>
            <w14:miter w14:lim="400000"/>
          </w14:textOutline>
        </w:rPr>
        <w:t xml:space="preserve"> and </w:t>
      </w:r>
      <w:r>
        <w:rPr>
          <w:i w:val="1"/>
          <w:iCs w:val="1"/>
          <w:sz w:val="22"/>
          <w:szCs w:val="22"/>
          <w:u w:color="000000"/>
          <w:rtl w:val="0"/>
          <w:lang w:val="en-US"/>
          <w14:textOutline w14:w="12700" w14:cap="flat">
            <w14:noFill/>
            <w14:miter w14:lim="400000"/>
          </w14:textOutline>
        </w:rPr>
        <w:t>Ginkgo Biloba</w:t>
      </w:r>
      <w:r>
        <w:rPr>
          <w:sz w:val="22"/>
          <w:szCs w:val="22"/>
          <w:u w:color="000000"/>
          <w:rtl w:val="0"/>
          <w:lang w:val="en-US"/>
          <w14:textOutline w14:w="12700" w14:cap="flat">
            <w14:noFill/>
            <w14:miter w14:lim="400000"/>
          </w14:textOutline>
        </w:rPr>
        <w:t xml:space="preserve"> was tested in a 7-week RCT in healthy men</w:t>
      </w:r>
      <w:r>
        <w:rPr>
          <w:sz w:val="22"/>
          <w:szCs w:val="22"/>
          <w:u w:color="000000"/>
          <w:rtl w:val="0"/>
          <w:lang w:val="en-US"/>
          <w14:textOutline w14:w="12700" w14:cap="flat">
            <w14:noFill/>
            <w14:miter w14:lim="400000"/>
          </w14:textOutline>
        </w:rPr>
        <w:fldChar w:fldCharType="begin" w:fldLock="0"/>
      </w:r>
      <w:r>
        <w:rPr>
          <w:sz w:val="22"/>
          <w:szCs w:val="22"/>
          <w:u w:color="000000"/>
          <w:rtl w:val="0"/>
          <w:lang w:val="en-US"/>
          <w14:textOutline w14:w="12700" w14:cap="flat">
            <w14:noFill/>
            <w14:miter w14:lim="400000"/>
          </w14:textOutline>
        </w:rPr>
        <w:instrText xml:space="preserve"> ADDIN EN.CITE &lt;EndNote&gt;&lt;Cite  &gt;&lt;Author&gt;Zhang, Z. J.; Tong, Y.; Zou, J.; Chen, P. J.; Yu, D. H.&lt;/Author&gt;&lt;Year&gt;2009&lt;/Year&gt;&lt;RecNum&gt;55&lt;/RecNum&gt;&lt;Prefix&gt;&lt;/Prefix&gt;&lt;Suffix&gt;&lt;/Suffix&gt;&lt;Pages&gt;&lt;/Pages&gt;&lt;DisplayText&gt;[9]&lt;/DisplayText&gt;&lt;record&gt;&lt;database name="en04f73eea" path="/private/var/folders/y0/mp5jl9fd5jg1mz9clfkt2gr40000gn/T/TemporaryItems/en04f73eea"&gt;en04f73eea&lt;/database&gt;&lt;source-app name="EndNote" version="19.3"&gt;EndNote&lt;/source-app&gt;&lt;rec-number&gt;55&lt;/rec-number&gt;&lt;foreign-keys&gt;&lt;key app="EN" db-id="s2fpaw0fbevep9efawuxwxvz2zz00wpf5ffe"&gt;55&lt;/key&gt;&lt;/foreign-keys&gt;&lt;ref-type name="Journal Article"&gt;17&lt;/ref-type&gt;&lt;contributors&gt;&lt;authors&gt;&lt;author&gt;&lt;style face="normal" font="default" size="100%"&gt;Zhang, Z. J.&lt;/style&gt;&lt;/author&gt;&lt;author&gt;&lt;style face="normal" font="default" size="100%"&gt;Tong, Y.&lt;/style&gt;&lt;/author&gt;&lt;author&gt;&lt;style face="normal" font="default" size="100%"&gt;Zou, J.&lt;/style&gt;&lt;/author&gt;&lt;author&gt;&lt;style face="normal" font="default" size="100%"&gt;Chen, P. J.&lt;/style&gt;&lt;/author&gt;&lt;author&gt;&lt;style face="normal" font="default" size="100%"&gt;Yu, D. H.&lt;/style&gt;&lt;/author&gt;&lt;/authors&gt;&lt;/contributors&gt;&lt;auth-address&gt;&lt;style face="normal" font="default" size="100%"&gt;School of Chinese Medicine, the University of Hong Kong, Hong Kong, China.&lt;/style&gt;&lt;/auth-address&gt;&lt;titles&gt;&lt;title&gt;&lt;style face="normal" font="default" size="100%"&gt;Dietary supplement with a combination of Rhodiola crenulata and Ginkgo biloba enhances the endurance performance in healthy volunteers&lt;/style&gt;&lt;/title&gt;&lt;secondary-title&gt;&lt;style face="normal" font="default" size="100%"&gt;Chin J Integr Med&lt;/style&gt;&lt;/secondary-title&gt;&lt;/titles&gt;&lt;periodical&gt;&lt;full-title&gt;&lt;style face="normal" font="default" size="100%"&gt;Chin J Integr Med&lt;/style&gt;&lt;/full-title&gt;&lt;/periodical&gt;&lt;pages&gt;&lt;style face="normal" font="default" size="100%"&gt;177-83&lt;/style&gt;&lt;/pages&gt;&lt;volume&gt;&lt;style face="normal" font="default" size="100%"&gt;15&lt;/style&gt;&lt;/volume&gt;&lt;number&gt;&lt;style face="normal" font="default" size="100%"&gt;3&lt;/style&gt;&lt;/number&gt;&lt;edition&gt;&lt;style face="normal" font="default" size="100%"&gt;2009/07/02&lt;/style&gt;&lt;/edition&gt;&lt;keywords&gt;&lt;keyword&gt;&lt;style face="normal" font="default" size="100%"&gt;Adolescent&lt;/style&gt;&lt;/keyword&gt;&lt;keyword&gt;&lt;style face="normal" font="default" size="100%"&gt;Drug Therapy, Combination&lt;/style&gt;&lt;/keyword&gt;&lt;keyword&gt;&lt;style face="normal" font="default" size="100%"&gt;Drugs, Chinese Herbal/*administration &amp;amp; dosage/adverse effects&lt;/style&gt;&lt;/keyword&gt;&lt;keyword&gt;&lt;style face="normal" font="default" size="100%"&gt;Fatigue/*drug therapy&lt;/style&gt;&lt;/keyword&gt;&lt;keyword&gt;&lt;style face="normal" font="default" size="100%"&gt;*Ginkgo biloba&lt;/style&gt;&lt;/keyword&gt;&lt;keyword&gt;&lt;style face="normal" font="default" size="100%"&gt;Humans&lt;/style&gt;&lt;/keyword&gt;&lt;keyword&gt;&lt;style face="normal" font="default" size="100%"&gt;Hydrocortisone/blood&lt;/style&gt;&lt;/keyword&gt;&lt;keyword&gt;&lt;style face="normal" font="default" size="100%"&gt;Integrative Medicine&lt;/style&gt;&lt;/keyword&gt;&lt;keyword&gt;&lt;style face="normal" font="default" size="100%"&gt;Male&lt;/style&gt;&lt;/keyword&gt;&lt;keyword&gt;&lt;style face="normal" font="default" size="100%"&gt;Oxygen Consumption/*drug effects&lt;/style&gt;&lt;/keyword&gt;&lt;keyword&gt;&lt;style face="normal" font="default" size="100%"&gt;Physical Endurance/*drug effects&lt;/style&gt;&lt;/keyword&gt;&lt;keyword&gt;&lt;style face="normal" font="default" size="100%"&gt;Placebos&lt;/style&gt;&lt;/keyword&gt;&lt;keyword&gt;&lt;style face="normal" font="default" size="100%"&gt;*Rhodiola&lt;/style&gt;&lt;/keyword&gt;&lt;keyword&gt;&lt;style face="normal" font="default" size="100%"&gt;Testosterone/blood&lt;/style&gt;&lt;/keyword&gt;&lt;keyword&gt;&lt;style face="normal" font="default" size="100%"&gt;Young Adult&lt;/style&gt;&lt;/keyword&gt;&lt;/keywords&gt;&lt;dates&gt;&lt;year&gt;&lt;style face="normal" font="default" size="100%"&gt;2009&lt;/style&gt;&lt;/year&gt;&lt;pub-dates&gt;&lt;date&gt;&lt;style face="normal" font="default" size="100%"&gt;Jun&lt;/style&gt;&lt;/date&gt;&lt;/pub-dates&gt;&lt;/dates&gt;&lt;isbn&gt;&lt;style face="normal" font="default" size="100%"&gt;1672-0415 (Print)1672-0415 (Linking)&lt;/style&gt;&lt;/isbn&gt;&lt;accession-num&gt;&lt;style face="normal" font="default" size="100%"&gt;19568709&lt;/style&gt;&lt;/accession-num&gt;&lt;abstract&gt;&lt;style face="normal" font="default" size="100%"&gt;OBJECTIVE: To determine whether the ingestion of a herbal supplement called Rhodiola-Gingko Capsule (RGC) would enhance the endurance performance of healthy volunteers and change relevant hormones in a favorable manner. METHODS: Seventy healthy male volunteers (age ranges from 18 to 22 years old) were randomly assigned to RGC group (35 cases, each capsule containing 270 mg herbal extracts, 4 capsules per day) or placebo group (35 cases, equivalent placebo preparation) for 7 weeks using computer produced digital random method. The endurance performance, serum testosterone and cortisol levels were measured at the baseline and the endpoint. RESULTS: Sixty-seven subjects (34 in the RGC group and 33 in the placebo group) completed a 7-week treatment. The RGC group displayed a significantly greater baseline-to endpoint increase in maximal oxygen uptake (VO(2max)) than placebo group in both absolute (P=0.020) and relative values (P=0.023). At the endpoint, the serum cortisol level was unchanged in the RGC group compared with the baseline, but it was significantly elevated in the placebo group (P&amp;lt;0.05). The endpoint ratio of testosterone to cortisol, a surrogate for overtraining and fatigue in endurance exercises, was also indifferent compared with the baseline in the RGC group, but significantly decreased in the placebo group (P&amp;lt;0.05). CONCLUSION: The combined herbal supplement of Rhodiola and Gingko could improve the endurance performance by increasing oxygen consumption and protecting against fatigue.&lt;/style&gt;&lt;/abstract&gt;&lt;notes&gt;&lt;style face="normal" font="default" size="100%"&gt;Zhang, Zhang-jinTong, YaoZou, JunChen, Pei-jieYu, Ding-haiengRandomized Controlled TrialResearch Support, Non-U.S. Gov'tChinaChin J Integr Med. 2009 Jun;15(3):177-83. doi: 10.1007/s11655-009-0177-x. Epub 2009 Jul 2.&lt;/style&gt;&lt;/notes&gt;&lt;urls&gt;&lt;related-urls&gt;&lt;url&gt;&lt;style face="normal" font="default" size="100%"&gt;https://www.ncbi.nlm.nih.gov/pubmed/19568709&lt;/style&gt;&lt;/url&gt;&lt;/related-urls&gt;&lt;/urls&gt;&lt;electronic-resource-num&gt;&lt;style face="normal" font="default" size="100%"&gt;10.1007/s11655-009-0177-x&lt;/style&gt;&lt;/electronic-resource-num&gt;&lt;/record&gt;&lt;/Cite&gt;&lt;/EndNote&gt;</w:instrText>
      </w:r>
      <w:r>
        <w:rPr>
          <w:sz w:val="22"/>
          <w:szCs w:val="22"/>
          <w:u w:color="000000"/>
          <w:rtl w:val="0"/>
          <w:lang w:val="en-US"/>
          <w14:textOutline w14:w="12700" w14:cap="flat">
            <w14:noFill/>
            <w14:miter w14:lim="400000"/>
          </w14:textOutline>
        </w:rPr>
        <w:fldChar w:fldCharType="separate" w:fldLock="0"/>
      </w:r>
      <w:r>
        <w:rPr>
          <w:sz w:val="22"/>
          <w:szCs w:val="22"/>
          <w:u w:color="000000"/>
          <w:rtl w:val="0"/>
          <w:lang w:val="en-US"/>
          <w14:textOutline w14:w="12700" w14:cap="flat">
            <w14:noFill/>
            <w14:miter w14:lim="400000"/>
          </w14:textOutline>
        </w:rPr>
        <w:t>[9]</w:t>
      </w:r>
      <w:r>
        <w:rPr>
          <w:sz w:val="22"/>
          <w:szCs w:val="22"/>
          <w:u w:color="000000"/>
          <w:rtl w:val="0"/>
          <w:lang w:val="en-US"/>
          <w14:textOutline w14:w="12700" w14:cap="flat">
            <w14:noFill/>
            <w14:miter w14:lim="400000"/>
          </w14:textOutline>
        </w:rPr>
        <w:fldChar w:fldCharType="end" w:fldLock="0"/>
      </w:r>
      <w:r>
        <w:rPr>
          <w:sz w:val="22"/>
          <w:szCs w:val="22"/>
          <w:u w:color="000000"/>
          <w:rtl w:val="0"/>
          <w:lang w:val="en-US"/>
          <w14:textOutline w14:w="12700" w14:cap="flat">
            <w14:noFill/>
            <w14:miter w14:lim="400000"/>
          </w14:textOutline>
        </w:rPr>
        <w:t xml:space="preserve">. No difference in </w:t>
      </w:r>
      <w:r>
        <w:rPr>
          <w:sz w:val="22"/>
          <w:szCs w:val="22"/>
          <w:u w:color="000000"/>
          <w:rtl w:val="0"/>
          <w:lang w:val="pt-PT"/>
          <w14:textOutline w14:w="12700" w14:cap="flat">
            <w14:noFill/>
            <w14:miter w14:lim="400000"/>
          </w14:textOutline>
        </w:rPr>
        <w:t>s</w:t>
      </w:r>
      <w:r>
        <w:rPr>
          <w:sz w:val="22"/>
          <w:szCs w:val="22"/>
          <w:u w:color="000000"/>
          <w:rtl w:val="0"/>
          <w:lang w:val="en-US"/>
          <w14:textOutline w14:w="12700" w14:cap="flat">
            <w14:noFill/>
            <w14:miter w14:lim="400000"/>
          </w14:textOutline>
        </w:rPr>
        <w:t>TT concentration was noted compared to baseline or after placebo treatment, and transient sleepiness was reported as an adverse effect in 5 out of 33 patients.</w:t>
      </w:r>
    </w:p>
    <w:p>
      <w:pPr>
        <w:pStyle w:val="Predefinição"/>
        <w:bidi w:val="0"/>
        <w:spacing w:before="200" w:line="480" w:lineRule="auto"/>
        <w:ind w:left="0" w:right="0" w:firstLine="0"/>
        <w:jc w:val="both"/>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b/>
        <w:t xml:space="preserve">Arginine aspartate, a commonly sold supplement which is a combination of two amino acids, was used in a 4-week RCT in two different dosages on male endurance athletes without any significant effect on </w:t>
      </w:r>
      <w:r>
        <w:rPr>
          <w:sz w:val="22"/>
          <w:szCs w:val="22"/>
          <w:u w:color="000000"/>
          <w:rtl w:val="0"/>
          <w:lang w:val="pt-PT"/>
          <w14:textOutline w14:w="12700" w14:cap="flat">
            <w14:noFill/>
            <w14:miter w14:lim="400000"/>
          </w14:textOutline>
        </w:rPr>
        <w:t>s</w:t>
      </w:r>
      <w:r>
        <w:rPr>
          <w:sz w:val="22"/>
          <w:szCs w:val="22"/>
          <w:u w:color="000000"/>
          <w:rtl w:val="0"/>
          <w:lang w:val="en-US"/>
          <w14:textOutline w14:w="12700" w14:cap="flat">
            <w14:noFill/>
            <w14:miter w14:lim="400000"/>
          </w14:textOutline>
        </w:rPr>
        <w:t>TT concentration</w:t>
      </w:r>
      <w:r>
        <w:rPr>
          <w:sz w:val="22"/>
          <w:szCs w:val="22"/>
          <w:u w:color="000000"/>
          <w:rtl w:val="0"/>
          <w:lang w:val="en-US"/>
          <w14:textOutline w14:w="12700" w14:cap="flat">
            <w14:noFill/>
            <w14:miter w14:lim="400000"/>
          </w14:textOutline>
        </w:rPr>
        <w:fldChar w:fldCharType="begin" w:fldLock="0"/>
      </w:r>
      <w:r>
        <w:rPr>
          <w:sz w:val="22"/>
          <w:szCs w:val="22"/>
          <w:u w:color="000000"/>
          <w:rtl w:val="0"/>
          <w:lang w:val="en-US"/>
          <w14:textOutline w14:w="12700" w14:cap="flat">
            <w14:noFill/>
            <w14:miter w14:lim="400000"/>
          </w14:textOutline>
        </w:rPr>
        <w:instrText xml:space="preserve"> ADDIN EN.CITE &lt;EndNote&gt;&lt;Cite  &gt;&lt;Author&gt;Abel, T.; Knechtle, B.; Perret, C.; Eser, P.; von Arx, P.; Knecht, H.&lt;/Author&gt;&lt;Year&gt;2005&lt;/Year&gt;&lt;RecNum&gt;56&lt;/RecNum&gt;&lt;Prefix&gt;&lt;/Prefix&gt;&lt;Suffix&gt;&lt;/Suffix&gt;&lt;Pages&gt;&lt;/Pages&gt;&lt;DisplayText&gt;[10]&lt;/DisplayText&gt;&lt;record&gt;&lt;database name="en04f73eea" path="/private/var/folders/y0/mp5jl9fd5jg1mz9clfkt2gr40000gn/T/TemporaryItems/en04f73eea"&gt;en04f73eea&lt;/database&gt;&lt;source-app name="EndNote" version="19.3"&gt;EndNote&lt;/source-app&gt;&lt;rec-number&gt;56&lt;/rec-number&gt;&lt;foreign-keys&gt;&lt;key app="EN" db-id="s2fpaw0fbevep9efawuxwxvz2zz00wpf5ffe"&gt;56&lt;/key&gt;&lt;/foreign-keys&gt;&lt;ref-type name="Journal Article"&gt;17&lt;/ref-type&gt;&lt;contributors&gt;&lt;authors&gt;&lt;author&gt;&lt;style face="normal" font="default" size="100%"&gt;Abel, T.&lt;/style&gt;&lt;/author&gt;&lt;author&gt;&lt;style face="normal" font="default" size="100%"&gt;Knechtle, B.&lt;/style&gt;&lt;/author&gt;&lt;author&gt;&lt;style face="normal" font="default" size="100%"&gt;Perret, C.&lt;/style&gt;&lt;/author&gt;&lt;author&gt;&lt;style face="normal" font="default" size="100%"&gt;Eser, P.&lt;/style&gt;&lt;/author&gt;&lt;author&gt;&lt;style face="normal" font="default" size="100%"&gt;von Arx, P.&lt;/style&gt;&lt;/author&gt;&lt;author&gt;&lt;style face="normal" font="default" size="100%"&gt;Knecht, H.&lt;/style&gt;&lt;/author&gt;&lt;/authors&gt;&lt;/contributors&gt;&lt;auth-address&gt;&lt;style face="normal" font="default" size="100%"&gt;Institute of Sports Medicine, Swiss Paraplegic Centre, Nottwil.&lt;/style&gt;&lt;/auth-address&gt;&lt;titles&gt;&lt;title&gt;&lt;style face="normal" font="default" size="100%"&gt;Influence of chronic supplementation of arginine aspartate in endurance athletes on performance and substrate metabolism - a randomized, double-blind, placebo-controlled study&lt;/style&gt;&lt;/title&gt;&lt;secondary-title&gt;&lt;style face="normal" font="default" size="100%"&gt;Int J Sports Med&lt;/style&gt;&lt;/secondary-title&gt;&lt;/titles&gt;&lt;periodical&gt;&lt;full-title&gt;&lt;style face="normal" font="default" size="100%"&gt;Int J Sports Med&lt;/style&gt;&lt;/full-title&gt;&lt;/periodical&gt;&lt;pages&gt;&lt;style face="normal" font="default" size="100%"&gt;344-9&lt;/style&gt;&lt;/pages&gt;&lt;volume&gt;&lt;style face="normal" font="default" size="100%"&gt;26&lt;/style&gt;&lt;/volume&gt;&lt;number&gt;&lt;style face="normal" font="default" size="100%"&gt;5&lt;/style&gt;&lt;/number&gt;&lt;edition&gt;&lt;style face="normal" font="default" size="100%"&gt;2005/05/17&lt;/style&gt;&lt;/edition&gt;&lt;keywords&gt;&lt;keyword&gt;&lt;style face="normal" font="default" size="100%"&gt;Adult&lt;/style&gt;&lt;/keyword&gt;&lt;keyword&gt;&lt;style face="normal" font="default" size="100%"&gt;Arginine/*administration &amp;amp; dosage&lt;/style&gt;&lt;/keyword&gt;&lt;keyword&gt;&lt;style face="normal" font="default" size="100%"&gt;Aspartic Acid/*administration &amp;amp; dosage&lt;/style&gt;&lt;/keyword&gt;&lt;keyword&gt;&lt;style face="normal" font="default" size="100%"&gt;*Dietary Supplements&lt;/style&gt;&lt;/keyword&gt;&lt;keyword&gt;&lt;style face="normal" font="default" size="100%"&gt;Dose-Response Relationship, Drug&lt;/style&gt;&lt;/keyword&gt;&lt;keyword&gt;&lt;style face="normal" font="default" size="100%"&gt;Double-Blind Method&lt;/style&gt;&lt;/keyword&gt;&lt;keyword&gt;&lt;style face="normal" font="default" size="100%"&gt;Energy Metabolism/*drug effects/physiology&lt;/style&gt;&lt;/keyword&gt;&lt;keyword&gt;&lt;style face="normal" font="default" size="100%"&gt;Ferritins/blood&lt;/style&gt;&lt;/keyword&gt;&lt;keyword&gt;&lt;style face="normal" font="default" size="100%"&gt;Humans&lt;/style&gt;&lt;/keyword&gt;&lt;keyword&gt;&lt;style face="normal" font="default" size="100%"&gt;Hydrocortisone/blood&lt;/style&gt;&lt;/keyword&gt;&lt;keyword&gt;&lt;style face="normal" font="default" size="100%"&gt;Male&lt;/style&gt;&lt;/keyword&gt;&lt;keyword&gt;&lt;style face="normal" font="default" size="100%"&gt;Muscle Fatigue/drug effects/physiology&lt;/style&gt;&lt;/keyword&gt;&lt;keyword&gt;&lt;style face="normal" font="default" size="100%"&gt;Oxygen Consumption/drug effects/physiology&lt;/style&gt;&lt;/keyword&gt;&lt;keyword&gt;&lt;style face="normal" font="default" size="100%"&gt;Physical Endurance/*drug effects/*physiology&lt;/style&gt;&lt;/keyword&gt;&lt;keyword&gt;&lt;style face="normal" font="default" size="100%"&gt;Sports/*physiology&lt;/style&gt;&lt;/keyword&gt;&lt;keyword&gt;&lt;style face="normal" font="default" size="100%"&gt;*Task Performance and Analysis&lt;/style&gt;&lt;/keyword&gt;&lt;keyword&gt;&lt;style face="normal" font="default" size="100%"&gt;Testosterone/blood&lt;/style&gt;&lt;/keyword&gt;&lt;keyword&gt;&lt;style face="normal" font="default" size="100%"&gt;Urea/blood&lt;/style&gt;&lt;/keyword&gt;&lt;/keywords&gt;&lt;dates&gt;&lt;year&gt;&lt;style face="normal" font="default" size="100%"&gt;2005&lt;/style&gt;&lt;/year&gt;&lt;pub-dates&gt;&lt;date&gt;&lt;style face="normal" font="default" size="100%"&gt;Jun&lt;/style&gt;&lt;/date&gt;&lt;/pub-dates&gt;&lt;/dates&gt;&lt;isbn&gt;&lt;style face="normal" font="default" size="100%"&gt;0172-4622 (Print)0172-4622 (Linking)&lt;/style&gt;&lt;/isbn&gt;&lt;accession-num&gt;&lt;style face="normal" font="default" size="100%"&gt;15895316&lt;/style&gt;&lt;/accession-num&gt;&lt;abstract&gt;&lt;style face="normal" font="default" size="100%"&gt;The intake of arginine aspartate has been shown to increase anabolic hormones like human growth hormone (hGH) and glucagon. The aim of our study was to investigate whether daily intake of two different dosages of arginine asparate during four weeks affects selected parameters of overtraining syndrome like performance, metabolic and endocrine parameters. Thirty male endurance-trained athletes were included in a randomized, double-blind, placebo-controlled study and divided into three groups. During four weeks, they ingested either arginine aspartate with a high concentration (H) of 5.7 g arginine and 8.7 g aspartate, with a low concentration (L) of 2.8 g arginine and 2.2 g aspartate or placebo (P).VO(2)peak and time to exhaustion were determined on a cycling ergometer in an incremental exercise test before and after supplementation. Before and after each incremental exercise test, concentrations of hGH, glucagon, testosterone, cortisol, ferritine, lactate, and urea were measured. Compared to placebo, no significant differences on endurance performance (VO(2)peak, time to exhaustion), endocrine (concentration of hGH, glucagon, cortisol, and testosterone) and metabolic parameters (concentration of lactate, ferritine, and urea) were found after chronic arginine aspartate supplementation. The chronic intake of arginine asparate during four weeks by male endurance athletes showed independent of dosage no influence on performance, selected metabolic or endocrine parameters. Consequently, there seems to be no apparent reason why the supplementation of arginine aspartate should be an effective ergogenic aid. The practice of using arginine aspartate as potential ergogenics should be critically reevaluated. Further investigations with higher dosage and extended supplementation periods should be performed.&lt;/style&gt;&lt;/abstract&gt;&lt;notes&gt;&lt;style face="normal" font="default" size="100%"&gt;Abel, TKnechtle, BPerret, CEser, Pvon Arx, PKnecht, HengClinical TrialRandomized Controlled TrialGermanyInt J Sports Med. 2005 Jun;26(5):344-9. doi: 10.1055/s-2004-821111.&lt;/style&gt;&lt;/notes&gt;&lt;urls&gt;&lt;related-urls&gt;&lt;url&gt;&lt;style face="normal" font="default" size="100%"&gt;https://www.ncbi.nlm.nih.gov/pubmed/15895316&lt;/style&gt;&lt;/url&gt;&lt;/related-urls&gt;&lt;/urls&gt;&lt;electronic-resource-num&gt;&lt;style face="normal" font="default" size="100%"&gt;10.1055/s-2004-821111&lt;/style&gt;&lt;/electronic-resource-num&gt;&lt;/record&gt;&lt;/Cite&gt;&lt;/EndNote&gt;</w:instrText>
      </w:r>
      <w:r>
        <w:rPr>
          <w:sz w:val="22"/>
          <w:szCs w:val="22"/>
          <w:u w:color="000000"/>
          <w:rtl w:val="0"/>
          <w:lang w:val="en-US"/>
          <w14:textOutline w14:w="12700" w14:cap="flat">
            <w14:noFill/>
            <w14:miter w14:lim="400000"/>
          </w14:textOutline>
        </w:rPr>
        <w:fldChar w:fldCharType="separate" w:fldLock="0"/>
      </w:r>
      <w:r>
        <w:rPr>
          <w:sz w:val="22"/>
          <w:szCs w:val="22"/>
          <w:u w:color="000000"/>
          <w:rtl w:val="0"/>
          <w:lang w:val="en-US"/>
          <w14:textOutline w14:w="12700" w14:cap="flat">
            <w14:noFill/>
            <w14:miter w14:lim="400000"/>
          </w14:textOutline>
        </w:rPr>
        <w:t>[10]</w:t>
      </w:r>
      <w:r>
        <w:rPr>
          <w:sz w:val="22"/>
          <w:szCs w:val="22"/>
          <w:u w:color="000000"/>
          <w:rtl w:val="0"/>
          <w:lang w:val="en-US"/>
          <w14:textOutline w14:w="12700" w14:cap="flat">
            <w14:noFill/>
            <w14:miter w14:lim="400000"/>
          </w14:textOutline>
        </w:rPr>
        <w:fldChar w:fldCharType="end" w:fldLock="0"/>
      </w:r>
      <w:r>
        <w:rPr>
          <w:sz w:val="22"/>
          <w:szCs w:val="22"/>
          <w:u w:color="000000"/>
          <w:rtl w:val="0"/>
          <w:lang w:val="en-US"/>
          <w14:textOutline w14:w="12700" w14:cap="flat">
            <w14:noFill/>
            <w14:miter w14:lim="400000"/>
          </w14:textOutline>
        </w:rPr>
        <w:t>.</w:t>
      </w:r>
    </w:p>
    <w:p>
      <w:pPr>
        <w:pStyle w:val="Predefinição"/>
        <w:bidi w:val="0"/>
        <w:spacing w:before="200" w:line="480" w:lineRule="auto"/>
        <w:ind w:left="0" w:right="0" w:firstLine="0"/>
        <w:jc w:val="both"/>
        <w:rPr>
          <w:rtl w:val="0"/>
        </w:rPr>
      </w:pPr>
      <w:r>
        <w:rPr>
          <w:rFonts w:ascii="Arial Unicode MS" w:cs="Arial Unicode MS" w:hAnsi="Arial Unicode MS" w:eastAsia="Arial Unicode MS"/>
          <w:b w:val="0"/>
          <w:bCs w:val="0"/>
          <w:i w:val="0"/>
          <w:iCs w:val="0"/>
          <w:sz w:val="22"/>
          <w:szCs w:val="22"/>
          <w:u w:color="000000"/>
          <w:rtl w:val="0"/>
          <w:lang w:val="en-US"/>
          <w14:textOutline w14:w="12700" w14:cap="flat">
            <w14:noFill/>
            <w14:miter w14:lim="400000"/>
          </w14:textOutline>
        </w:rPr>
        <w:br w:type="page"/>
      </w:r>
    </w:p>
    <w:p>
      <w:pPr>
        <w:pStyle w:val="Título"/>
        <w:rPr>
          <w:sz w:val="24"/>
          <w:szCs w:val="24"/>
          <w:lang w:val="en-US"/>
        </w:rPr>
      </w:pPr>
      <w:r>
        <w:rPr>
          <w:sz w:val="24"/>
          <w:szCs w:val="24"/>
          <w:rtl w:val="0"/>
          <w:lang w:val="en-US"/>
        </w:rPr>
        <w:t>References</w:t>
      </w:r>
    </w:p>
    <w:p>
      <w:pPr>
        <w:pStyle w:val="Corpo"/>
        <w:bidi w:val="0"/>
        <w:rPr>
          <w:lang w:val="en-US"/>
        </w:rPr>
      </w:pPr>
    </w:p>
    <w:p>
      <w:pPr>
        <w:pStyle w:val="Corpo"/>
        <w:spacing w:line="480" w:lineRule="auto"/>
      </w:pPr>
      <w:r>
        <w:rPr/>
        <w:fldChar w:fldCharType="begin" w:fldLock="0"/>
      </w:r>
      <w:r>
        <w:instrText xml:space="preserve"> ADDIN EN.REFLIST </w:instrText>
      </w:r>
      <w:r>
        <w:rPr/>
        <w:fldChar w:fldCharType="separate" w:fldLock="0"/>
      </w:r>
    </w:p>
    <w:p>
      <w:pPr>
        <w:pStyle w:val="Corpo"/>
        <w:spacing w:line="480" w:lineRule="auto"/>
      </w:pPr>
      <w:r>
        <w:rPr>
          <w:rtl w:val="0"/>
          <w:lang w:val="fr-FR"/>
        </w:rPr>
        <w:t>1.</w:t>
        <w:tab/>
        <w:t xml:space="preserve">Maheshwari, A., et al., </w:t>
      </w:r>
      <w:r>
        <w:rPr>
          <w:rtl w:val="0"/>
          <w:lang w:val="en-US"/>
        </w:rPr>
        <w:t>Efficacy of Furosap(TM), a novel Trigonella foenum-graecum seed extract, in Enhancing Testosterone Level and Improving Sperm Profile in Male Volunteers.</w:t>
      </w:r>
      <w:r>
        <w:rPr>
          <w:rtl w:val="0"/>
        </w:rPr>
        <w:t xml:space="preserve"> Int J Med Sci, 2017. </w:t>
      </w:r>
      <w:r>
        <w:rPr>
          <w:b w:val="1"/>
          <w:bCs w:val="1"/>
          <w:rtl w:val="0"/>
        </w:rPr>
        <w:t>14</w:t>
      </w:r>
      <w:r>
        <w:rPr>
          <w:rtl w:val="0"/>
        </w:rPr>
        <w:t>(1): p. 58-66.</w:t>
      </w:r>
    </w:p>
    <w:p>
      <w:pPr>
        <w:pStyle w:val="Corpo"/>
        <w:spacing w:line="480" w:lineRule="auto"/>
      </w:pPr>
      <w:r>
        <w:rPr>
          <w:rtl w:val="0"/>
          <w:lang w:val="fr-FR"/>
        </w:rPr>
        <w:t>2.</w:t>
        <w:tab/>
        <w:t xml:space="preserve">Haidari, F., et al., </w:t>
      </w:r>
      <w:r>
        <w:rPr>
          <w:rtl w:val="0"/>
          <w:lang w:val="en-US"/>
        </w:rPr>
        <w:t>Effect of lipoic acid supplementation on gene expression and activity of glutathione S-transferase enzyme in infertile men.</w:t>
      </w:r>
      <w:r>
        <w:rPr>
          <w:rtl w:val="0"/>
        </w:rPr>
        <w:t xml:space="preserve"> Hum Fertil (Camb), 2021. </w:t>
      </w:r>
      <w:r>
        <w:rPr>
          <w:b w:val="1"/>
          <w:bCs w:val="1"/>
          <w:rtl w:val="0"/>
        </w:rPr>
        <w:t>24</w:t>
      </w:r>
      <w:r>
        <w:rPr>
          <w:rtl w:val="0"/>
          <w:lang w:val="it-IT"/>
        </w:rPr>
        <w:t>(4): p. 276-283.</w:t>
      </w:r>
    </w:p>
    <w:p>
      <w:pPr>
        <w:pStyle w:val="Corpo"/>
        <w:spacing w:line="480" w:lineRule="auto"/>
      </w:pPr>
      <w:r>
        <w:rPr>
          <w:rtl w:val="0"/>
          <w:lang w:val="fr-FR"/>
        </w:rPr>
        <w:t>3.</w:t>
        <w:tab/>
        <w:t xml:space="preserve">Derouiche, A., et al., </w:t>
      </w:r>
      <w:r>
        <w:rPr>
          <w:rtl w:val="0"/>
          <w:lang w:val="en-US"/>
        </w:rPr>
        <w:t>Effect of argan and olive oil consumption on the hormonal profile of androgens among healthy adult Moroccan men.</w:t>
      </w:r>
      <w:r>
        <w:rPr>
          <w:rtl w:val="0"/>
          <w:lang w:val="en-US"/>
        </w:rPr>
        <w:t xml:space="preserve"> Nat Prod Commun, 2013. </w:t>
      </w:r>
      <w:r>
        <w:rPr>
          <w:b w:val="1"/>
          <w:bCs w:val="1"/>
          <w:rtl w:val="0"/>
        </w:rPr>
        <w:t>8</w:t>
      </w:r>
      <w:r>
        <w:rPr>
          <w:rtl w:val="0"/>
        </w:rPr>
        <w:t>(1): p. 51-3.</w:t>
      </w:r>
    </w:p>
    <w:p>
      <w:pPr>
        <w:pStyle w:val="Corpo"/>
        <w:spacing w:line="480" w:lineRule="auto"/>
      </w:pPr>
      <w:r>
        <w:rPr>
          <w:rtl w:val="0"/>
        </w:rPr>
        <w:t>4.</w:t>
        <w:tab/>
        <w:t xml:space="preserve">Cinar, V., et al., </w:t>
      </w:r>
      <w:r>
        <w:rPr>
          <w:rtl w:val="0"/>
          <w:lang w:val="en-US"/>
        </w:rPr>
        <w:t>Testosterone levels in athletes at rest and exhaustion: effects of calcium supplementation.</w:t>
      </w:r>
      <w:r>
        <w:rPr>
          <w:rtl w:val="0"/>
          <w:lang w:val="de-DE"/>
        </w:rPr>
        <w:t xml:space="preserve"> Biol Trace Elem Res, 2009. </w:t>
      </w:r>
      <w:r>
        <w:rPr>
          <w:b w:val="1"/>
          <w:bCs w:val="1"/>
          <w:rtl w:val="0"/>
        </w:rPr>
        <w:t>129</w:t>
      </w:r>
      <w:r>
        <w:rPr>
          <w:rtl w:val="0"/>
          <w:lang w:val="pt-PT"/>
        </w:rPr>
        <w:t>(1-3): p. 65-9.</w:t>
      </w:r>
    </w:p>
    <w:p>
      <w:pPr>
        <w:pStyle w:val="Corpo"/>
        <w:spacing w:line="480" w:lineRule="auto"/>
      </w:pPr>
      <w:r>
        <w:rPr>
          <w:rtl w:val="0"/>
          <w:lang w:val="fr-FR"/>
        </w:rPr>
        <w:t>5.</w:t>
        <w:tab/>
        <w:t xml:space="preserve">Che, W.J., et al., </w:t>
      </w:r>
      <w:r>
        <w:rPr>
          <w:rtl w:val="0"/>
          <w:lang w:val="en-US"/>
        </w:rPr>
        <w:t>Preliminary study on treatment of partial androgen deficiency in aging males with Jingui Shenqi Pill.</w:t>
      </w:r>
      <w:r>
        <w:rPr>
          <w:rtl w:val="0"/>
        </w:rPr>
        <w:t xml:space="preserve"> Chin J Integr Med, 2005. </w:t>
      </w:r>
      <w:r>
        <w:rPr>
          <w:b w:val="1"/>
          <w:bCs w:val="1"/>
          <w:rtl w:val="0"/>
        </w:rPr>
        <w:t>11</w:t>
      </w:r>
      <w:r>
        <w:rPr>
          <w:rtl w:val="0"/>
        </w:rPr>
        <w:t>(4): p. 300-2.</w:t>
      </w:r>
    </w:p>
    <w:p>
      <w:pPr>
        <w:pStyle w:val="Corpo"/>
        <w:spacing w:line="480" w:lineRule="auto"/>
      </w:pPr>
      <w:r>
        <w:rPr>
          <w:rtl w:val="0"/>
          <w:lang w:val="fr-FR"/>
        </w:rPr>
        <w:t>6.</w:t>
        <w:tab/>
        <w:t xml:space="preserve">Santi, D., et al., </w:t>
      </w:r>
      <w:r>
        <w:rPr>
          <w:rtl w:val="0"/>
          <w:lang w:val="en-US"/>
        </w:rPr>
        <w:t>Effects of chronic administration of the phosphodiesterase inhibitor vardenafil on serum levels of adrenal and testicular steroids in men with type 2 diabetes mellitus.</w:t>
      </w:r>
      <w:r>
        <w:rPr>
          <w:rtl w:val="0"/>
          <w:lang w:val="it-IT"/>
        </w:rPr>
        <w:t xml:space="preserve"> Endocrine, 2017. </w:t>
      </w:r>
      <w:r>
        <w:rPr>
          <w:b w:val="1"/>
          <w:bCs w:val="1"/>
          <w:rtl w:val="0"/>
        </w:rPr>
        <w:t>56</w:t>
      </w:r>
      <w:r>
        <w:rPr>
          <w:rtl w:val="0"/>
        </w:rPr>
        <w:t>(2): p. 426-437.</w:t>
      </w:r>
    </w:p>
    <w:p>
      <w:pPr>
        <w:pStyle w:val="Corpo"/>
        <w:spacing w:line="480" w:lineRule="auto"/>
      </w:pPr>
      <w:r>
        <w:rPr>
          <w:rtl w:val="0"/>
        </w:rPr>
        <w:t>7.</w:t>
        <w:tab/>
        <w:t xml:space="preserve">Giltay, E.J., et al., </w:t>
      </w:r>
      <w:r>
        <w:rPr>
          <w:rtl w:val="0"/>
          <w:lang w:val="en-US"/>
        </w:rPr>
        <w:t>No effects of n-3 fatty acid supplementation on serum total testosterone levels in older men: the Alpha Omega Trial.</w:t>
      </w:r>
      <w:r>
        <w:rPr>
          <w:rtl w:val="0"/>
        </w:rPr>
        <w:t xml:space="preserve"> Int J Androl, 2012. </w:t>
      </w:r>
      <w:r>
        <w:rPr>
          <w:b w:val="1"/>
          <w:bCs w:val="1"/>
          <w:rtl w:val="0"/>
        </w:rPr>
        <w:t>35</w:t>
      </w:r>
      <w:r>
        <w:rPr>
          <w:rtl w:val="0"/>
        </w:rPr>
        <w:t>(5): p. 680-7.</w:t>
      </w:r>
    </w:p>
    <w:p>
      <w:pPr>
        <w:pStyle w:val="Corpo"/>
        <w:spacing w:line="480" w:lineRule="auto"/>
      </w:pPr>
      <w:r>
        <w:rPr>
          <w:rtl w:val="0"/>
          <w:lang w:val="fr-FR"/>
        </w:rPr>
        <w:t>8.</w:t>
        <w:tab/>
        <w:t xml:space="preserve">Goto, K., et al., </w:t>
      </w:r>
      <w:r>
        <w:rPr>
          <w:rtl w:val="0"/>
          <w:lang w:val="en-US"/>
        </w:rPr>
        <w:t>Hormonal responses to resistance exercise after ingestion of carnosine and anserine.</w:t>
      </w:r>
      <w:r>
        <w:rPr>
          <w:rtl w:val="0"/>
          <w:lang w:val="en-US"/>
        </w:rPr>
        <w:t xml:space="preserve"> J Strength Cond Res, 2011. </w:t>
      </w:r>
      <w:r>
        <w:rPr>
          <w:b w:val="1"/>
          <w:bCs w:val="1"/>
          <w:rtl w:val="0"/>
        </w:rPr>
        <w:t>25</w:t>
      </w:r>
      <w:r>
        <w:rPr>
          <w:rtl w:val="0"/>
        </w:rPr>
        <w:t>(2): p. 398-405.</w:t>
      </w:r>
    </w:p>
    <w:p>
      <w:pPr>
        <w:pStyle w:val="Corpo"/>
        <w:spacing w:line="480" w:lineRule="auto"/>
      </w:pPr>
      <w:r>
        <w:rPr>
          <w:rtl w:val="0"/>
        </w:rPr>
        <w:t>9.</w:t>
        <w:tab/>
        <w:t xml:space="preserve">Zhang, Z.J., et al., </w:t>
      </w:r>
      <w:r>
        <w:rPr>
          <w:rtl w:val="0"/>
          <w:lang w:val="en-US"/>
        </w:rPr>
        <w:t>Dietary supplement with a combination of Rhodiola crenulata and Ginkgo biloba enhances the endurance performance in healthy volunteers.</w:t>
      </w:r>
      <w:r>
        <w:rPr>
          <w:rtl w:val="0"/>
        </w:rPr>
        <w:t xml:space="preserve"> Chin J Integr Med, 2009. </w:t>
      </w:r>
      <w:r>
        <w:rPr>
          <w:b w:val="1"/>
          <w:bCs w:val="1"/>
          <w:rtl w:val="0"/>
        </w:rPr>
        <w:t>15</w:t>
      </w:r>
      <w:r>
        <w:rPr>
          <w:rtl w:val="0"/>
        </w:rPr>
        <w:t>(3): p. 177-83.</w:t>
      </w:r>
    </w:p>
    <w:p>
      <w:pPr>
        <w:pStyle w:val="Corpo"/>
        <w:spacing w:line="480" w:lineRule="auto"/>
      </w:pPr>
      <w:r>
        <w:rPr>
          <w:rtl w:val="0"/>
        </w:rPr>
        <w:t>10.</w:t>
        <w:tab/>
        <w:t xml:space="preserve">Abel, T., et al., </w:t>
      </w:r>
      <w:r>
        <w:rPr>
          <w:rtl w:val="0"/>
          <w:lang w:val="en-US"/>
        </w:rPr>
        <w:t>Influence of chronic supplementation of arginine aspartate in endurance athletes on performance and substrate metabolism - a randomized, double-blind, placebo-controlled study.</w:t>
      </w:r>
      <w:r>
        <w:rPr>
          <w:rtl w:val="0"/>
          <w:lang w:val="en-US"/>
        </w:rPr>
        <w:t xml:space="preserve"> Int J Sports Med, 2005. </w:t>
      </w:r>
      <w:r>
        <w:rPr>
          <w:b w:val="1"/>
          <w:bCs w:val="1"/>
          <w:rtl w:val="0"/>
        </w:rPr>
        <w:t>26</w:t>
      </w:r>
      <w:r>
        <w:rPr>
          <w:rtl w:val="0"/>
        </w:rPr>
        <w:t>(5): p. 344-9.</w:t>
      </w:r>
      <w:r>
        <w:rPr/>
        <w:fldChar w:fldCharType="end" w:fldLock="0"/>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português" w:val="‘“(〔[{〈《「『【⦅〘〖«〝︵︷︹︻︽︿﹁﹃﹇﹙﹛﹝｢"/>
  <w:noLineBreaksBefore w:lang="portuguê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Predefinição">
    <w:name w:val="Predefinição"/>
    <w:next w:val="Predefinição"/>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Título">
    <w:name w:val="Título"/>
    <w:next w:val="Corpo"/>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6"/>
      <w:szCs w:val="36"/>
      <w:u w:val="none"/>
      <w:shd w:val="nil" w:color="auto" w:fill="auto"/>
      <w:vertAlign w:val="baseline"/>
      <w:lang w:val="pt-PT"/>
      <w14:textOutline>
        <w14:noFill/>
      </w14:textOutline>
      <w14:textFill>
        <w14:solidFill>
          <w14:srgbClr w14:val="000000"/>
        </w14:solidFill>
      </w14:textFill>
    </w:rPr>
  </w:style>
  <w:style w:type="paragraph" w:styleId="Corpo">
    <w:name w:val="Corpo"/>
    <w:next w:val="Corpo"/>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pt-PT"/>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