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473" w:rsidRPr="00DC1677" w:rsidRDefault="00F95473" w:rsidP="003A2DC9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noProof/>
          <w:sz w:val="28"/>
          <w:szCs w:val="28"/>
        </w:rPr>
      </w:pPr>
      <w:r w:rsidRPr="00DC1677">
        <w:rPr>
          <w:rFonts w:ascii="Times New Roman" w:eastAsia="宋体" w:hAnsi="Times New Roman" w:cs="Times New Roman"/>
          <w:b/>
          <w:bCs/>
          <w:noProof/>
          <w:sz w:val="28"/>
          <w:szCs w:val="28"/>
        </w:rPr>
        <w:t>Supplementary Information</w:t>
      </w:r>
    </w:p>
    <w:p w:rsidR="00F95473" w:rsidRPr="00DC1677" w:rsidRDefault="00F95473" w:rsidP="003A2DC9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noProof/>
          <w:sz w:val="28"/>
          <w:szCs w:val="28"/>
        </w:rPr>
      </w:pPr>
      <w:r w:rsidRPr="00DC1677">
        <w:rPr>
          <w:rFonts w:ascii="Times New Roman" w:eastAsia="宋体" w:hAnsi="Times New Roman" w:cs="Times New Roman"/>
          <w:b/>
          <w:bCs/>
          <w:noProof/>
          <w:sz w:val="28"/>
          <w:szCs w:val="28"/>
        </w:rPr>
        <w:t>An alternative pathway of enteric PEDV dissemination from nasal cavity to intestinal mucosa in swine</w:t>
      </w:r>
    </w:p>
    <w:p w:rsidR="00F95473" w:rsidRPr="00DC1677" w:rsidRDefault="00F95473" w:rsidP="003A2DC9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noProof/>
          <w:sz w:val="24"/>
          <w:szCs w:val="24"/>
        </w:rPr>
      </w:pPr>
      <w:r w:rsidRPr="00DC1677">
        <w:rPr>
          <w:rFonts w:ascii="Times New Roman" w:eastAsia="宋体" w:hAnsi="Times New Roman" w:cs="Times New Roman"/>
          <w:bCs/>
          <w:noProof/>
          <w:sz w:val="28"/>
          <w:szCs w:val="28"/>
        </w:rPr>
        <w:t>Li, et al.</w:t>
      </w:r>
      <w:r w:rsidRPr="00DC1677">
        <w:rPr>
          <w:rFonts w:ascii="Times New Roman" w:eastAsia="宋体" w:hAnsi="Times New Roman" w:cs="Times New Roman"/>
          <w:bCs/>
          <w:noProof/>
          <w:sz w:val="24"/>
          <w:szCs w:val="24"/>
        </w:rPr>
        <w:br w:type="page"/>
      </w:r>
    </w:p>
    <w:p w:rsidR="00F95473" w:rsidRPr="00C138EA" w:rsidRDefault="00C138EA" w:rsidP="003A2DC9">
      <w:pPr>
        <w:spacing w:line="36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-1645</wp:posOffset>
            </wp:positionH>
            <wp:positionV relativeFrom="margin">
              <wp:posOffset>54181</wp:posOffset>
            </wp:positionV>
            <wp:extent cx="5274945" cy="4387215"/>
            <wp:effectExtent l="0" t="0" r="190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47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>Supplementary Figure 1.</w:t>
      </w:r>
      <w:r w:rsidR="0075030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PEDV positive epithelial cells </w:t>
      </w:r>
      <w:r w:rsidR="003A2DC9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>were</w:t>
      </w:r>
      <w:r w:rsidR="0075030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observed in four cross-sections of middle nasal concha.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86262E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Diagrams of the four selected cross-sections (I±IV) of the piglet’s nasal cavity.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Four cross-sectional blocks were </w:t>
      </w:r>
      <w:proofErr w:type="spellStart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choosed</w:t>
      </w:r>
      <w:proofErr w:type="spellEnd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according to structure of pig nasal cavity: the </w:t>
      </w:r>
      <w:r w:rsidR="00722E22" w:rsidRPr="00DC1677">
        <w:rPr>
          <w:rFonts w:ascii="Times New Roman" w:eastAsia="Arial Unicode MS" w:hAnsi="Times New Roman" w:cs="Times New Roman"/>
          <w:bCs/>
          <w:sz w:val="24"/>
          <w:szCs w:val="24"/>
        </w:rPr>
        <w:t>vestibular region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(I), </w:t>
      </w:r>
      <w:proofErr w:type="spellStart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regio</w:t>
      </w:r>
      <w:proofErr w:type="spellEnd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proofErr w:type="spellStart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respiratoria</w:t>
      </w:r>
      <w:proofErr w:type="spellEnd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(II, III), and </w:t>
      </w:r>
      <w:proofErr w:type="spellStart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regio</w:t>
      </w:r>
      <w:proofErr w:type="spellEnd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proofErr w:type="spellStart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olfactoria</w:t>
      </w:r>
      <w:proofErr w:type="spellEnd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(IV).</w:t>
      </w:r>
      <w:r w:rsidR="0086262E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b</w:t>
      </w:r>
      <w:r w:rsidR="0086262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The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anatomical structure of the four cross-sections. </w:t>
      </w:r>
      <w:r w:rsidR="0086262E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="0086262E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Distribution pattern of PEDV in middle nasal concha of piglets’ nasal cavity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at low magnifications. Bars: </w:t>
      </w:r>
      <w:r w:rsidR="00683E4C">
        <w:rPr>
          <w:rFonts w:ascii="Times New Roman" w:eastAsia="Arial Unicode MS" w:hAnsi="Times New Roman" w:cs="Times New Roman"/>
          <w:bCs/>
          <w:sz w:val="24"/>
          <w:szCs w:val="24"/>
        </w:rPr>
        <w:t>200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proofErr w:type="spellStart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μm</w:t>
      </w:r>
      <w:proofErr w:type="spellEnd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.</w:t>
      </w:r>
    </w:p>
    <w:p w:rsidR="00F95473" w:rsidRPr="00DC1677" w:rsidRDefault="00F95473" w:rsidP="003A2DC9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DC1677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:rsidR="00750303" w:rsidRPr="00DC1677" w:rsidRDefault="00F9547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C1677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70500" cy="2832100"/>
            <wp:effectExtent l="0" t="0" r="635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303" w:rsidRPr="00DC1677" w:rsidRDefault="00F95473" w:rsidP="003A2DC9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>Supplementary Figure 2.</w:t>
      </w:r>
      <w:r w:rsidR="0075030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Evaluation of NECM establishment.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Stripped nasal mucous.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Air liquid interface was establishing and observing on 1, 3, 9 days after seeding.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c</w:t>
      </w:r>
      <w:r w:rsidR="00750303" w:rsidRPr="00C138E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Epithelial cells in NECM was staining and observed by CLSM. Keratin 18 was shown in red. Cell nuclei were stained with DAPI (blue).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d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The cross-sectional images obtained by CLSM showed the distribution of PEDV receptor APN in NECM. APN was shown in red. Cell nuclei were stained with DAPI (blue).</w:t>
      </w:r>
      <w:r w:rsidR="00F80A15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e</w:t>
      </w:r>
      <w:r w:rsidR="00F80A15" w:rsidRPr="00C138E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F80A15" w:rsidRPr="00DC1677">
        <w:rPr>
          <w:rFonts w:ascii="Times New Roman" w:eastAsia="Arial Unicode MS" w:hAnsi="Times New Roman" w:cs="Times New Roman"/>
          <w:sz w:val="24"/>
          <w:szCs w:val="24"/>
        </w:rPr>
        <w:t>Dissociated cells from NECM detected by the fibroblast cell marker vimentin.</w:t>
      </w:r>
      <w:r w:rsidR="00F80A15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Bars: 20 </w:t>
      </w:r>
      <w:proofErr w:type="spellStart"/>
      <w:r w:rsidR="00F80A15" w:rsidRPr="00DC1677">
        <w:rPr>
          <w:rFonts w:ascii="Times New Roman" w:eastAsia="Arial Unicode MS" w:hAnsi="Times New Roman" w:cs="Times New Roman"/>
          <w:bCs/>
          <w:sz w:val="24"/>
          <w:szCs w:val="24"/>
        </w:rPr>
        <w:t>μm</w:t>
      </w:r>
      <w:proofErr w:type="spellEnd"/>
      <w:r w:rsidR="00F80A15" w:rsidRPr="00DC1677">
        <w:rPr>
          <w:rFonts w:ascii="Times New Roman" w:eastAsia="Arial Unicode MS" w:hAnsi="Times New Roman" w:cs="Times New Roman"/>
          <w:bCs/>
          <w:sz w:val="24"/>
          <w:szCs w:val="24"/>
        </w:rPr>
        <w:t>.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f</w:t>
      </w:r>
      <w:proofErr w:type="spellEnd"/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The transepithelial electrical resistance (TEER) of NECM after seeding. Data express mean ± SD </w:t>
      </w:r>
      <w:r w:rsidR="00750303" w:rsidRPr="00DC1677">
        <w:rPr>
          <w:rFonts w:ascii="Times New Roman" w:eastAsia="Arial Unicode MS" w:hAnsi="Times New Roman" w:cs="Times New Roman"/>
          <w:iCs/>
          <w:sz w:val="24"/>
          <w:szCs w:val="24"/>
        </w:rPr>
        <w:t>from three samples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750303" w:rsidRPr="00DC1677" w:rsidRDefault="00750303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DC1677" w:rsidRPr="00DC1677" w:rsidRDefault="00DC1677">
      <w:pPr>
        <w:widowControl/>
        <w:jc w:val="left"/>
        <w:rPr>
          <w:rFonts w:ascii="Times New Roman" w:eastAsia="Arial Unicode MS" w:hAnsi="Times New Roman" w:cs="Times New Roman"/>
          <w:noProof/>
          <w:sz w:val="24"/>
          <w:szCs w:val="24"/>
        </w:rPr>
      </w:pPr>
      <w:r w:rsidRPr="00DC1677">
        <w:rPr>
          <w:rFonts w:ascii="Times New Roman" w:eastAsia="Arial Unicode MS" w:hAnsi="Times New Roman" w:cs="Times New Roman"/>
          <w:noProof/>
          <w:sz w:val="24"/>
          <w:szCs w:val="24"/>
        </w:rPr>
        <w:br w:type="page"/>
      </w:r>
    </w:p>
    <w:p w:rsidR="00F80A15" w:rsidRPr="00DC1677" w:rsidRDefault="00AC03FC" w:rsidP="003A2DC9">
      <w:pPr>
        <w:spacing w:line="36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-67945</wp:posOffset>
            </wp:positionH>
            <wp:positionV relativeFrom="margin">
              <wp:posOffset>50165</wp:posOffset>
            </wp:positionV>
            <wp:extent cx="5401687" cy="2438400"/>
            <wp:effectExtent l="0" t="0" r="889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" r="844"/>
                    <a:stretch/>
                  </pic:blipFill>
                  <pic:spPr bwMode="auto">
                    <a:xfrm>
                      <a:off x="0" y="0"/>
                      <a:ext cx="5401687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547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>Supplementary Figure 3.</w:t>
      </w:r>
      <w:r w:rsidR="0075030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Barrier integrity of NMEs monolayer after co-culturing </w:t>
      </w:r>
      <w:bookmarkStart w:id="0" w:name="_GoBack"/>
      <w:bookmarkEnd w:id="0"/>
      <w:r w:rsidR="0075030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with DCs and PEDV.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 w:rsidR="00F80B71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>Morphology of clusters DCs cells (left)</w:t>
      </w:r>
      <w:r w:rsidR="0086262E">
        <w:rPr>
          <w:rFonts w:ascii="Times New Roman" w:eastAsia="Arial Unicode MS" w:hAnsi="Times New Roman" w:cs="Times New Roman"/>
          <w:sz w:val="24"/>
          <w:szCs w:val="24"/>
        </w:rPr>
        <w:t>,</w:t>
      </w:r>
      <w:r w:rsidR="00750303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>immature (Middle) and mature DCs (right) were analyzed via microscopy after 6 days of culture.</w:t>
      </w:r>
      <w:r w:rsidR="00750303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="0086262E" w:rsidRPr="00C138EA">
        <w:rPr>
          <w:rFonts w:ascii="Times New Roman" w:eastAsia="Arial Unicode MS" w:hAnsi="Times New Roman" w:cs="Times New Roman"/>
          <w:sz w:val="24"/>
          <w:szCs w:val="24"/>
        </w:rPr>
        <w:t>,</w:t>
      </w:r>
      <w:r w:rsidR="00750303" w:rsidRPr="00C138E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F95473" w:rsidRPr="00C138EA">
        <w:rPr>
          <w:rFonts w:ascii="Times New Roman" w:eastAsia="Arial Unicode MS" w:hAnsi="Times New Roman" w:cs="Times New Roman"/>
          <w:b/>
          <w:sz w:val="24"/>
          <w:szCs w:val="24"/>
        </w:rPr>
        <w:t>d</w:t>
      </w:r>
      <w:r w:rsidR="00750303" w:rsidRPr="00C138E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8626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>After DCs seeding, the co-cultured model was incubated with medium, PEDV, and EDTA (12.5mM).</w:t>
      </w:r>
      <w:r w:rsidR="008626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>c</w:t>
      </w:r>
      <w:r w:rsidR="008626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>Tight junction protein ZO-1 (Red) was detected by Immunofluorescence.</w:t>
      </w:r>
      <w:r w:rsidR="0086262E" w:rsidRPr="00C138EA">
        <w:rPr>
          <w:rFonts w:ascii="Times New Roman" w:eastAsia="Arial Unicode MS" w:hAnsi="Times New Roman" w:cs="Times New Roman"/>
          <w:b/>
          <w:sz w:val="24"/>
          <w:szCs w:val="24"/>
        </w:rPr>
        <w:t xml:space="preserve"> d 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TEER was measured using a </w:t>
      </w:r>
      <w:proofErr w:type="spellStart"/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>voltohmmeter</w:t>
      </w:r>
      <w:proofErr w:type="spellEnd"/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at different times.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Bars: 20 </w:t>
      </w:r>
      <w:proofErr w:type="spellStart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μm</w:t>
      </w:r>
      <w:proofErr w:type="spellEnd"/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.</w:t>
      </w:r>
      <w:r w:rsidR="00750303" w:rsidRPr="00DC167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50303" w:rsidRPr="00DC1677">
        <w:rPr>
          <w:rFonts w:ascii="Times New Roman" w:eastAsia="Arial Unicode MS" w:hAnsi="Times New Roman" w:cs="Times New Roman"/>
          <w:bCs/>
          <w:sz w:val="24"/>
          <w:szCs w:val="24"/>
        </w:rPr>
        <w:t>Data express mean ± SD from three samples.</w:t>
      </w:r>
    </w:p>
    <w:p w:rsidR="00F80A15" w:rsidRPr="00DC1677" w:rsidRDefault="00F80A15">
      <w:pPr>
        <w:widowControl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DC1677"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:rsidR="00316546" w:rsidRDefault="002B42DD">
      <w:pPr>
        <w:widowControl/>
        <w:jc w:val="left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6D45BC2A">
            <wp:simplePos x="0" y="0"/>
            <wp:positionH relativeFrom="margin">
              <wp:posOffset>-31115</wp:posOffset>
            </wp:positionH>
            <wp:positionV relativeFrom="margin">
              <wp:posOffset>62865</wp:posOffset>
            </wp:positionV>
            <wp:extent cx="5295900" cy="226885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3" b="5586"/>
                    <a:stretch/>
                  </pic:blipFill>
                  <pic:spPr bwMode="auto">
                    <a:xfrm>
                      <a:off x="0" y="0"/>
                      <a:ext cx="529590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0A15" w:rsidRPr="00F43760" w:rsidRDefault="00F80A15">
      <w:pPr>
        <w:widowControl/>
        <w:jc w:val="left"/>
        <w:rPr>
          <w:rFonts w:ascii="Times New Roman" w:eastAsia="Arial Unicode MS" w:hAnsi="Times New Roman" w:cs="Times New Roman"/>
          <w:b/>
          <w:bCs/>
          <w:noProof/>
          <w:sz w:val="24"/>
          <w:szCs w:val="24"/>
        </w:rPr>
      </w:pPr>
      <w:bookmarkStart w:id="1" w:name="_Hlk519763476"/>
      <w:r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Supplementary Figure </w:t>
      </w:r>
      <w:r w:rsidR="003A2DC9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>4</w:t>
      </w:r>
      <w:r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bookmarkEnd w:id="1"/>
      <w:r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856E92">
        <w:rPr>
          <w:rFonts w:ascii="Times New Roman" w:eastAsia="Arial Unicode MS" w:hAnsi="Times New Roman" w:cs="Times New Roman"/>
          <w:bCs/>
          <w:sz w:val="24"/>
          <w:szCs w:val="24"/>
        </w:rPr>
        <w:t>Full western blots. Blots for Figures 1 d(a), and 5e (</w:t>
      </w:r>
      <w:r w:rsidR="003A2DC9" w:rsidRPr="00856E92">
        <w:rPr>
          <w:rFonts w:ascii="Times New Roman" w:eastAsia="Arial Unicode MS" w:hAnsi="Times New Roman" w:cs="Times New Roman"/>
          <w:bCs/>
          <w:sz w:val="24"/>
          <w:szCs w:val="24"/>
        </w:rPr>
        <w:t>b</w:t>
      </w:r>
      <w:r w:rsidRPr="00856E92">
        <w:rPr>
          <w:rFonts w:ascii="Times New Roman" w:eastAsia="Arial Unicode MS" w:hAnsi="Times New Roman" w:cs="Times New Roman"/>
          <w:bCs/>
          <w:sz w:val="24"/>
          <w:szCs w:val="24"/>
        </w:rPr>
        <w:t>).</w:t>
      </w:r>
      <w:r w:rsidR="004D3DE0">
        <w:rPr>
          <w:rFonts w:ascii="Times New Roman" w:eastAsia="Arial Unicode MS" w:hAnsi="Times New Roman" w:cs="Times New Roman"/>
          <w:bCs/>
          <w:sz w:val="24"/>
          <w:szCs w:val="24"/>
        </w:rPr>
        <w:t xml:space="preserve">  </w:t>
      </w:r>
    </w:p>
    <w:p w:rsidR="00F80A15" w:rsidRPr="00DC1677" w:rsidRDefault="00F80A15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C1677"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:rsidR="003A2DC9" w:rsidRPr="00DC1677" w:rsidRDefault="006207F6" w:rsidP="00DC1677">
      <w:pPr>
        <w:widowControl/>
        <w:spacing w:line="360" w:lineRule="auto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6229350</wp:posOffset>
                </wp:positionV>
                <wp:extent cx="376518" cy="268941"/>
                <wp:effectExtent l="0" t="0" r="508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8" cy="2689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B1536" id="矩形 5" o:spid="_x0000_s1026" style="position:absolute;left:0;text-align:left;margin-left:245.7pt;margin-top:490.5pt;width:29.65pt;height:2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" fillcolor="white [3212]" stroked="f" strokeweight="1pt"/>
            </w:pict>
          </mc:Fallback>
        </mc:AlternateContent>
      </w:r>
      <w:r w:rsidR="00DC1677" w:rsidRPr="00DC1677">
        <w:rPr>
          <w:rFonts w:ascii="Times New Roman" w:eastAsia="Arial Unicode MS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75565</wp:posOffset>
            </wp:positionV>
            <wp:extent cx="5274945" cy="7154545"/>
            <wp:effectExtent l="0" t="0" r="1905" b="825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1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2DC9" w:rsidRPr="00DC1677">
        <w:rPr>
          <w:rFonts w:ascii="Times New Roman" w:eastAsia="Arial Unicode MS" w:hAnsi="Times New Roman" w:cs="Times New Roman"/>
          <w:b/>
          <w:bCs/>
          <w:sz w:val="24"/>
          <w:szCs w:val="24"/>
        </w:rPr>
        <w:t>Supplementary Figure 5. Schematic gating strategy of flow cytometry.</w:t>
      </w:r>
      <w:r w:rsidR="001A7C2F" w:rsidRPr="00DC1677">
        <w:rPr>
          <w:rFonts w:ascii="Times New Roman" w:eastAsia="Arial Unicode MS" w:hAnsi="Times New Roman" w:cs="Times New Roman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Gating strategies used for cell sorting. </w:t>
      </w:r>
      <w:r w:rsidR="0086262E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Relates to Fig. </w:t>
      </w:r>
      <w:r w:rsidR="0086262E">
        <w:rPr>
          <w:rFonts w:ascii="Times New Roman" w:eastAsia="Arial Unicode MS" w:hAnsi="Times New Roman" w:cs="Times New Roman"/>
          <w:kern w:val="0"/>
          <w:sz w:val="24"/>
          <w:szCs w:val="24"/>
        </w:rPr>
        <w:t>2b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.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86262E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>b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Relates to Fig. 4a.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86262E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Relates to Fig. 4d and 5f.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86262E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>d</w:t>
      </w:r>
      <w:r w:rsidR="001A7C2F" w:rsidRPr="0086262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Relates to Fig. 6a.</w:t>
      </w:r>
      <w:r w:rsidR="001A7C2F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262E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>e</w:t>
      </w:r>
      <w:proofErr w:type="spellEnd"/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Relates to Fig. 6c.</w:t>
      </w:r>
      <w:r w:rsidR="001A7C2F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86262E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>f</w:t>
      </w:r>
      <w:r w:rsidR="001A7C2F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Relates to Fig. fc.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C138EA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>g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Relates to Fig. 7a.</w:t>
      </w:r>
      <w:r w:rsidR="001A7C2F" w:rsidRPr="00DC167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C138EA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>h</w:t>
      </w:r>
      <w:r w:rsidR="001A7C2F" w:rsidRPr="00C138E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1A7C2F" w:rsidRPr="00DC1677">
        <w:rPr>
          <w:rFonts w:ascii="Times New Roman" w:eastAsia="Arial Unicode MS" w:hAnsi="Times New Roman" w:cs="Times New Roman"/>
          <w:kern w:val="0"/>
          <w:sz w:val="24"/>
          <w:szCs w:val="24"/>
        </w:rPr>
        <w:t>Relates to Fig. 7e.</w:t>
      </w:r>
    </w:p>
    <w:p w:rsidR="00F80A15" w:rsidRPr="00DC1677" w:rsidRDefault="00DC1677" w:rsidP="00DC1677">
      <w:pPr>
        <w:widowControl/>
        <w:spacing w:afterLines="50" w:after="156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C1677"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  <w:r w:rsidR="00F80A15" w:rsidRPr="00DC1677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Supplementary Table 1 Primer sequences used for </w:t>
      </w:r>
      <w:proofErr w:type="spellStart"/>
      <w:r w:rsidR="00F80A15" w:rsidRPr="00DC1677">
        <w:rPr>
          <w:rFonts w:ascii="Times New Roman" w:eastAsia="宋体" w:hAnsi="Times New Roman" w:cs="Times New Roman"/>
          <w:b/>
          <w:bCs/>
          <w:sz w:val="24"/>
          <w:szCs w:val="24"/>
        </w:rPr>
        <w:t>qRT</w:t>
      </w:r>
      <w:proofErr w:type="spellEnd"/>
      <w:r w:rsidR="00F80A15" w:rsidRPr="00DC1677">
        <w:rPr>
          <w:rFonts w:ascii="Times New Roman" w:eastAsia="宋体" w:hAnsi="Times New Roman" w:cs="Times New Roman"/>
          <w:b/>
          <w:bCs/>
          <w:sz w:val="24"/>
          <w:szCs w:val="24"/>
        </w:rPr>
        <w:t>-PCR.</w:t>
      </w:r>
    </w:p>
    <w:tbl>
      <w:tblPr>
        <w:tblW w:w="5034" w:type="pct"/>
        <w:tblInd w:w="142" w:type="dxa"/>
        <w:tblLayout w:type="fixed"/>
        <w:tblLook w:val="00A0" w:firstRow="1" w:lastRow="0" w:firstColumn="1" w:lastColumn="0" w:noHBand="0" w:noVBand="0"/>
      </w:tblPr>
      <w:tblGrid>
        <w:gridCol w:w="1136"/>
        <w:gridCol w:w="3684"/>
        <w:gridCol w:w="3542"/>
      </w:tblGrid>
      <w:tr w:rsidR="00F80A15" w:rsidRPr="00DC1677" w:rsidTr="00F43760">
        <w:trPr>
          <w:trHeight w:val="928"/>
        </w:trPr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Target genes</w:t>
            </w:r>
          </w:p>
        </w:tc>
        <w:tc>
          <w:tcPr>
            <w:tcW w:w="2203" w:type="pct"/>
            <w:tcBorders>
              <w:top w:val="single" w:sz="4" w:space="0" w:color="auto"/>
              <w:bottom w:val="single" w:sz="4" w:space="0" w:color="auto"/>
            </w:tcBorders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Primer sense (</w:t>
            </w:r>
            <w:smartTag w:uri="urn:schemas-microsoft-com:office:smarttags" w:element="chmetcnv">
              <w:smartTagPr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smartTag w:uri="urn:schemas-microsoft-com:office:smarttags" w:element="chmetcnv">
                <w:smartTagPr>
                  <w:attr w:name="UnitName" w:val="’"/>
                  <w:attr w:name="SourceValue" w:val="5"/>
                  <w:attr w:name="HasSpace" w:val="False"/>
                  <w:attr w:name="Negative" w:val="False"/>
                  <w:attr w:name="NumberType" w:val="1"/>
                  <w:attr w:name="TCSC" w:val="0"/>
                </w:smartTagPr>
                <w:r w:rsidRPr="00DC1677">
                  <w:rPr>
                    <w:rFonts w:ascii="Times New Roman" w:hAnsi="Times New Roman" w:cs="Times New Roman"/>
                    <w:sz w:val="24"/>
                    <w:szCs w:val="24"/>
                  </w:rPr>
                  <w:t>5’</w:t>
                </w:r>
              </w:smartTag>
              <w:smartTag w:uri="urn:schemas-microsoft-com:office:smarttags" w:element="chmetcnv">
                <w:smartTagPr>
                  <w:attr w:name="SourceValue" w:val="3"/>
                  <w:attr w:name="HasSpace" w:val="False"/>
                  <w:attr w:name="Negative" w:val="True"/>
                  <w:attr w:name="NumberType" w:val="1"/>
                  <w:attr w:name="TCSC" w:val="0"/>
                </w:smartTagPr>
              </w:smartTag>
              <w:smartTag w:uri="urn:schemas-microsoft-com:office:smarttags" w:element="chmetcnv">
                <w:smartTagPr>
                  <w:attr w:name="SourceValue" w:val="3"/>
                  <w:attr w:name="HasSpace" w:val="False"/>
                  <w:attr w:name="Negative" w:val="True"/>
                  <w:attr w:name="NumberType" w:val="1"/>
                  <w:attr w:name="TCSC" w:val="0"/>
                </w:smartTagPr>
              </w:smartTag>
              <w:r w:rsidRPr="00DC1677">
                <w:rPr>
                  <w:rFonts w:ascii="Times New Roman" w:hAnsi="Times New Roman" w:cs="Times New Roman"/>
                  <w:sz w:val="24"/>
                  <w:szCs w:val="24"/>
                </w:rPr>
                <w:t>-3’</w:t>
              </w:r>
            </w:smartTag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8" w:type="pct"/>
            <w:tcBorders>
              <w:top w:val="single" w:sz="4" w:space="0" w:color="auto"/>
              <w:bottom w:val="single" w:sz="4" w:space="0" w:color="auto"/>
            </w:tcBorders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Primer antisense (</w:t>
            </w:r>
            <w:smartTag w:uri="urn:schemas-microsoft-com:office:smarttags" w:element="chmetcnv">
              <w:smartTagPr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smartTag w:uri="urn:schemas-microsoft-com:office:smarttags" w:element="chmetcnv">
                <w:smartTagPr>
                  <w:attr w:name="UnitName" w:val="’"/>
                  <w:attr w:name="SourceValue" w:val="5"/>
                  <w:attr w:name="HasSpace" w:val="False"/>
                  <w:attr w:name="Negative" w:val="False"/>
                  <w:attr w:name="NumberType" w:val="1"/>
                  <w:attr w:name="TCSC" w:val="0"/>
                </w:smartTagPr>
                <w:r w:rsidRPr="00DC1677">
                  <w:rPr>
                    <w:rFonts w:ascii="Times New Roman" w:hAnsi="Times New Roman" w:cs="Times New Roman"/>
                    <w:sz w:val="24"/>
                    <w:szCs w:val="24"/>
                  </w:rPr>
                  <w:t>5’</w:t>
                </w:r>
              </w:smartTag>
              <w:smartTag w:uri="urn:schemas-microsoft-com:office:smarttags" w:element="chmetcnv">
                <w:smartTagPr>
                  <w:attr w:name="UnitName" w:val="’"/>
                  <w:attr w:name="SourceValue" w:val="3"/>
                  <w:attr w:name="HasSpace" w:val="False"/>
                  <w:attr w:name="Negative" w:val="True"/>
                  <w:attr w:name="NumberType" w:val="1"/>
                  <w:attr w:name="TCSC" w:val="0"/>
                </w:smartTagPr>
                <w:smartTag w:uri="urn:schemas-microsoft-com:office:smarttags" w:element="chmetcnv">
                  <w:smartTagPr>
                    <w:attr w:name="SourceValue" w:val="3"/>
                    <w:attr w:name="HasSpace" w:val="False"/>
                    <w:attr w:name="Negative" w:val="True"/>
                    <w:attr w:name="NumberType" w:val="1"/>
                    <w:attr w:name="TCSC" w:val="0"/>
                  </w:smartTagPr>
                </w:smartTag>
                <w:smartTag w:uri="urn:schemas-microsoft-com:office:smarttags" w:element="chmetcnv">
                  <w:smartTagPr>
                    <w:attr w:name="SourceValue" w:val="3"/>
                    <w:attr w:name="HasSpace" w:val="False"/>
                    <w:attr w:name="Negative" w:val="True"/>
                    <w:attr w:name="NumberType" w:val="1"/>
                    <w:attr w:name="TCSC" w:val="0"/>
                  </w:smartTagPr>
                </w:smartTag>
                <w:r w:rsidRPr="00DC1677">
                  <w:rPr>
                    <w:rFonts w:ascii="Times New Roman" w:hAnsi="Times New Roman" w:cs="Times New Roman"/>
                    <w:sz w:val="24"/>
                    <w:szCs w:val="24"/>
                  </w:rPr>
                  <w:t>-3’</w:t>
                </w:r>
              </w:smartTag>
            </w:smartTag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tcBorders>
              <w:top w:val="single" w:sz="4" w:space="0" w:color="auto"/>
            </w:tcBorders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PEDV-M</w:t>
            </w:r>
          </w:p>
        </w:tc>
        <w:tc>
          <w:tcPr>
            <w:tcW w:w="2203" w:type="pct"/>
            <w:tcBorders>
              <w:top w:val="single" w:sz="4" w:space="0" w:color="auto"/>
            </w:tcBorders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ATGCATGGGCTAGCTTCCAG</w:t>
            </w:r>
          </w:p>
        </w:tc>
        <w:tc>
          <w:tcPr>
            <w:tcW w:w="2118" w:type="pct"/>
            <w:tcBorders>
              <w:top w:val="single" w:sz="4" w:space="0" w:color="auto"/>
            </w:tcBorders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GTAGTGAGAAGCGCGTCAGT</w:t>
            </w:r>
          </w:p>
        </w:tc>
      </w:tr>
      <w:tr w:rsidR="00F80A15" w:rsidRPr="00DC1677" w:rsidTr="00F43760">
        <w:trPr>
          <w:trHeight w:val="369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CCL4</w:t>
            </w:r>
          </w:p>
        </w:tc>
        <w:tc>
          <w:tcPr>
            <w:tcW w:w="2203" w:type="pct"/>
            <w:vAlign w:val="bottom"/>
          </w:tcPr>
          <w:p w:rsidR="00F80A15" w:rsidRPr="00DC1677" w:rsidRDefault="00F80A15" w:rsidP="00A26147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GCAAGACCATGAAGCTCTGC</w:t>
            </w:r>
          </w:p>
        </w:tc>
        <w:tc>
          <w:tcPr>
            <w:tcW w:w="2118" w:type="pct"/>
            <w:vAlign w:val="bottom"/>
          </w:tcPr>
          <w:p w:rsidR="00F80A15" w:rsidRPr="00DC1677" w:rsidRDefault="00F80A15" w:rsidP="00A26147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AAGCTTCCGCACGGTGTATG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CXCL2</w:t>
            </w:r>
          </w:p>
        </w:tc>
        <w:tc>
          <w:tcPr>
            <w:tcW w:w="2203" w:type="pct"/>
            <w:vAlign w:val="bottom"/>
          </w:tcPr>
          <w:p w:rsidR="00F80A15" w:rsidRPr="00DC1677" w:rsidRDefault="00F80A15" w:rsidP="00A26147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CCGTGCAAGGAATTCACCTC</w:t>
            </w:r>
          </w:p>
        </w:tc>
        <w:tc>
          <w:tcPr>
            <w:tcW w:w="2118" w:type="pct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TGCGGGGTTGAGACAAACTT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CCL25</w:t>
            </w:r>
          </w:p>
        </w:tc>
        <w:tc>
          <w:tcPr>
            <w:tcW w:w="2203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GCCTACCACAGCCACATTAAG</w:t>
            </w:r>
          </w:p>
        </w:tc>
        <w:tc>
          <w:tcPr>
            <w:tcW w:w="2118" w:type="pct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GCTTCCCGCACACCATCTT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 xml:space="preserve">CCL20 </w:t>
            </w:r>
          </w:p>
        </w:tc>
        <w:tc>
          <w:tcPr>
            <w:tcW w:w="2203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GGTGCTGCTGCTCTACCTCT</w:t>
            </w:r>
          </w:p>
        </w:tc>
        <w:tc>
          <w:tcPr>
            <w:tcW w:w="2118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GCTGTGTGAAGCCCATGATA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CCL5</w:t>
            </w:r>
          </w:p>
        </w:tc>
        <w:tc>
          <w:tcPr>
            <w:tcW w:w="2203" w:type="pct"/>
            <w:vAlign w:val="bottom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ATCAGCCTCCCCATATGCCT</w:t>
            </w:r>
          </w:p>
        </w:tc>
        <w:tc>
          <w:tcPr>
            <w:tcW w:w="2118" w:type="pct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CCGCACCCATTTCTTCTCTG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 xml:space="preserve">CCL3L1 </w:t>
            </w:r>
          </w:p>
        </w:tc>
        <w:tc>
          <w:tcPr>
            <w:tcW w:w="2203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CTTCCTCGCAAATTCGTAGC</w:t>
            </w:r>
          </w:p>
        </w:tc>
        <w:tc>
          <w:tcPr>
            <w:tcW w:w="2118" w:type="pct"/>
            <w:vAlign w:val="bottom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GCATTCAGCTCCAGGTCAG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CCL22</w:t>
            </w:r>
          </w:p>
        </w:tc>
        <w:tc>
          <w:tcPr>
            <w:tcW w:w="2203" w:type="pct"/>
            <w:vAlign w:val="bottom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TTACAGCTGCTCCCTGACAC</w:t>
            </w:r>
          </w:p>
        </w:tc>
        <w:tc>
          <w:tcPr>
            <w:tcW w:w="2118" w:type="pct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TGGATTGGAAGGGTAAGAGG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</w:tc>
        <w:tc>
          <w:tcPr>
            <w:tcW w:w="2203" w:type="pct"/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GCGGCTGATGAGCTACAGAAG</w:t>
            </w:r>
          </w:p>
        </w:tc>
        <w:tc>
          <w:tcPr>
            <w:tcW w:w="2118" w:type="pct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CCGCGATGGTCTTGAAGATC</w:t>
            </w:r>
          </w:p>
        </w:tc>
      </w:tr>
      <w:tr w:rsidR="00F80A15" w:rsidRPr="00DC1677" w:rsidTr="00F43760">
        <w:trPr>
          <w:trHeight w:val="368"/>
        </w:trPr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2203" w:type="pct"/>
            <w:tcBorders>
              <w:bottom w:val="single" w:sz="4" w:space="0" w:color="auto"/>
            </w:tcBorders>
            <w:vAlign w:val="center"/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TCATCATCTCTGCCCCTTCT</w:t>
            </w:r>
          </w:p>
        </w:tc>
        <w:tc>
          <w:tcPr>
            <w:tcW w:w="2118" w:type="pct"/>
            <w:tcBorders>
              <w:bottom w:val="single" w:sz="4" w:space="0" w:color="auto"/>
            </w:tcBorders>
          </w:tcPr>
          <w:p w:rsidR="00F80A15" w:rsidRPr="00DC1677" w:rsidRDefault="00F80A15" w:rsidP="00A261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677">
              <w:rPr>
                <w:rFonts w:ascii="Times New Roman" w:hAnsi="Times New Roman" w:cs="Times New Roman"/>
                <w:sz w:val="24"/>
                <w:szCs w:val="24"/>
              </w:rPr>
              <w:t>GTCATGAGTCCCTCCACGAT</w:t>
            </w:r>
          </w:p>
        </w:tc>
      </w:tr>
    </w:tbl>
    <w:p w:rsidR="00F80A15" w:rsidRPr="00DC1677" w:rsidRDefault="00F80A15" w:rsidP="00F80A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80A15" w:rsidRPr="00DC1677" w:rsidRDefault="00F80A15" w:rsidP="00F80A15">
      <w:pPr>
        <w:rPr>
          <w:rFonts w:ascii="Times New Roman" w:hAnsi="Times New Roman" w:cs="Times New Roman"/>
          <w:sz w:val="24"/>
          <w:szCs w:val="24"/>
        </w:rPr>
      </w:pPr>
    </w:p>
    <w:p w:rsidR="00F80A15" w:rsidRPr="00DC1677" w:rsidRDefault="00F80A15" w:rsidP="00F80A15">
      <w:pPr>
        <w:rPr>
          <w:rFonts w:ascii="Times New Roman" w:hAnsi="Times New Roman" w:cs="Times New Roman"/>
          <w:sz w:val="24"/>
          <w:szCs w:val="24"/>
        </w:rPr>
      </w:pPr>
    </w:p>
    <w:p w:rsidR="00F80A15" w:rsidRPr="00DC1677" w:rsidRDefault="00F80A15" w:rsidP="007503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A902F3" w:rsidRPr="00DC1677" w:rsidRDefault="00A902F3" w:rsidP="00750303">
      <w:pPr>
        <w:rPr>
          <w:rFonts w:ascii="Times New Roman" w:hAnsi="Times New Roman" w:cs="Times New Roman"/>
          <w:sz w:val="24"/>
          <w:szCs w:val="24"/>
        </w:rPr>
      </w:pPr>
    </w:p>
    <w:sectPr w:rsidR="00A902F3" w:rsidRPr="00DC1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5CA" w:rsidRDefault="00B915CA" w:rsidP="00F32857">
      <w:r>
        <w:separator/>
      </w:r>
    </w:p>
  </w:endnote>
  <w:endnote w:type="continuationSeparator" w:id="0">
    <w:p w:rsidR="00B915CA" w:rsidRDefault="00B915CA" w:rsidP="00F3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5CA" w:rsidRDefault="00B915CA" w:rsidP="00F32857">
      <w:r>
        <w:separator/>
      </w:r>
    </w:p>
  </w:footnote>
  <w:footnote w:type="continuationSeparator" w:id="0">
    <w:p w:rsidR="00B915CA" w:rsidRDefault="00B915CA" w:rsidP="00F32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303"/>
    <w:rsid w:val="000F79E5"/>
    <w:rsid w:val="001A7C2F"/>
    <w:rsid w:val="00253F64"/>
    <w:rsid w:val="0025510D"/>
    <w:rsid w:val="002B42DD"/>
    <w:rsid w:val="002D3A41"/>
    <w:rsid w:val="00316546"/>
    <w:rsid w:val="003209B4"/>
    <w:rsid w:val="003235D0"/>
    <w:rsid w:val="003620D9"/>
    <w:rsid w:val="003A2DC9"/>
    <w:rsid w:val="003A7859"/>
    <w:rsid w:val="00447EB2"/>
    <w:rsid w:val="004D3DE0"/>
    <w:rsid w:val="004E4CD1"/>
    <w:rsid w:val="006207F6"/>
    <w:rsid w:val="00683E4C"/>
    <w:rsid w:val="006A6DE1"/>
    <w:rsid w:val="006D6367"/>
    <w:rsid w:val="00722E22"/>
    <w:rsid w:val="00750303"/>
    <w:rsid w:val="007B496B"/>
    <w:rsid w:val="008237D3"/>
    <w:rsid w:val="00856E92"/>
    <w:rsid w:val="0086262E"/>
    <w:rsid w:val="008E1D38"/>
    <w:rsid w:val="008F3D46"/>
    <w:rsid w:val="00A33B98"/>
    <w:rsid w:val="00A52656"/>
    <w:rsid w:val="00A902F3"/>
    <w:rsid w:val="00AA0D14"/>
    <w:rsid w:val="00AC03FC"/>
    <w:rsid w:val="00B915CA"/>
    <w:rsid w:val="00BA6344"/>
    <w:rsid w:val="00C138EA"/>
    <w:rsid w:val="00C7693D"/>
    <w:rsid w:val="00CD0CE8"/>
    <w:rsid w:val="00D641C0"/>
    <w:rsid w:val="00D91BA9"/>
    <w:rsid w:val="00DC1677"/>
    <w:rsid w:val="00F32857"/>
    <w:rsid w:val="00F43760"/>
    <w:rsid w:val="00F44849"/>
    <w:rsid w:val="00F80A15"/>
    <w:rsid w:val="00F80B71"/>
    <w:rsid w:val="00F95473"/>
    <w:rsid w:val="00FB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C73D89-7774-4D43-BBF7-CD1F4DD2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8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857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D3DE0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4D3DE0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4D3DE0"/>
  </w:style>
  <w:style w:type="paragraph" w:styleId="aa">
    <w:name w:val="annotation subject"/>
    <w:basedOn w:val="a8"/>
    <w:next w:val="a8"/>
    <w:link w:val="ab"/>
    <w:uiPriority w:val="99"/>
    <w:semiHidden/>
    <w:unhideWhenUsed/>
    <w:rsid w:val="004D3DE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D3DE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D3DE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D3D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432</Words>
  <Characters>2464</Characters>
  <Application>Microsoft Office Word</Application>
  <DocSecurity>0</DocSecurity>
  <Lines>20</Lines>
  <Paragraphs>5</Paragraphs>
  <ScaleCrop>false</ScaleCrop>
  <Company>微软中国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li yuchen</cp:lastModifiedBy>
  <cp:revision>2</cp:revision>
  <dcterms:created xsi:type="dcterms:W3CDTF">2018-07-26T10:49:00Z</dcterms:created>
  <dcterms:modified xsi:type="dcterms:W3CDTF">2018-07-26T10:49:00Z</dcterms:modified>
</cp:coreProperties>
</file>