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59A67" w14:textId="77777777" w:rsidR="0083202B" w:rsidRPr="00106E21" w:rsidRDefault="0083202B" w:rsidP="00106E21">
      <w:pPr>
        <w:jc w:val="both"/>
        <w:rPr>
          <w:rFonts w:ascii="Times New Roman" w:hAnsi="Times New Roman" w:cs="Times New Roman"/>
          <w:b/>
        </w:rPr>
      </w:pPr>
      <w:r w:rsidRPr="00106E21">
        <w:rPr>
          <w:rFonts w:ascii="Times New Roman" w:hAnsi="Times New Roman" w:cs="Times New Roman"/>
          <w:b/>
        </w:rPr>
        <w:t>Description of Additional Supplementary Files</w:t>
      </w:r>
    </w:p>
    <w:p w14:paraId="117E09CB" w14:textId="77777777" w:rsidR="004E49DA" w:rsidRPr="00106E21" w:rsidRDefault="004E49DA" w:rsidP="00106E21">
      <w:pPr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5387E69" w14:textId="77777777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</w:t>
      </w:r>
    </w:p>
    <w:p w14:paraId="13438271" w14:textId="4B35356E" w:rsidR="00EC21A1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="00106E21">
        <w:rPr>
          <w:rFonts w:ascii="Times New Roman" w:hAnsi="Times New Roman" w:cs="Times New Roman"/>
        </w:rPr>
        <w:t xml:space="preserve">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v1 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E14.5 </w:t>
      </w:r>
      <w:r w:rsidR="00B119B8" w:rsidRPr="00106E21">
        <w:rPr>
          <w:rFonts w:ascii="Times New Roman" w:hAnsi="Times New Roman" w:cs="Times New Roman"/>
          <w:color w:val="000000" w:themeColor="text1"/>
        </w:rPr>
        <w:t>batch 1 and b</w:t>
      </w:r>
      <w:r w:rsidR="004C0ACF" w:rsidRPr="00106E21">
        <w:rPr>
          <w:rFonts w:ascii="Times New Roman" w:hAnsi="Times New Roman" w:cs="Times New Roman"/>
          <w:color w:val="000000" w:themeColor="text1"/>
        </w:rPr>
        <w:t>atch 2 clusters, including all cells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. Genes greater than 2-fold differentially expressed are shown (Gene Name) for each cluster (Cluster ID) in the dataset. The fold change calculated with Seurat’s 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EC21A1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 </w:t>
      </w:r>
      <w:bookmarkStart w:id="0" w:name="_GoBack"/>
      <w:bookmarkEnd w:id="0"/>
    </w:p>
    <w:p w14:paraId="45CB434E" w14:textId="21E1F016" w:rsidR="004C0ACF" w:rsidRPr="00106E21" w:rsidRDefault="004C0ACF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E112D85" w14:textId="1C71C2F1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2</w:t>
      </w:r>
    </w:p>
    <w:p w14:paraId="276CE33E" w14:textId="4F0F3D16" w:rsidR="004C0ACF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 xml:space="preserve">Description: 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v1 E14.5 </w:t>
      </w:r>
      <w:r w:rsidR="00B119B8" w:rsidRPr="00106E21">
        <w:rPr>
          <w:rFonts w:ascii="Times New Roman" w:hAnsi="Times New Roman" w:cs="Times New Roman"/>
          <w:color w:val="000000" w:themeColor="text1"/>
        </w:rPr>
        <w:t>batch 1 and b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atch 2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mesenchymal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clusters. Genes greater than 2-fold differentially expressed are shown (Gene Name) for each cluster (Cluster ID) in the dataset. The fold change calculated with Seurat’s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4C0ACF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 </w:t>
      </w:r>
    </w:p>
    <w:p w14:paraId="4AA043E0" w14:textId="0158CF7B" w:rsidR="0051425F" w:rsidRPr="00106E21" w:rsidRDefault="0051425F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4179E67" w14:textId="1F4E3FE1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3</w:t>
      </w:r>
    </w:p>
    <w:p w14:paraId="249FDBB5" w14:textId="2924C510" w:rsidR="0051425F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 xml:space="preserve">Description: </w:t>
      </w:r>
      <w:r w:rsidR="0051425F" w:rsidRPr="00106E21">
        <w:rPr>
          <w:rFonts w:ascii="Times New Roman" w:hAnsi="Times New Roman" w:cs="Times New Roman"/>
          <w:color w:val="000000" w:themeColor="text1"/>
        </w:rPr>
        <w:t xml:space="preserve">Pathway analysis of E14.5 batch 1 and batch 2 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mesenchymal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 xml:space="preserve"> clusters. Column “Cluster ID” identifies 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mesenchymal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 xml:space="preserve"> cluster being analyzed. Calculation of associated p-and q-values were performed using 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ConsensusPathDB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 xml:space="preserve"> over-representation analysis. Pathways with -</w:t>
      </w:r>
      <w:proofErr w:type="gramStart"/>
      <w:r w:rsidR="0051425F" w:rsidRPr="00106E21">
        <w:rPr>
          <w:rFonts w:ascii="Times New Roman" w:hAnsi="Times New Roman" w:cs="Times New Roman"/>
          <w:color w:val="000000" w:themeColor="text1"/>
        </w:rPr>
        <w:t>log(</w:t>
      </w:r>
      <w:proofErr w:type="gramEnd"/>
      <w:r w:rsidR="0051425F" w:rsidRPr="00106E21">
        <w:rPr>
          <w:rFonts w:ascii="Times New Roman" w:hAnsi="Times New Roman" w:cs="Times New Roman"/>
          <w:color w:val="000000" w:themeColor="text1"/>
        </w:rPr>
        <w:t>p-value) greater than 2.0 are shown. Highlighted pathways are those that are displayed in Figure 2d.  Column “source” lists the database from which the indicated pathway derives, and “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external_id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>” lists the pathway identifiers. Columns “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members_input_overlap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>” and “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members_input_overlap_geneids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 xml:space="preserve">” denote the pathway-specific genes and gene IDs that are overrepresented in the specified cluster. The “size” represents the number of genes in each 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ConsensusPathDB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 xml:space="preserve"> pathway set. The “</w:t>
      </w:r>
      <w:proofErr w:type="spellStart"/>
      <w:r w:rsidR="0051425F" w:rsidRPr="00106E21">
        <w:rPr>
          <w:rFonts w:ascii="Times New Roman" w:hAnsi="Times New Roman" w:cs="Times New Roman"/>
          <w:color w:val="000000" w:themeColor="text1"/>
        </w:rPr>
        <w:t>effective_size</w:t>
      </w:r>
      <w:proofErr w:type="spellEnd"/>
      <w:r w:rsidR="0051425F" w:rsidRPr="00106E21">
        <w:rPr>
          <w:rFonts w:ascii="Times New Roman" w:hAnsi="Times New Roman" w:cs="Times New Roman"/>
          <w:color w:val="000000" w:themeColor="text1"/>
        </w:rPr>
        <w:t>” is the corrected size after filtering for genes that are annotated with an ID of the user-specified ID type.</w:t>
      </w:r>
    </w:p>
    <w:p w14:paraId="73224BD4" w14:textId="24C20950" w:rsidR="004C0ACF" w:rsidRPr="00106E21" w:rsidRDefault="004C0ACF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BDFD8F6" w14:textId="77C60401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4</w:t>
      </w:r>
    </w:p>
    <w:p w14:paraId="0D2114C5" w14:textId="4B1F2F12" w:rsidR="004C0ACF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 Differentially-expressed genes of v1 merged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timecourse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(E12.5, E14.5</w:t>
      </w:r>
      <w:r w:rsidR="00B119B8" w:rsidRPr="00106E21">
        <w:rPr>
          <w:rFonts w:ascii="Times New Roman" w:hAnsi="Times New Roman" w:cs="Times New Roman"/>
          <w:color w:val="000000" w:themeColor="text1"/>
        </w:rPr>
        <w:t xml:space="preserve"> b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atch 1, E14.5 </w:t>
      </w:r>
      <w:r w:rsidR="00B119B8" w:rsidRPr="00106E21">
        <w:rPr>
          <w:rFonts w:ascii="Times New Roman" w:hAnsi="Times New Roman" w:cs="Times New Roman"/>
          <w:color w:val="000000" w:themeColor="text1"/>
        </w:rPr>
        <w:t>b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atch 2, and E17.5)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mesenchymal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clusters. Genes greater than 2-fold differentially expressed are shown (Gene Name) for each cluster (Cluster ID) in the dataset. The fold change calculated with Seurat’s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4C0ACF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 </w:t>
      </w:r>
    </w:p>
    <w:p w14:paraId="668E1AEC" w14:textId="74ABB08A" w:rsidR="004C0ACF" w:rsidRPr="00106E21" w:rsidRDefault="004C0ACF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F6DACB1" w14:textId="6AB61505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5</w:t>
      </w:r>
    </w:p>
    <w:p w14:paraId="200FB033" w14:textId="3D86E9ED" w:rsidR="004C0ACF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4C0ACF" w:rsidRPr="00106E21">
        <w:rPr>
          <w:rFonts w:ascii="Times New Roman" w:hAnsi="Times New Roman" w:cs="Times New Roman"/>
          <w:color w:val="000000" w:themeColor="text1"/>
        </w:rPr>
        <w:t>Differentially-expressed genes of v1 E14.5</w:t>
      </w:r>
      <w:r w:rsidR="00B119B8" w:rsidRPr="00106E21">
        <w:rPr>
          <w:rFonts w:ascii="Times New Roman" w:hAnsi="Times New Roman" w:cs="Times New Roman"/>
          <w:color w:val="000000" w:themeColor="text1"/>
        </w:rPr>
        <w:t xml:space="preserve"> b</w:t>
      </w:r>
      <w:r w:rsidR="004C0ACF" w:rsidRPr="00106E21">
        <w:rPr>
          <w:rFonts w:ascii="Times New Roman" w:hAnsi="Times New Roman" w:cs="Times New Roman"/>
          <w:color w:val="000000" w:themeColor="text1"/>
        </w:rPr>
        <w:t>atch 1 and</w:t>
      </w:r>
      <w:r w:rsidR="00B119B8" w:rsidRPr="00106E21">
        <w:rPr>
          <w:rFonts w:ascii="Times New Roman" w:hAnsi="Times New Roman" w:cs="Times New Roman"/>
          <w:color w:val="000000" w:themeColor="text1"/>
        </w:rPr>
        <w:t xml:space="preserve"> b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atch 2 epithelial clusters. Genes greater than 2-fold differentially expressed are shown (Gene Name) for each cluster (Cluster ID) in the dataset. The fold change calculated with Seurat’s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4C0ACF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 </w:t>
      </w:r>
    </w:p>
    <w:p w14:paraId="5577D294" w14:textId="70D64FEB" w:rsidR="0072018D" w:rsidRPr="00106E21" w:rsidRDefault="0072018D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81E2FDA" w14:textId="53D47994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6</w:t>
      </w:r>
    </w:p>
    <w:p w14:paraId="68C4CBED" w14:textId="191EB303" w:rsidR="0072018D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72018D" w:rsidRPr="00106E21">
        <w:rPr>
          <w:rFonts w:ascii="Times New Roman" w:hAnsi="Times New Roman" w:cs="Times New Roman"/>
          <w:color w:val="000000" w:themeColor="text1"/>
        </w:rPr>
        <w:t xml:space="preserve">Pathway analysis of E14.5 batch 1 and batch 2 Ngn3+ and 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Fev</w:t>
      </w:r>
      <w:r w:rsidR="0072018D" w:rsidRPr="00106E21">
        <w:rPr>
          <w:rFonts w:ascii="Times New Roman" w:hAnsi="Times New Roman" w:cs="Times New Roman"/>
          <w:color w:val="000000" w:themeColor="text1"/>
          <w:vertAlign w:val="superscript"/>
        </w:rPr>
        <w:t>Hi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 xml:space="preserve"> clusters. Column “Cluster ID” identifies cluster being analyzed. Calculation of associated p-and q-values were performed using 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ConsensusPathDB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 xml:space="preserve"> over-representation analysis. Pathways with -</w:t>
      </w:r>
      <w:proofErr w:type="gramStart"/>
      <w:r w:rsidR="0072018D" w:rsidRPr="00106E21">
        <w:rPr>
          <w:rFonts w:ascii="Times New Roman" w:hAnsi="Times New Roman" w:cs="Times New Roman"/>
          <w:color w:val="000000" w:themeColor="text1"/>
        </w:rPr>
        <w:t>log(</w:t>
      </w:r>
      <w:proofErr w:type="gramEnd"/>
      <w:r w:rsidR="0072018D" w:rsidRPr="00106E21">
        <w:rPr>
          <w:rFonts w:ascii="Times New Roman" w:hAnsi="Times New Roman" w:cs="Times New Roman"/>
          <w:color w:val="000000" w:themeColor="text1"/>
        </w:rPr>
        <w:t xml:space="preserve">p-value) </w:t>
      </w:r>
      <w:r w:rsidR="0072018D" w:rsidRPr="00106E21">
        <w:rPr>
          <w:rFonts w:ascii="Times New Roman" w:hAnsi="Times New Roman" w:cs="Times New Roman"/>
          <w:color w:val="000000" w:themeColor="text1"/>
        </w:rPr>
        <w:lastRenderedPageBreak/>
        <w:t>greater than 2.0 are shown. Highlighted pathways are those that are displayed in Figure 4e.  Column “source” lists the database from which the indicated pathway derives, and “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external_id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>” lists the pathway identifiers. Columns “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members_input_overlap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>” and “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members_input_overlap_geneids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 xml:space="preserve">” denote the pathway-specific genes and gene IDs that are overrepresented in the specified cluster. The “size” represents the number of genes in each 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ConsensusPathDB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 xml:space="preserve"> pathway set. The “</w:t>
      </w:r>
      <w:proofErr w:type="spellStart"/>
      <w:r w:rsidR="0072018D" w:rsidRPr="00106E21">
        <w:rPr>
          <w:rFonts w:ascii="Times New Roman" w:hAnsi="Times New Roman" w:cs="Times New Roman"/>
          <w:color w:val="000000" w:themeColor="text1"/>
        </w:rPr>
        <w:t>effective_size</w:t>
      </w:r>
      <w:proofErr w:type="spellEnd"/>
      <w:r w:rsidR="0072018D" w:rsidRPr="00106E21">
        <w:rPr>
          <w:rFonts w:ascii="Times New Roman" w:hAnsi="Times New Roman" w:cs="Times New Roman"/>
          <w:color w:val="000000" w:themeColor="text1"/>
        </w:rPr>
        <w:t>” is the corrected size after filtering for genes that are annotated with an ID of the user-specified ID type</w:t>
      </w:r>
      <w:r w:rsidR="0072018D" w:rsidRPr="00106E21">
        <w:rPr>
          <w:rFonts w:ascii="Times New Roman" w:hAnsi="Times New Roman" w:cs="Times New Roman"/>
        </w:rPr>
        <w:t>.</w:t>
      </w:r>
    </w:p>
    <w:p w14:paraId="7B715A23" w14:textId="469BFC4E" w:rsidR="004C0ACF" w:rsidRPr="00106E21" w:rsidRDefault="004C0ACF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148E9E3" w14:textId="5DE89976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7</w:t>
      </w:r>
    </w:p>
    <w:p w14:paraId="3748F3A3" w14:textId="054167A9" w:rsidR="004C0ACF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4C0ACF" w:rsidRPr="00106E21">
        <w:rPr>
          <w:rFonts w:ascii="Times New Roman" w:hAnsi="Times New Roman" w:cs="Times New Roman"/>
          <w:color w:val="000000" w:themeColor="text1"/>
        </w:rPr>
        <w:t>Differentially-expressed genes of v1 E14.5</w:t>
      </w:r>
      <w:r w:rsidR="00B119B8" w:rsidRPr="00106E21">
        <w:rPr>
          <w:rFonts w:ascii="Times New Roman" w:hAnsi="Times New Roman" w:cs="Times New Roman"/>
          <w:color w:val="000000" w:themeColor="text1"/>
        </w:rPr>
        <w:t xml:space="preserve"> b</w:t>
      </w:r>
      <w:r w:rsidR="004C0ACF" w:rsidRPr="00106E21">
        <w:rPr>
          <w:rFonts w:ascii="Times New Roman" w:hAnsi="Times New Roman" w:cs="Times New Roman"/>
          <w:color w:val="000000" w:themeColor="text1"/>
        </w:rPr>
        <w:t>atch 1 and</w:t>
      </w:r>
      <w:r w:rsidR="00B119B8" w:rsidRPr="00106E21">
        <w:rPr>
          <w:rFonts w:ascii="Times New Roman" w:hAnsi="Times New Roman" w:cs="Times New Roman"/>
          <w:color w:val="000000" w:themeColor="text1"/>
        </w:rPr>
        <w:t xml:space="preserve"> b</w:t>
      </w:r>
      <w:r w:rsidR="004C0ACF" w:rsidRPr="00106E21">
        <w:rPr>
          <w:rFonts w:ascii="Times New Roman" w:hAnsi="Times New Roman" w:cs="Times New Roman"/>
          <w:color w:val="000000" w:themeColor="text1"/>
        </w:rPr>
        <w:t xml:space="preserve">atch 2 endocrine clusters. Genes greater than 2-fold differentially expressed are shown (Gene Name) for each cluster (Cluster ID) in the dataset. The fold change calculated with Seurat’s </w:t>
      </w:r>
      <w:proofErr w:type="spellStart"/>
      <w:r w:rsidR="004C0ACF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4C0ACF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4C0ACF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 </w:t>
      </w:r>
    </w:p>
    <w:p w14:paraId="1FEFEC6A" w14:textId="24C6396E" w:rsidR="00EC21A1" w:rsidRPr="00106E21" w:rsidRDefault="00EC21A1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98E7439" w14:textId="733CC42D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8</w:t>
      </w:r>
    </w:p>
    <w:p w14:paraId="6B3DDA87" w14:textId="090D5BBE" w:rsidR="0036644E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36644E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E12.5 exocrine clusters. Genes greater than 2-fold differentially expressed are shown (Gene Name) for each cluster (Cluster ID) in the dataset. The fold change calculated with Seurat’s </w:t>
      </w:r>
      <w:proofErr w:type="spellStart"/>
      <w:r w:rsidR="0036644E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36644E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36644E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36644E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3EF556B1" w14:textId="4DF92997" w:rsidR="0036644E" w:rsidRPr="00106E21" w:rsidRDefault="0036644E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21A0655" w14:textId="0EDAEEB7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9</w:t>
      </w:r>
    </w:p>
    <w:p w14:paraId="7E24004C" w14:textId="6B71E4A3" w:rsidR="0036644E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36644E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E14.5 exocrine clusters. Genes greater than 2-fold differentially expressed are shown (Gene Name) for each cluster (Cluster ID) in the dataset. The fold change calculated with Seurat’s </w:t>
      </w:r>
      <w:proofErr w:type="spellStart"/>
      <w:r w:rsidR="0036644E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36644E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36644E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36644E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5B80E28C" w14:textId="08D52D70" w:rsidR="0036644E" w:rsidRPr="00106E21" w:rsidRDefault="0036644E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C2814DF" w14:textId="47A33DE3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10</w:t>
      </w:r>
    </w:p>
    <w:p w14:paraId="7A7FF5D0" w14:textId="19D3BA47" w:rsidR="0036644E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36644E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E17.5 exocrine clusters. Genes greater than 2-fold differentially expressed are shown (Gene Name) for each cluster (Cluster ID) in the dataset. The fold change calculated with Seurat’s </w:t>
      </w:r>
      <w:proofErr w:type="spellStart"/>
      <w:r w:rsidR="0036644E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36644E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36644E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36644E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2E740424" w14:textId="3AE78543" w:rsidR="00EC21A1" w:rsidRPr="00106E21" w:rsidRDefault="00EC21A1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69D4921" w14:textId="5D8DE472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11</w:t>
      </w:r>
    </w:p>
    <w:p w14:paraId="33CFAA27" w14:textId="4B0B47D6" w:rsidR="00EC21A1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846C3F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E12.5 endocrine clusters.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Genes greater than 2-fold differentially expressed are shown (Gene Name) for each cluster (Cluster ID) in the dataset. The fold change calculated with Seurat’s 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EC21A1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40BF622D" w14:textId="74B2FB45" w:rsidR="00EC21A1" w:rsidRPr="00106E21" w:rsidRDefault="00EC21A1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B31A37F" w14:textId="2E762C1A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12</w:t>
      </w:r>
    </w:p>
    <w:p w14:paraId="701A2E4C" w14:textId="7A5A1C7E" w:rsidR="00846C3F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846C3F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E14.5 endocrine clusters. Genes greater than 2-fold differentially expressed are shown (Gene Name) for each cluster (Cluster ID) in the dataset. The fold change calculated with Seurat’s </w:t>
      </w:r>
      <w:proofErr w:type="spellStart"/>
      <w:r w:rsidR="00846C3F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846C3F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846C3F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846C3F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4A8F22E6" w14:textId="027BE8B2" w:rsidR="00B41C48" w:rsidRPr="00106E21" w:rsidRDefault="00B41C48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6001CE7" w14:textId="4EF41985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13</w:t>
      </w:r>
    </w:p>
    <w:p w14:paraId="52991B55" w14:textId="7D61AF25" w:rsidR="00B41C48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lastRenderedPageBreak/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B41C48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E17.5 endocrine clusters. Genes greater than 2-fold differentially expressed are shown (Gene Name) for each cluster (Cluster ID) in the dataset. The fold change calculated with Seurat’s </w:t>
      </w:r>
      <w:proofErr w:type="spellStart"/>
      <w:r w:rsidR="00B41C48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B41C48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B41C48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B41C48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41FCCD97" w14:textId="1A67E948" w:rsidR="00B41C48" w:rsidRPr="00106E21" w:rsidRDefault="00B41C48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040A843" w14:textId="545D4FC7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14</w:t>
      </w:r>
    </w:p>
    <w:p w14:paraId="3BEFCED4" w14:textId="3B83E8F5" w:rsidR="00B41C48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B41C48" w:rsidRPr="00106E21">
        <w:rPr>
          <w:rFonts w:ascii="Times New Roman" w:hAnsi="Times New Roman" w:cs="Times New Roman"/>
          <w:color w:val="000000" w:themeColor="text1"/>
        </w:rPr>
        <w:t xml:space="preserve">Differentially-expressed genes of v2 merged </w:t>
      </w:r>
      <w:proofErr w:type="spellStart"/>
      <w:r w:rsidR="00B41C48" w:rsidRPr="00106E21">
        <w:rPr>
          <w:rFonts w:ascii="Times New Roman" w:hAnsi="Times New Roman" w:cs="Times New Roman"/>
          <w:color w:val="000000" w:themeColor="text1"/>
        </w:rPr>
        <w:t>timecourse</w:t>
      </w:r>
      <w:proofErr w:type="spellEnd"/>
      <w:r w:rsidR="00B41C48" w:rsidRPr="00106E21">
        <w:rPr>
          <w:rFonts w:ascii="Times New Roman" w:hAnsi="Times New Roman" w:cs="Times New Roman"/>
          <w:color w:val="000000" w:themeColor="text1"/>
        </w:rPr>
        <w:t xml:space="preserve"> (E12.5, E14.5, and E17.5) endocrine clusters. Genes greater than 2-fold differentially expressed are shown (Gene Name) for each cluster (Cluster ID) in the dataset. The fold change calculated with Seurat’s </w:t>
      </w:r>
      <w:proofErr w:type="spellStart"/>
      <w:r w:rsidR="00B41C48" w:rsidRPr="00106E21">
        <w:rPr>
          <w:rFonts w:ascii="Times New Roman" w:hAnsi="Times New Roman" w:cs="Times New Roman"/>
          <w:color w:val="000000" w:themeColor="text1"/>
        </w:rPr>
        <w:t>FindAllMarkers</w:t>
      </w:r>
      <w:proofErr w:type="spellEnd"/>
      <w:r w:rsidR="00B41C48" w:rsidRPr="00106E21">
        <w:rPr>
          <w:rFonts w:ascii="Times New Roman" w:hAnsi="Times New Roman" w:cs="Times New Roman"/>
          <w:color w:val="000000" w:themeColor="text1"/>
        </w:rPr>
        <w:t xml:space="preserve"> and adjusted p-value from the </w:t>
      </w:r>
      <w:proofErr w:type="gramStart"/>
      <w:r w:rsidR="00B41C48" w:rsidRPr="00106E21">
        <w:rPr>
          <w:rFonts w:ascii="Times New Roman" w:hAnsi="Times New Roman" w:cs="Times New Roman"/>
          <w:color w:val="000000" w:themeColor="text1"/>
        </w:rPr>
        <w:t>Bimodal</w:t>
      </w:r>
      <w:proofErr w:type="gramEnd"/>
      <w:r w:rsidR="00B41C48" w:rsidRPr="00106E21">
        <w:rPr>
          <w:rFonts w:ascii="Times New Roman" w:hAnsi="Times New Roman" w:cs="Times New Roman"/>
          <w:color w:val="000000" w:themeColor="text1"/>
        </w:rPr>
        <w:t xml:space="preserve"> likelihood, Wilcoxon, and MAST tests are indicated for each gene.</w:t>
      </w:r>
    </w:p>
    <w:p w14:paraId="7820002F" w14:textId="2EF1C6DE" w:rsidR="00846C3F" w:rsidRPr="00106E21" w:rsidRDefault="00846C3F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406269D" w14:textId="41AC840C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15</w:t>
      </w:r>
    </w:p>
    <w:p w14:paraId="0E63B595" w14:textId="5B043218" w:rsidR="001D0FCB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1D0FCB" w:rsidRPr="00106E21">
        <w:rPr>
          <w:rFonts w:ascii="Times New Roman" w:hAnsi="Times New Roman" w:cs="Times New Roman"/>
          <w:color w:val="000000" w:themeColor="text1"/>
        </w:rPr>
        <w:t xml:space="preserve">Gene clusters from </w:t>
      </w:r>
      <w:r w:rsidR="00EC21A1" w:rsidRPr="00106E21">
        <w:rPr>
          <w:rFonts w:ascii="Times New Roman" w:hAnsi="Times New Roman" w:cs="Times New Roman"/>
          <w:color w:val="000000" w:themeColor="text1"/>
        </w:rPr>
        <w:t>BEAM analysis</w:t>
      </w:r>
      <w:r w:rsidR="001D0FCB" w:rsidRPr="00106E21">
        <w:rPr>
          <w:rFonts w:ascii="Times New Roman" w:hAnsi="Times New Roman" w:cs="Times New Roman"/>
          <w:color w:val="000000" w:themeColor="text1"/>
        </w:rPr>
        <w:t>.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1D0FCB" w:rsidRPr="00106E21">
        <w:rPr>
          <w:rFonts w:ascii="Times New Roman" w:hAnsi="Times New Roman" w:cs="Times New Roman"/>
          <w:color w:val="000000" w:themeColor="text1"/>
        </w:rPr>
        <w:t>Column “Cluster ID” identifies gene clusters from BEAM analysis</w:t>
      </w:r>
      <w:r w:rsidR="004E17A0" w:rsidRPr="00106E21">
        <w:rPr>
          <w:rFonts w:ascii="Times New Roman" w:hAnsi="Times New Roman" w:cs="Times New Roman"/>
          <w:color w:val="000000" w:themeColor="text1"/>
        </w:rPr>
        <w:t xml:space="preserve"> as shown in Figure</w:t>
      </w:r>
      <w:r w:rsidR="00163CCB" w:rsidRPr="00106E21">
        <w:rPr>
          <w:rFonts w:ascii="Times New Roman" w:hAnsi="Times New Roman" w:cs="Times New Roman"/>
          <w:color w:val="000000" w:themeColor="text1"/>
        </w:rPr>
        <w:t xml:space="preserve"> 7b</w:t>
      </w:r>
      <w:r w:rsidR="001D0FCB" w:rsidRPr="00106E21">
        <w:rPr>
          <w:rFonts w:ascii="Times New Roman" w:hAnsi="Times New Roman" w:cs="Times New Roman"/>
          <w:color w:val="000000" w:themeColor="text1"/>
        </w:rPr>
        <w:t xml:space="preserve">. The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corresponding p-value </w:t>
      </w:r>
      <w:r w:rsidR="001D0FCB" w:rsidRPr="00106E21">
        <w:rPr>
          <w:rFonts w:ascii="Times New Roman" w:hAnsi="Times New Roman" w:cs="Times New Roman"/>
          <w:color w:val="000000" w:themeColor="text1"/>
        </w:rPr>
        <w:t>(“</w:t>
      </w:r>
      <w:proofErr w:type="spellStart"/>
      <w:r w:rsidR="001D0FCB" w:rsidRPr="00106E21">
        <w:rPr>
          <w:rFonts w:ascii="Times New Roman" w:hAnsi="Times New Roman" w:cs="Times New Roman"/>
          <w:color w:val="000000" w:themeColor="text1"/>
        </w:rPr>
        <w:t>pval</w:t>
      </w:r>
      <w:proofErr w:type="spellEnd"/>
      <w:r w:rsidR="001D0FCB" w:rsidRPr="00106E21">
        <w:rPr>
          <w:rFonts w:ascii="Times New Roman" w:hAnsi="Times New Roman" w:cs="Times New Roman"/>
          <w:color w:val="000000" w:themeColor="text1"/>
        </w:rPr>
        <w:t xml:space="preserve">” column)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and q-value </w:t>
      </w:r>
      <w:r w:rsidR="001D0FCB" w:rsidRPr="00106E21">
        <w:rPr>
          <w:rFonts w:ascii="Times New Roman" w:hAnsi="Times New Roman" w:cs="Times New Roman"/>
          <w:color w:val="000000" w:themeColor="text1"/>
        </w:rPr>
        <w:t>(“</w:t>
      </w:r>
      <w:proofErr w:type="spellStart"/>
      <w:r w:rsidR="001D0FCB" w:rsidRPr="00106E21">
        <w:rPr>
          <w:rFonts w:ascii="Times New Roman" w:hAnsi="Times New Roman" w:cs="Times New Roman"/>
          <w:color w:val="000000" w:themeColor="text1"/>
        </w:rPr>
        <w:t>qval</w:t>
      </w:r>
      <w:proofErr w:type="spellEnd"/>
      <w:r w:rsidR="001D0FCB" w:rsidRPr="00106E21">
        <w:rPr>
          <w:rFonts w:ascii="Times New Roman" w:hAnsi="Times New Roman" w:cs="Times New Roman"/>
          <w:color w:val="000000" w:themeColor="text1"/>
        </w:rPr>
        <w:t xml:space="preserve">” column)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calculated by BEAM for </w:t>
      </w:r>
      <w:r w:rsidR="001D0FCB" w:rsidRPr="00106E21">
        <w:rPr>
          <w:rFonts w:ascii="Times New Roman" w:hAnsi="Times New Roman" w:cs="Times New Roman"/>
          <w:color w:val="000000" w:themeColor="text1"/>
        </w:rPr>
        <w:t>each gene (“</w:t>
      </w:r>
      <w:proofErr w:type="spellStart"/>
      <w:r w:rsidR="001D0FCB" w:rsidRPr="00106E21">
        <w:rPr>
          <w:rFonts w:ascii="Times New Roman" w:hAnsi="Times New Roman" w:cs="Times New Roman"/>
          <w:color w:val="000000" w:themeColor="text1"/>
        </w:rPr>
        <w:t>gene_short_name</w:t>
      </w:r>
      <w:proofErr w:type="spellEnd"/>
      <w:r w:rsidR="001D0FCB" w:rsidRPr="00106E21">
        <w:rPr>
          <w:rFonts w:ascii="Times New Roman" w:hAnsi="Times New Roman" w:cs="Times New Roman"/>
          <w:color w:val="000000" w:themeColor="text1"/>
        </w:rPr>
        <w:t xml:space="preserve">” column) in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the given cluster. </w:t>
      </w:r>
    </w:p>
    <w:p w14:paraId="1C9E21D2" w14:textId="77777777" w:rsidR="001D0FCB" w:rsidRPr="00106E21" w:rsidRDefault="001D0FCB" w:rsidP="00106E21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69EE072" w14:textId="0761317A" w:rsidR="0083202B" w:rsidRPr="00106E21" w:rsidRDefault="0083202B" w:rsidP="00106E21">
      <w:pPr>
        <w:jc w:val="both"/>
        <w:rPr>
          <w:rFonts w:ascii="Times New Roman" w:hAnsi="Times New Roman" w:cs="Times New Roman"/>
        </w:rPr>
      </w:pPr>
      <w:r w:rsidRPr="00106E21">
        <w:rPr>
          <w:rFonts w:ascii="Times New Roman" w:hAnsi="Times New Roman" w:cs="Times New Roman"/>
        </w:rPr>
        <w:t>File Name: Supplementary Data 16</w:t>
      </w:r>
    </w:p>
    <w:p w14:paraId="0926212E" w14:textId="1815175C" w:rsidR="00EC21A1" w:rsidRPr="00106E21" w:rsidRDefault="0083202B" w:rsidP="00106E21">
      <w:pPr>
        <w:jc w:val="both"/>
        <w:rPr>
          <w:rFonts w:ascii="Times New Roman" w:hAnsi="Times New Roman" w:cs="Times New Roman"/>
          <w:color w:val="000000" w:themeColor="text1"/>
        </w:rPr>
      </w:pPr>
      <w:r w:rsidRPr="00106E21">
        <w:rPr>
          <w:rFonts w:ascii="Times New Roman" w:hAnsi="Times New Roman" w:cs="Times New Roman"/>
        </w:rPr>
        <w:t>Description:</w:t>
      </w:r>
      <w:r w:rsidRPr="00106E21">
        <w:rPr>
          <w:rFonts w:ascii="Times New Roman" w:hAnsi="Times New Roman" w:cs="Times New Roman"/>
          <w:color w:val="000000" w:themeColor="text1"/>
        </w:rPr>
        <w:t xml:space="preserve"> </w:t>
      </w:r>
      <w:r w:rsidR="001D0FCB" w:rsidRPr="00106E21">
        <w:rPr>
          <w:rFonts w:ascii="Times New Roman" w:hAnsi="Times New Roman" w:cs="Times New Roman"/>
          <w:color w:val="000000" w:themeColor="text1"/>
        </w:rPr>
        <w:t>Pathway Analysis of gene clusters from BEAM analysis. Column “Cluster ID” identifies gene clusters from BEAM analysis used for pathway analysis. C</w:t>
      </w:r>
      <w:r w:rsidR="00EC21A1" w:rsidRPr="00106E21">
        <w:rPr>
          <w:rFonts w:ascii="Times New Roman" w:hAnsi="Times New Roman" w:cs="Times New Roman"/>
          <w:color w:val="000000" w:themeColor="text1"/>
        </w:rPr>
        <w:t>alculation of associated p-</w:t>
      </w:r>
      <w:r w:rsidR="001D0FCB" w:rsidRPr="00106E21">
        <w:rPr>
          <w:rFonts w:ascii="Times New Roman" w:hAnsi="Times New Roman" w:cs="Times New Roman"/>
          <w:color w:val="000000" w:themeColor="text1"/>
        </w:rPr>
        <w:t xml:space="preserve"> (“p-value” column)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and q-values </w:t>
      </w:r>
      <w:r w:rsidR="001D0FCB" w:rsidRPr="00106E21">
        <w:rPr>
          <w:rFonts w:ascii="Times New Roman" w:hAnsi="Times New Roman" w:cs="Times New Roman"/>
          <w:color w:val="000000" w:themeColor="text1"/>
        </w:rPr>
        <w:t xml:space="preserve">(“q-value” column)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were performed using 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ConsensusPathDB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 over-representation analysis. Pathways with -</w:t>
      </w:r>
      <w:proofErr w:type="gramStart"/>
      <w:r w:rsidR="00EC21A1" w:rsidRPr="00106E21">
        <w:rPr>
          <w:rFonts w:ascii="Times New Roman" w:hAnsi="Times New Roman" w:cs="Times New Roman"/>
          <w:color w:val="000000" w:themeColor="text1"/>
        </w:rPr>
        <w:t>log(</w:t>
      </w:r>
      <w:proofErr w:type="gram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p-value) </w:t>
      </w:r>
      <w:r w:rsidR="00B80820" w:rsidRPr="00106E21">
        <w:rPr>
          <w:rFonts w:ascii="Times New Roman" w:hAnsi="Times New Roman" w:cs="Times New Roman"/>
          <w:color w:val="000000" w:themeColor="text1"/>
        </w:rPr>
        <w:t>(“-log(</w:t>
      </w:r>
      <w:proofErr w:type="spellStart"/>
      <w:r w:rsidR="00B80820" w:rsidRPr="00106E21">
        <w:rPr>
          <w:rFonts w:ascii="Times New Roman" w:hAnsi="Times New Roman" w:cs="Times New Roman"/>
          <w:color w:val="000000" w:themeColor="text1"/>
        </w:rPr>
        <w:t>pvalue</w:t>
      </w:r>
      <w:proofErr w:type="spellEnd"/>
      <w:r w:rsidR="00B80820" w:rsidRPr="00106E21">
        <w:rPr>
          <w:rFonts w:ascii="Times New Roman" w:hAnsi="Times New Roman" w:cs="Times New Roman"/>
          <w:color w:val="000000" w:themeColor="text1"/>
        </w:rPr>
        <w:t xml:space="preserve">)” column) </w:t>
      </w:r>
      <w:r w:rsidR="00EC21A1" w:rsidRPr="00106E21">
        <w:rPr>
          <w:rFonts w:ascii="Times New Roman" w:hAnsi="Times New Roman" w:cs="Times New Roman"/>
          <w:color w:val="000000" w:themeColor="text1"/>
        </w:rPr>
        <w:t xml:space="preserve">greater than 2.0 are shown. Highlighted pathways are those that are displayed in </w:t>
      </w:r>
      <w:r w:rsidR="004E17A0" w:rsidRPr="00106E21">
        <w:rPr>
          <w:rFonts w:ascii="Times New Roman" w:hAnsi="Times New Roman" w:cs="Times New Roman"/>
          <w:color w:val="000000" w:themeColor="text1"/>
        </w:rPr>
        <w:t xml:space="preserve">Supplementary Figure </w:t>
      </w:r>
      <w:r w:rsidR="000F5725" w:rsidRPr="00106E21">
        <w:rPr>
          <w:rFonts w:ascii="Times New Roman" w:hAnsi="Times New Roman" w:cs="Times New Roman"/>
          <w:color w:val="000000" w:themeColor="text1"/>
        </w:rPr>
        <w:t>8c</w:t>
      </w:r>
      <w:r w:rsidR="00EC21A1" w:rsidRPr="00106E21">
        <w:rPr>
          <w:rFonts w:ascii="Times New Roman" w:hAnsi="Times New Roman" w:cs="Times New Roman"/>
          <w:color w:val="000000" w:themeColor="text1"/>
        </w:rPr>
        <w:t>.  Column “source” lists the database from which the indicated pathway derives, and “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external_id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>” lists the pathway identifiers. Columns “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members_input_overlap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>” and “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members_input_overlap_geneids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” denote the pathway-specific genes and gene IDs that are overrepresented in the specified cluster. The “size” represents the number of genes in each 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ConsensusPathDB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 xml:space="preserve"> pathway set. The “</w:t>
      </w:r>
      <w:proofErr w:type="spellStart"/>
      <w:r w:rsidR="00EC21A1" w:rsidRPr="00106E21">
        <w:rPr>
          <w:rFonts w:ascii="Times New Roman" w:hAnsi="Times New Roman" w:cs="Times New Roman"/>
          <w:color w:val="000000" w:themeColor="text1"/>
        </w:rPr>
        <w:t>effective_size</w:t>
      </w:r>
      <w:proofErr w:type="spellEnd"/>
      <w:r w:rsidR="00EC21A1" w:rsidRPr="00106E21">
        <w:rPr>
          <w:rFonts w:ascii="Times New Roman" w:hAnsi="Times New Roman" w:cs="Times New Roman"/>
          <w:color w:val="000000" w:themeColor="text1"/>
        </w:rPr>
        <w:t>” is the corrected size after filtering for genes that are annotated with an ID of the user-specified ID type</w:t>
      </w:r>
      <w:r w:rsidR="00EC21A1" w:rsidRPr="00106E21">
        <w:rPr>
          <w:rFonts w:ascii="Times New Roman" w:hAnsi="Times New Roman" w:cs="Times New Roman"/>
        </w:rPr>
        <w:t>.</w:t>
      </w:r>
    </w:p>
    <w:p w14:paraId="6573EFA8" w14:textId="77777777" w:rsidR="00F50938" w:rsidRPr="00106E21" w:rsidRDefault="00106E21" w:rsidP="00106E21">
      <w:pPr>
        <w:jc w:val="both"/>
        <w:rPr>
          <w:rFonts w:ascii="Times New Roman" w:hAnsi="Times New Roman" w:cs="Times New Roman"/>
        </w:rPr>
      </w:pPr>
    </w:p>
    <w:sectPr w:rsidR="00F50938" w:rsidRPr="00106E21" w:rsidSect="00A80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A1"/>
    <w:rsid w:val="000F5725"/>
    <w:rsid w:val="00106E21"/>
    <w:rsid w:val="001358A4"/>
    <w:rsid w:val="00163CCB"/>
    <w:rsid w:val="00187B9C"/>
    <w:rsid w:val="001D0FCB"/>
    <w:rsid w:val="00302FB9"/>
    <w:rsid w:val="00343F0E"/>
    <w:rsid w:val="0036644E"/>
    <w:rsid w:val="003B1516"/>
    <w:rsid w:val="003E5CCC"/>
    <w:rsid w:val="004C0ACF"/>
    <w:rsid w:val="004E17A0"/>
    <w:rsid w:val="004E49DA"/>
    <w:rsid w:val="0051425F"/>
    <w:rsid w:val="0072018D"/>
    <w:rsid w:val="00812470"/>
    <w:rsid w:val="0083202B"/>
    <w:rsid w:val="00846C3F"/>
    <w:rsid w:val="00A8086C"/>
    <w:rsid w:val="00B119B8"/>
    <w:rsid w:val="00B41C48"/>
    <w:rsid w:val="00B80820"/>
    <w:rsid w:val="00BE2597"/>
    <w:rsid w:val="00C65CDF"/>
    <w:rsid w:val="00CD4593"/>
    <w:rsid w:val="00EC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4392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</dc:creator>
  <cp:lastModifiedBy>Cherfan, Olivier, Nature</cp:lastModifiedBy>
  <cp:revision>2</cp:revision>
  <dcterms:created xsi:type="dcterms:W3CDTF">2018-08-24T14:34:00Z</dcterms:created>
  <dcterms:modified xsi:type="dcterms:W3CDTF">2018-08-24T14:34:00Z</dcterms:modified>
</cp:coreProperties>
</file>