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92B73" w14:textId="77777777" w:rsidR="006D1AFA" w:rsidRPr="00F0582C" w:rsidRDefault="006D1AFA" w:rsidP="0025239C">
      <w:pPr>
        <w:jc w:val="center"/>
        <w:rPr>
          <w:rFonts w:ascii="Geneva" w:hAnsi="Geneva"/>
          <w:b/>
          <w:color w:val="000000" w:themeColor="text1"/>
        </w:rPr>
      </w:pPr>
    </w:p>
    <w:p w14:paraId="1B64DDC1" w14:textId="77777777" w:rsidR="006D1AFA" w:rsidRPr="00F0582C" w:rsidRDefault="006D1AFA" w:rsidP="0025239C">
      <w:pPr>
        <w:jc w:val="center"/>
        <w:rPr>
          <w:rFonts w:ascii="Geneva" w:hAnsi="Geneva"/>
          <w:b/>
          <w:color w:val="000000" w:themeColor="text1"/>
        </w:rPr>
      </w:pPr>
    </w:p>
    <w:p w14:paraId="079BFC13" w14:textId="77777777" w:rsidR="006D1AFA" w:rsidRPr="00F0582C" w:rsidRDefault="006D1AFA" w:rsidP="0025239C">
      <w:pPr>
        <w:jc w:val="center"/>
        <w:rPr>
          <w:rFonts w:ascii="Geneva" w:hAnsi="Geneva"/>
          <w:b/>
          <w:color w:val="000000" w:themeColor="text1"/>
        </w:rPr>
      </w:pPr>
    </w:p>
    <w:p w14:paraId="062218E8" w14:textId="77777777" w:rsidR="006D1AFA" w:rsidRPr="00F0582C" w:rsidRDefault="006D1AFA" w:rsidP="0025239C">
      <w:pPr>
        <w:jc w:val="center"/>
        <w:rPr>
          <w:rFonts w:ascii="Geneva" w:hAnsi="Geneva"/>
          <w:b/>
          <w:color w:val="000000" w:themeColor="text1"/>
        </w:rPr>
      </w:pPr>
    </w:p>
    <w:p w14:paraId="65223201" w14:textId="77777777" w:rsidR="006D1AFA" w:rsidRPr="00F0582C" w:rsidRDefault="006D1AFA" w:rsidP="0025239C">
      <w:pPr>
        <w:jc w:val="center"/>
        <w:rPr>
          <w:rFonts w:ascii="Geneva" w:hAnsi="Geneva"/>
          <w:b/>
          <w:color w:val="000000" w:themeColor="text1"/>
        </w:rPr>
      </w:pPr>
    </w:p>
    <w:p w14:paraId="52ECAEEA" w14:textId="77777777" w:rsidR="006D1AFA" w:rsidRPr="00F0582C" w:rsidRDefault="006D1AFA" w:rsidP="0025239C">
      <w:pPr>
        <w:jc w:val="center"/>
        <w:rPr>
          <w:rFonts w:ascii="Geneva" w:hAnsi="Geneva"/>
          <w:b/>
          <w:color w:val="000000" w:themeColor="text1"/>
        </w:rPr>
      </w:pPr>
    </w:p>
    <w:p w14:paraId="5CFF208C" w14:textId="77777777" w:rsidR="006D1AFA" w:rsidRPr="00F0582C" w:rsidRDefault="006D1AFA" w:rsidP="0025239C">
      <w:pPr>
        <w:jc w:val="center"/>
        <w:rPr>
          <w:rFonts w:ascii="Geneva" w:hAnsi="Geneva"/>
          <w:b/>
          <w:color w:val="000000" w:themeColor="text1"/>
        </w:rPr>
      </w:pPr>
    </w:p>
    <w:p w14:paraId="63BFB8D9" w14:textId="6E7A3AF8" w:rsidR="0025239C" w:rsidRPr="00B40BE8" w:rsidRDefault="0025239C" w:rsidP="0025239C">
      <w:pPr>
        <w:jc w:val="center"/>
        <w:rPr>
          <w:rFonts w:ascii="Geneva" w:hAnsi="Geneva"/>
          <w:color w:val="000000" w:themeColor="text1"/>
        </w:rPr>
      </w:pPr>
      <w:r w:rsidRPr="00B40BE8">
        <w:rPr>
          <w:rFonts w:ascii="Geneva" w:hAnsi="Geneva" w:hint="eastAsia"/>
          <w:color w:val="000000" w:themeColor="text1"/>
        </w:rPr>
        <w:t>Supplem</w:t>
      </w:r>
      <w:r w:rsidRPr="00B40BE8">
        <w:rPr>
          <w:rFonts w:ascii="Geneva" w:hAnsi="Geneva"/>
          <w:color w:val="000000" w:themeColor="text1"/>
        </w:rPr>
        <w:t>en</w:t>
      </w:r>
      <w:r w:rsidRPr="00B40BE8">
        <w:rPr>
          <w:rFonts w:ascii="Geneva" w:hAnsi="Geneva" w:hint="eastAsia"/>
          <w:color w:val="000000" w:themeColor="text1"/>
        </w:rPr>
        <w:t>tary Information</w:t>
      </w:r>
    </w:p>
    <w:p w14:paraId="4D2340DC" w14:textId="77777777" w:rsidR="0025239C" w:rsidRPr="00F0582C" w:rsidRDefault="0025239C" w:rsidP="0025239C">
      <w:pPr>
        <w:jc w:val="center"/>
        <w:rPr>
          <w:rFonts w:ascii="Geneva" w:hAnsi="Geneva"/>
          <w:color w:val="000000" w:themeColor="text1"/>
        </w:rPr>
      </w:pPr>
    </w:p>
    <w:p w14:paraId="62353134" w14:textId="77777777" w:rsidR="0025239C" w:rsidRPr="00F0582C" w:rsidRDefault="0025239C" w:rsidP="0025239C">
      <w:pPr>
        <w:jc w:val="center"/>
        <w:rPr>
          <w:rFonts w:ascii="Geneva" w:hAnsi="Geneva"/>
          <w:color w:val="000000" w:themeColor="text1"/>
        </w:rPr>
      </w:pPr>
    </w:p>
    <w:p w14:paraId="42907705" w14:textId="77777777" w:rsidR="006D1AFA" w:rsidRPr="00F0582C" w:rsidRDefault="006D1AFA" w:rsidP="0025239C">
      <w:pPr>
        <w:jc w:val="center"/>
        <w:rPr>
          <w:rFonts w:ascii="Geneva" w:hAnsi="Geneva"/>
          <w:color w:val="000000" w:themeColor="text1"/>
        </w:rPr>
      </w:pPr>
    </w:p>
    <w:p w14:paraId="64D6B784" w14:textId="77777777" w:rsidR="0025239C" w:rsidRPr="00F0582C" w:rsidRDefault="0025239C" w:rsidP="0025239C">
      <w:pPr>
        <w:jc w:val="center"/>
        <w:rPr>
          <w:rFonts w:ascii="Geneva" w:hAnsi="Geneva"/>
          <w:color w:val="000000" w:themeColor="text1"/>
        </w:rPr>
      </w:pPr>
      <w:r w:rsidRPr="00F0582C">
        <w:rPr>
          <w:rFonts w:ascii="Geneva" w:hAnsi="Geneva"/>
          <w:color w:val="000000" w:themeColor="text1"/>
        </w:rPr>
        <w:t>DUSP10 constrains innate IL-33-mediated cytokine production in ST</w:t>
      </w:r>
      <w:r w:rsidRPr="00F0582C">
        <w:rPr>
          <w:rFonts w:ascii="Geneva" w:hAnsi="Geneva" w:hint="eastAsia"/>
          <w:color w:val="000000" w:themeColor="text1"/>
        </w:rPr>
        <w:t>2</w:t>
      </w:r>
      <w:r w:rsidRPr="00F0582C">
        <w:rPr>
          <w:rFonts w:ascii="Geneva" w:hAnsi="Geneva"/>
          <w:color w:val="000000" w:themeColor="text1"/>
          <w:vertAlign w:val="superscript"/>
        </w:rPr>
        <w:t>hi</w:t>
      </w:r>
      <w:r w:rsidRPr="00F0582C">
        <w:rPr>
          <w:rFonts w:ascii="Geneva" w:hAnsi="Geneva" w:hint="eastAsia"/>
          <w:color w:val="000000" w:themeColor="text1"/>
        </w:rPr>
        <w:t xml:space="preserve"> </w:t>
      </w:r>
      <w:r w:rsidRPr="00F0582C">
        <w:rPr>
          <w:rFonts w:ascii="Geneva" w:hAnsi="Geneva"/>
          <w:color w:val="000000" w:themeColor="text1"/>
        </w:rPr>
        <w:t>memory-type pathogenic Th2 cells</w:t>
      </w:r>
    </w:p>
    <w:p w14:paraId="0EC111B1" w14:textId="77777777" w:rsidR="0025239C" w:rsidRPr="00F0582C" w:rsidRDefault="0025239C" w:rsidP="0025239C">
      <w:pPr>
        <w:jc w:val="center"/>
        <w:rPr>
          <w:rFonts w:ascii="Geneva" w:hAnsi="Geneva"/>
          <w:color w:val="000000" w:themeColor="text1"/>
        </w:rPr>
      </w:pPr>
    </w:p>
    <w:p w14:paraId="1FD077DD" w14:textId="4B99BBA0" w:rsidR="0025239C" w:rsidRPr="00F0582C" w:rsidRDefault="0025239C" w:rsidP="0025239C">
      <w:pPr>
        <w:jc w:val="center"/>
        <w:rPr>
          <w:rFonts w:ascii="Geneva" w:hAnsi="Geneva"/>
          <w:color w:val="000000" w:themeColor="text1"/>
        </w:rPr>
      </w:pPr>
      <w:r w:rsidRPr="00F0582C">
        <w:rPr>
          <w:rFonts w:ascii="Geneva" w:hAnsi="Geneva" w:hint="eastAsia"/>
          <w:color w:val="000000" w:themeColor="text1"/>
        </w:rPr>
        <w:t>Yamamoto and Endo et.al</w:t>
      </w:r>
    </w:p>
    <w:p w14:paraId="1B93147B" w14:textId="3A117CA1" w:rsidR="006D1AFA" w:rsidRPr="00F0582C" w:rsidRDefault="006D1AFA" w:rsidP="001577A9">
      <w:pPr>
        <w:rPr>
          <w:rFonts w:ascii="Geneva" w:hAnsi="Geneva"/>
          <w:color w:val="000000" w:themeColor="text1"/>
        </w:rPr>
      </w:pPr>
      <w:r w:rsidRPr="00F0582C">
        <w:rPr>
          <w:rFonts w:ascii="Geneva" w:hAnsi="Geneva"/>
          <w:color w:val="000000" w:themeColor="text1"/>
        </w:rPr>
        <w:br w:type="page"/>
      </w:r>
    </w:p>
    <w:p w14:paraId="7726A898" w14:textId="36DCEA69" w:rsidR="0025239C" w:rsidRPr="00F0582C" w:rsidRDefault="0025239C" w:rsidP="005E19F2">
      <w:pPr>
        <w:spacing w:line="360" w:lineRule="auto"/>
        <w:rPr>
          <w:rFonts w:ascii="Geneva" w:hAnsi="Geneva"/>
          <w:b/>
          <w:color w:val="000000" w:themeColor="text1"/>
        </w:rPr>
      </w:pPr>
      <w:r w:rsidRPr="00F0582C">
        <w:rPr>
          <w:rFonts w:ascii="Geneva" w:hAnsi="Geneva" w:hint="eastAsia"/>
          <w:b/>
          <w:color w:val="000000" w:themeColor="text1"/>
        </w:rPr>
        <w:lastRenderedPageBreak/>
        <w:t>Supplementary Figures</w:t>
      </w:r>
    </w:p>
    <w:p w14:paraId="5A47DB65" w14:textId="6F469827" w:rsidR="00645FC5" w:rsidRPr="00F0582C" w:rsidRDefault="00645FC5" w:rsidP="005E19F2">
      <w:pPr>
        <w:spacing w:line="360" w:lineRule="auto"/>
        <w:rPr>
          <w:rFonts w:ascii="Geneva" w:hAnsi="Geneva"/>
          <w:b/>
          <w:color w:val="000000" w:themeColor="text1"/>
        </w:rPr>
      </w:pPr>
      <w:r w:rsidRPr="00F0582C">
        <w:rPr>
          <w:rFonts w:ascii="Geneva" w:hAnsi="Geneva"/>
          <w:b/>
          <w:noProof/>
          <w:color w:val="000000" w:themeColor="text1"/>
        </w:rPr>
        <w:drawing>
          <wp:inline distT="0" distB="0" distL="0" distR="0" wp14:anchorId="024811CC" wp14:editId="3BE3A418">
            <wp:extent cx="5396230" cy="437578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ig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37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ED4F8" w14:textId="271AF9F9" w:rsidR="0025239C" w:rsidRPr="00F0582C" w:rsidRDefault="0025239C" w:rsidP="005E19F2">
      <w:pPr>
        <w:spacing w:line="360" w:lineRule="auto"/>
        <w:rPr>
          <w:rFonts w:ascii="Geneva" w:hAnsi="Geneva"/>
          <w:b/>
          <w:color w:val="000000" w:themeColor="text1"/>
        </w:rPr>
      </w:pPr>
    </w:p>
    <w:p w14:paraId="44D4DC93" w14:textId="77777777" w:rsidR="00A56E66" w:rsidRPr="00F0582C" w:rsidRDefault="00A56E66" w:rsidP="005E19F2">
      <w:pPr>
        <w:spacing w:line="360" w:lineRule="auto"/>
        <w:rPr>
          <w:rFonts w:ascii="Geneva" w:hAnsi="Geneva"/>
          <w:b/>
          <w:color w:val="000000" w:themeColor="text1"/>
        </w:rPr>
      </w:pPr>
    </w:p>
    <w:p w14:paraId="61AC14F9" w14:textId="5419A073" w:rsidR="005E19F2" w:rsidRPr="00F0582C" w:rsidRDefault="00DB0273" w:rsidP="00CA69A3">
      <w:pPr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t>Supplementary Fig. 1.</w:t>
      </w:r>
      <w:r w:rsidR="005E19F2" w:rsidRPr="00F0582C">
        <w:rPr>
          <w:rFonts w:ascii="Geneva" w:hAnsi="Geneva" w:cs="Arial"/>
          <w:b/>
          <w:color w:val="000000" w:themeColor="text1"/>
        </w:rPr>
        <w:t xml:space="preserve"> </w:t>
      </w:r>
      <w:r w:rsidR="00413411" w:rsidRPr="00F0582C">
        <w:rPr>
          <w:rFonts w:ascii="Geneva" w:hAnsi="Geneva" w:cs="Arial"/>
          <w:b/>
          <w:color w:val="000000" w:themeColor="text1"/>
        </w:rPr>
        <w:t>Experimental protocol</w:t>
      </w:r>
      <w:r w:rsidR="00050669" w:rsidRPr="00F0582C">
        <w:rPr>
          <w:rFonts w:ascii="Geneva" w:hAnsi="Geneva" w:cs="Arial"/>
          <w:b/>
          <w:color w:val="000000" w:themeColor="text1"/>
        </w:rPr>
        <w:t xml:space="preserve"> of</w:t>
      </w:r>
      <w:r w:rsidR="005E19F2" w:rsidRPr="00F0582C">
        <w:rPr>
          <w:rFonts w:ascii="Geneva" w:hAnsi="Geneva" w:cs="Arial"/>
          <w:b/>
          <w:color w:val="000000" w:themeColor="text1"/>
        </w:rPr>
        <w:t xml:space="preserve"> </w:t>
      </w:r>
      <w:r w:rsidR="00AA01E8" w:rsidRPr="00F0582C">
        <w:rPr>
          <w:rFonts w:ascii="Geneva" w:hAnsi="Geneva"/>
          <w:b/>
          <w:color w:val="000000" w:themeColor="text1"/>
        </w:rPr>
        <w:t>ST2</w:t>
      </w:r>
      <w:r w:rsidR="00AA01E8" w:rsidRPr="00F0582C">
        <w:rPr>
          <w:rFonts w:ascii="Geneva" w:hAnsi="Geneva"/>
          <w:b/>
          <w:color w:val="000000" w:themeColor="text1"/>
          <w:vertAlign w:val="superscript"/>
        </w:rPr>
        <w:t>hi</w:t>
      </w:r>
      <w:r w:rsidR="00AA01E8" w:rsidRPr="00F0582C">
        <w:rPr>
          <w:rFonts w:ascii="Geneva" w:hAnsi="Geneva"/>
          <w:b/>
          <w:color w:val="000000" w:themeColor="text1"/>
        </w:rPr>
        <w:t xml:space="preserve"> memory-type</w:t>
      </w:r>
      <w:r w:rsidR="00AA01E8" w:rsidRPr="00F0582C">
        <w:rPr>
          <w:rFonts w:ascii="Geneva" w:hAnsi="Geneva" w:cs="Arial"/>
          <w:b/>
          <w:color w:val="000000" w:themeColor="text1"/>
        </w:rPr>
        <w:t xml:space="preserve"> pathogenic Th2 cells</w:t>
      </w:r>
      <w:r w:rsidR="005B32CD" w:rsidRPr="00F0582C">
        <w:rPr>
          <w:rFonts w:ascii="Geneva" w:hAnsi="Geneva" w:cs="Arial"/>
          <w:b/>
          <w:color w:val="000000" w:themeColor="text1"/>
        </w:rPr>
        <w:t xml:space="preserve"> </w:t>
      </w:r>
      <w:r w:rsidR="005E19F2" w:rsidRPr="00F0582C">
        <w:rPr>
          <w:rFonts w:ascii="Geneva" w:hAnsi="Geneva" w:cs="Arial"/>
          <w:b/>
          <w:color w:val="000000" w:themeColor="text1"/>
        </w:rPr>
        <w:t>and ILC2s</w:t>
      </w:r>
      <w:r w:rsidRPr="00F0582C">
        <w:rPr>
          <w:rFonts w:ascii="Geneva" w:hAnsi="Geneva" w:cs="Arial"/>
          <w:b/>
          <w:color w:val="000000" w:themeColor="text1"/>
        </w:rPr>
        <w:t>.</w:t>
      </w:r>
    </w:p>
    <w:p w14:paraId="21AD7BDC" w14:textId="49E6549E" w:rsidR="005E19F2" w:rsidRPr="00F0582C" w:rsidRDefault="00A63755" w:rsidP="00CA69A3">
      <w:pPr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color w:val="000000" w:themeColor="text1"/>
        </w:rPr>
        <w:t>(</w:t>
      </w:r>
      <w:r w:rsidR="00DB0273" w:rsidRPr="00F0582C">
        <w:rPr>
          <w:rFonts w:ascii="Geneva" w:hAnsi="Geneva" w:cs="Arial"/>
          <w:b/>
          <w:color w:val="000000" w:themeColor="text1"/>
        </w:rPr>
        <w:t>a</w:t>
      </w:r>
      <w:r w:rsidR="005E19F2" w:rsidRPr="00F0582C">
        <w:rPr>
          <w:rFonts w:ascii="Geneva" w:hAnsi="Geneva" w:cs="Arial"/>
          <w:color w:val="000000" w:themeColor="text1"/>
        </w:rPr>
        <w:t xml:space="preserve">) </w:t>
      </w:r>
      <w:r w:rsidR="00B86F83" w:rsidRPr="00F0582C">
        <w:rPr>
          <w:rFonts w:ascii="Geneva" w:hAnsi="Geneva" w:cs="Arial"/>
          <w:color w:val="000000" w:themeColor="text1"/>
        </w:rPr>
        <w:t xml:space="preserve">Experimental protocols for the generation of </w:t>
      </w:r>
      <w:r w:rsidR="005B32CD" w:rsidRPr="00F0582C">
        <w:rPr>
          <w:rFonts w:ascii="Geneva" w:hAnsi="Geneva" w:cs="Arial"/>
          <w:color w:val="000000" w:themeColor="text1"/>
        </w:rPr>
        <w:t>Tpath2</w:t>
      </w:r>
      <w:r w:rsidR="00B86F83" w:rsidRPr="00F0582C">
        <w:rPr>
          <w:rFonts w:ascii="Geneva" w:hAnsi="Geneva" w:cs="Arial"/>
          <w:color w:val="000000" w:themeColor="text1"/>
        </w:rPr>
        <w:t xml:space="preserve"> cells and ILC2s.  </w:t>
      </w:r>
      <w:r w:rsidR="00DA7C6E" w:rsidRPr="00F0582C">
        <w:rPr>
          <w:rFonts w:ascii="Geneva" w:hAnsi="Geneva" w:cs="Arial"/>
          <w:color w:val="000000" w:themeColor="text1"/>
        </w:rPr>
        <w:t xml:space="preserve">(See also </w:t>
      </w:r>
      <w:r w:rsidR="00264D46" w:rsidRPr="00F0582C">
        <w:rPr>
          <w:rFonts w:ascii="Geneva" w:hAnsi="Geneva" w:cs="Arial"/>
          <w:b/>
          <w:color w:val="000000" w:themeColor="text1"/>
        </w:rPr>
        <w:t>C</w:t>
      </w:r>
      <w:r w:rsidR="00BC16B7" w:rsidRPr="00F0582C">
        <w:rPr>
          <w:rFonts w:ascii="Geneva" w:hAnsi="Geneva" w:cs="Arial"/>
          <w:b/>
          <w:color w:val="000000" w:themeColor="text1"/>
        </w:rPr>
        <w:t xml:space="preserve">ell </w:t>
      </w:r>
      <w:r w:rsidR="00264D46" w:rsidRPr="00F0582C">
        <w:rPr>
          <w:rFonts w:ascii="Geneva" w:hAnsi="Geneva" w:cs="Arial"/>
          <w:b/>
          <w:color w:val="000000" w:themeColor="text1"/>
        </w:rPr>
        <w:t>Preparation</w:t>
      </w:r>
      <w:r w:rsidR="00BC16B7" w:rsidRPr="00F0582C">
        <w:rPr>
          <w:rFonts w:ascii="Geneva" w:hAnsi="Geneva" w:cs="Arial"/>
          <w:color w:val="000000" w:themeColor="text1"/>
        </w:rPr>
        <w:t xml:space="preserve"> section in the </w:t>
      </w:r>
      <w:r w:rsidR="007C7E66" w:rsidRPr="00F0582C">
        <w:rPr>
          <w:rFonts w:ascii="Geneva" w:hAnsi="Geneva" w:cs="Arial"/>
          <w:color w:val="000000" w:themeColor="text1"/>
        </w:rPr>
        <w:t>M</w:t>
      </w:r>
      <w:r w:rsidR="00C80525" w:rsidRPr="00F0582C">
        <w:rPr>
          <w:rFonts w:ascii="Geneva" w:hAnsi="Geneva" w:cs="Arial"/>
          <w:color w:val="000000" w:themeColor="text1"/>
        </w:rPr>
        <w:t>ethod</w:t>
      </w:r>
      <w:r w:rsidR="000075B1" w:rsidRPr="00F0582C">
        <w:rPr>
          <w:rFonts w:ascii="Geneva" w:hAnsi="Geneva" w:cs="Arial"/>
          <w:color w:val="000000" w:themeColor="text1"/>
        </w:rPr>
        <w:t>s</w:t>
      </w:r>
      <w:r w:rsidR="00DA7C6E" w:rsidRPr="00F0582C">
        <w:rPr>
          <w:rFonts w:ascii="Geneva" w:hAnsi="Geneva" w:cs="Arial"/>
          <w:color w:val="000000" w:themeColor="text1"/>
        </w:rPr>
        <w:t xml:space="preserve">).  </w:t>
      </w:r>
      <w:r w:rsidR="00B86F83" w:rsidRPr="00F0582C">
        <w:rPr>
          <w:rFonts w:ascii="Geneva" w:hAnsi="Geneva" w:cs="Arial"/>
          <w:color w:val="000000" w:themeColor="text1"/>
        </w:rPr>
        <w:t xml:space="preserve">After isolation, Tpath2 cells and ILC2s were cultured with IL-7, IL-25 and IL-33 for 5 days, </w:t>
      </w:r>
      <w:r w:rsidR="000075B1" w:rsidRPr="00F0582C">
        <w:rPr>
          <w:rFonts w:ascii="Geneva" w:hAnsi="Geneva" w:cs="Arial"/>
          <w:color w:val="000000" w:themeColor="text1"/>
        </w:rPr>
        <w:t>and</w:t>
      </w:r>
      <w:r w:rsidR="00B86F83" w:rsidRPr="00F0582C">
        <w:rPr>
          <w:rFonts w:ascii="Geneva" w:hAnsi="Geneva" w:cs="Arial"/>
          <w:color w:val="000000" w:themeColor="text1"/>
        </w:rPr>
        <w:t xml:space="preserve"> </w:t>
      </w:r>
      <w:r w:rsidR="000075B1" w:rsidRPr="00F0582C">
        <w:rPr>
          <w:rFonts w:ascii="Geneva" w:hAnsi="Geneva" w:cs="Arial"/>
          <w:color w:val="000000" w:themeColor="text1"/>
        </w:rPr>
        <w:t>t</w:t>
      </w:r>
      <w:r w:rsidR="00B86F83" w:rsidRPr="00F0582C">
        <w:rPr>
          <w:rFonts w:ascii="Geneva" w:hAnsi="Geneva" w:cs="Arial"/>
          <w:color w:val="000000" w:themeColor="text1"/>
        </w:rPr>
        <w:t>hen</w:t>
      </w:r>
      <w:r w:rsidR="000075B1" w:rsidRPr="00F0582C">
        <w:rPr>
          <w:rFonts w:ascii="Geneva" w:hAnsi="Geneva" w:cs="Arial"/>
          <w:color w:val="000000" w:themeColor="text1"/>
        </w:rPr>
        <w:t xml:space="preserve"> with</w:t>
      </w:r>
      <w:r w:rsidR="00B86F83" w:rsidRPr="00F0582C">
        <w:rPr>
          <w:rFonts w:ascii="Geneva" w:hAnsi="Geneva" w:cs="Arial"/>
          <w:color w:val="000000" w:themeColor="text1"/>
        </w:rPr>
        <w:t xml:space="preserve"> IL-7 </w:t>
      </w:r>
      <w:r w:rsidR="000075B1" w:rsidRPr="00F0582C">
        <w:rPr>
          <w:rFonts w:ascii="Geneva" w:hAnsi="Geneva" w:cs="Arial"/>
          <w:color w:val="000000" w:themeColor="text1"/>
        </w:rPr>
        <w:t>alone for 24 hours before</w:t>
      </w:r>
      <w:r w:rsidR="00B86F83" w:rsidRPr="00F0582C">
        <w:rPr>
          <w:rFonts w:ascii="Geneva" w:hAnsi="Geneva" w:cs="Arial"/>
          <w:color w:val="000000" w:themeColor="text1"/>
        </w:rPr>
        <w:t xml:space="preserve"> assay</w:t>
      </w:r>
      <w:r w:rsidR="000075B1" w:rsidRPr="00F0582C">
        <w:rPr>
          <w:rFonts w:ascii="Geneva" w:hAnsi="Geneva" w:cs="Arial"/>
          <w:color w:val="000000" w:themeColor="text1"/>
        </w:rPr>
        <w:t>s were</w:t>
      </w:r>
      <w:r w:rsidR="00B86F83" w:rsidRPr="00F0582C">
        <w:rPr>
          <w:rFonts w:ascii="Geneva" w:hAnsi="Geneva" w:cs="Arial"/>
          <w:color w:val="000000" w:themeColor="text1"/>
        </w:rPr>
        <w:t xml:space="preserve"> performed.</w:t>
      </w:r>
      <w:r w:rsidR="00B018B4" w:rsidRPr="00F0582C">
        <w:rPr>
          <w:rFonts w:ascii="Geneva" w:hAnsi="Geneva" w:cs="Arial"/>
          <w:color w:val="000000" w:themeColor="text1"/>
        </w:rPr>
        <w:t xml:space="preserve">  (</w:t>
      </w:r>
      <w:r w:rsidR="00DB0273" w:rsidRPr="00F0582C">
        <w:rPr>
          <w:rFonts w:ascii="Geneva" w:hAnsi="Geneva" w:cs="Arial"/>
          <w:b/>
          <w:color w:val="000000" w:themeColor="text1"/>
        </w:rPr>
        <w:t>b</w:t>
      </w:r>
      <w:r w:rsidR="005E19F2" w:rsidRPr="00F0582C">
        <w:rPr>
          <w:rFonts w:ascii="Geneva" w:hAnsi="Geneva" w:cs="Arial"/>
          <w:color w:val="000000" w:themeColor="text1"/>
        </w:rPr>
        <w:t xml:space="preserve">) </w:t>
      </w:r>
      <w:r w:rsidR="004632D9" w:rsidRPr="00F0582C">
        <w:rPr>
          <w:rFonts w:ascii="Geneva" w:hAnsi="Geneva"/>
          <w:color w:val="000000" w:themeColor="text1"/>
          <w:kern w:val="0"/>
        </w:rPr>
        <w:t>The gating strategy of</w:t>
      </w:r>
      <w:r w:rsidR="000075B1" w:rsidRPr="00F0582C">
        <w:rPr>
          <w:rFonts w:ascii="Geneva" w:hAnsi="Geneva"/>
          <w:color w:val="000000" w:themeColor="text1"/>
          <w:kern w:val="0"/>
        </w:rPr>
        <w:t xml:space="preserve"> Tpath2 cells is shown.  Splenic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 cells </w:t>
      </w:r>
      <w:r w:rsidR="00D11DE5" w:rsidRPr="00F0582C">
        <w:rPr>
          <w:rFonts w:ascii="Geneva" w:hAnsi="Geneva"/>
          <w:color w:val="000000" w:themeColor="text1"/>
          <w:kern w:val="0"/>
        </w:rPr>
        <w:t>recovered from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 memory Th2 mice were stained with anti-CD4-APC, anti-KJ1-FITC and anti-ST2-Bv421 antibodies. CD4</w:t>
      </w:r>
      <w:r w:rsidR="004632D9" w:rsidRPr="00F0582C">
        <w:rPr>
          <w:rFonts w:ascii="Geneva" w:hAnsi="Geneva"/>
          <w:color w:val="000000" w:themeColor="text1"/>
          <w:kern w:val="0"/>
          <w:vertAlign w:val="superscript"/>
        </w:rPr>
        <w:t>+</w:t>
      </w:r>
      <w:r w:rsidR="004632D9" w:rsidRPr="00F0582C">
        <w:rPr>
          <w:rFonts w:ascii="Geneva" w:hAnsi="Geneva"/>
          <w:color w:val="000000" w:themeColor="text1"/>
          <w:kern w:val="0"/>
        </w:rPr>
        <w:t>KJ1</w:t>
      </w:r>
      <w:r w:rsidR="004632D9" w:rsidRPr="00F0582C">
        <w:rPr>
          <w:rFonts w:ascii="Geneva" w:hAnsi="Geneva"/>
          <w:color w:val="000000" w:themeColor="text1"/>
          <w:kern w:val="0"/>
          <w:vertAlign w:val="superscript"/>
        </w:rPr>
        <w:t>+</w:t>
      </w:r>
      <w:r w:rsidR="004632D9" w:rsidRPr="00F0582C">
        <w:rPr>
          <w:rFonts w:ascii="Geneva" w:hAnsi="Geneva"/>
          <w:color w:val="000000" w:themeColor="text1"/>
          <w:kern w:val="0"/>
        </w:rPr>
        <w:t>ST2</w:t>
      </w:r>
      <w:r w:rsidR="004632D9" w:rsidRPr="00F0582C">
        <w:rPr>
          <w:rFonts w:ascii="Geneva" w:hAnsi="Geneva"/>
          <w:color w:val="000000" w:themeColor="text1"/>
          <w:kern w:val="0"/>
          <w:vertAlign w:val="superscript"/>
        </w:rPr>
        <w:t>+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 cells were purified as Tpath2 cells </w:t>
      </w:r>
      <w:r w:rsidR="000075B1" w:rsidRPr="00F0582C">
        <w:rPr>
          <w:rFonts w:ascii="Geneva" w:hAnsi="Geneva"/>
          <w:color w:val="000000" w:themeColor="text1"/>
          <w:kern w:val="0"/>
        </w:rPr>
        <w:t>by fluorescence activated cell sorting (FACS)</w:t>
      </w:r>
      <w:r w:rsidR="004632D9" w:rsidRPr="00F0582C">
        <w:rPr>
          <w:rFonts w:ascii="Geneva" w:hAnsi="Geneva"/>
          <w:color w:val="000000" w:themeColor="text1"/>
          <w:kern w:val="0"/>
        </w:rPr>
        <w:t>.  (</w:t>
      </w:r>
      <w:r w:rsidR="00FE4A27" w:rsidRPr="00F0582C">
        <w:rPr>
          <w:rFonts w:ascii="Geneva" w:hAnsi="Geneva"/>
          <w:b/>
          <w:color w:val="000000" w:themeColor="text1"/>
          <w:kern w:val="0"/>
        </w:rPr>
        <w:t>c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) The </w:t>
      </w:r>
      <w:r w:rsidR="004632D9" w:rsidRPr="00F0582C">
        <w:rPr>
          <w:rFonts w:ascii="Geneva" w:hAnsi="Geneva"/>
          <w:color w:val="000000" w:themeColor="text1"/>
          <w:kern w:val="0"/>
        </w:rPr>
        <w:lastRenderedPageBreak/>
        <w:t xml:space="preserve">gating strategy of ILC2s cells is shown.  After pre-sorting by autoMACS, splenic CD4-negavite cells from </w:t>
      </w:r>
      <w:r w:rsidR="00853AF7" w:rsidRPr="00F0582C">
        <w:rPr>
          <w:rFonts w:ascii="Geneva" w:hAnsi="Geneva"/>
          <w:color w:val="000000" w:themeColor="text1"/>
          <w:kern w:val="0"/>
        </w:rPr>
        <w:t>IL-33-treated-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BALB/c </w:t>
      </w:r>
      <w:r w:rsidR="00564122" w:rsidRPr="00F0582C">
        <w:rPr>
          <w:rFonts w:ascii="Geneva" w:hAnsi="Geneva"/>
          <w:color w:val="000000" w:themeColor="text1"/>
          <w:kern w:val="0"/>
        </w:rPr>
        <w:t>or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 </w:t>
      </w:r>
      <w:r w:rsidR="00853AF7" w:rsidRPr="00F0582C">
        <w:rPr>
          <w:rFonts w:ascii="Geneva" w:hAnsi="Geneva"/>
          <w:color w:val="000000" w:themeColor="text1"/>
          <w:kern w:val="0"/>
        </w:rPr>
        <w:t>-</w:t>
      </w:r>
      <w:r w:rsidR="00D448D2" w:rsidRPr="00F0582C">
        <w:rPr>
          <w:rFonts w:ascii="Geneva" w:hAnsi="Geneva"/>
          <w:color w:val="000000" w:themeColor="text1"/>
          <w:kern w:val="0"/>
        </w:rPr>
        <w:t>memory Th2 mice</w:t>
      </w:r>
      <w:r w:rsidR="00BA6E72" w:rsidRPr="00F0582C">
        <w:rPr>
          <w:rFonts w:ascii="Geneva" w:hAnsi="Geneva"/>
          <w:color w:val="000000" w:themeColor="text1"/>
          <w:kern w:val="0"/>
        </w:rPr>
        <w:t xml:space="preserve"> </w:t>
      </w:r>
      <w:r w:rsidR="004632D9" w:rsidRPr="00F0582C">
        <w:rPr>
          <w:rFonts w:ascii="Geneva" w:hAnsi="Geneva"/>
          <w:color w:val="000000" w:themeColor="text1"/>
          <w:kern w:val="0"/>
        </w:rPr>
        <w:t>were stained with anti-TCR</w:t>
      </w:r>
      <w:r w:rsidR="004632D9" w:rsidRPr="00F0582C">
        <w:rPr>
          <w:rFonts w:ascii="Symbol" w:hAnsi="Symbol"/>
          <w:color w:val="000000" w:themeColor="text1"/>
          <w:kern w:val="0"/>
        </w:rPr>
        <w:t></w:t>
      </w:r>
      <w:r w:rsidR="004632D9" w:rsidRPr="00F0582C">
        <w:rPr>
          <w:rFonts w:ascii="Geneva" w:hAnsi="Geneva"/>
          <w:color w:val="000000" w:themeColor="text1"/>
          <w:kern w:val="0"/>
        </w:rPr>
        <w:t>-PE, anti-Lineage</w:t>
      </w:r>
      <w:r w:rsidR="004973D2" w:rsidRPr="00F0582C">
        <w:rPr>
          <w:rFonts w:ascii="Geneva" w:hAnsi="Geneva"/>
          <w:color w:val="000000" w:themeColor="text1"/>
          <w:kern w:val="0"/>
        </w:rPr>
        <w:t xml:space="preserve"> cocktail</w:t>
      </w:r>
      <w:r w:rsidR="007D67CD" w:rsidRPr="00F0582C">
        <w:rPr>
          <w:rFonts w:ascii="Geneva" w:hAnsi="Geneva"/>
          <w:color w:val="000000" w:themeColor="text1"/>
          <w:kern w:val="0"/>
        </w:rPr>
        <w:t xml:space="preserve"> (</w:t>
      </w:r>
      <w:r w:rsidR="004973D2" w:rsidRPr="00F0582C">
        <w:rPr>
          <w:rFonts w:ascii="Geneva" w:hAnsi="Geneva"/>
          <w:color w:val="000000" w:themeColor="text1"/>
          <w:kern w:val="0"/>
        </w:rPr>
        <w:t xml:space="preserve">containing </w:t>
      </w:r>
      <w:r w:rsidR="00F93779" w:rsidRPr="00F0582C">
        <w:rPr>
          <w:rFonts w:ascii="Geneva" w:hAnsi="Geneva"/>
          <w:color w:val="000000" w:themeColor="text1"/>
          <w:kern w:val="0"/>
        </w:rPr>
        <w:t xml:space="preserve">FITC-conjugated antibodies specific for </w:t>
      </w:r>
      <w:r w:rsidR="004973D2" w:rsidRPr="00F0582C">
        <w:rPr>
          <w:rFonts w:ascii="Geneva" w:hAnsi="Geneva"/>
          <w:color w:val="000000" w:themeColor="text1"/>
          <w:kern w:val="0"/>
        </w:rPr>
        <w:t xml:space="preserve">CD3, Gr-1, CD11b, B220, </w:t>
      </w:r>
      <w:r w:rsidR="00F93779" w:rsidRPr="00F0582C">
        <w:rPr>
          <w:rFonts w:ascii="Geneva" w:hAnsi="Geneva"/>
          <w:color w:val="000000" w:themeColor="text1"/>
          <w:kern w:val="0"/>
        </w:rPr>
        <w:t xml:space="preserve">or </w:t>
      </w:r>
      <w:r w:rsidR="004973D2" w:rsidRPr="00F0582C">
        <w:rPr>
          <w:rFonts w:ascii="Geneva" w:hAnsi="Geneva"/>
          <w:color w:val="000000" w:themeColor="text1"/>
          <w:kern w:val="0"/>
        </w:rPr>
        <w:t>Ter119</w:t>
      </w:r>
      <w:r w:rsidR="004632D9" w:rsidRPr="00F0582C">
        <w:rPr>
          <w:rFonts w:ascii="Geneva" w:hAnsi="Geneva"/>
          <w:color w:val="000000" w:themeColor="text1"/>
          <w:kern w:val="0"/>
        </w:rPr>
        <w:t>, anti-CD127-APC, anti-Thy1.2-PE/Cy7</w:t>
      </w:r>
      <w:r w:rsidR="00181435" w:rsidRPr="00F0582C">
        <w:rPr>
          <w:rFonts w:ascii="Geneva" w:hAnsi="Geneva"/>
          <w:color w:val="000000" w:themeColor="text1"/>
          <w:kern w:val="0"/>
        </w:rPr>
        <w:t xml:space="preserve"> and anti-ST2-Bv421 antibodies</w:t>
      </w:r>
      <w:r w:rsidR="00F93779" w:rsidRPr="00F0582C">
        <w:rPr>
          <w:rFonts w:ascii="Geneva" w:hAnsi="Geneva"/>
          <w:color w:val="000000" w:themeColor="text1"/>
          <w:kern w:val="0"/>
        </w:rPr>
        <w:t>)</w:t>
      </w:r>
      <w:r w:rsidR="00181435" w:rsidRPr="00F0582C">
        <w:rPr>
          <w:rFonts w:ascii="Geneva" w:hAnsi="Geneva"/>
          <w:color w:val="000000" w:themeColor="text1"/>
          <w:kern w:val="0"/>
        </w:rPr>
        <w:t>.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 </w:t>
      </w:r>
      <w:r w:rsidR="00181435" w:rsidRPr="00F0582C">
        <w:rPr>
          <w:rFonts w:ascii="Geneva" w:hAnsi="Geneva"/>
          <w:color w:val="000000" w:themeColor="text1"/>
          <w:kern w:val="0"/>
        </w:rPr>
        <w:t xml:space="preserve"> </w:t>
      </w:r>
      <w:r w:rsidR="004632D9" w:rsidRPr="00F0582C">
        <w:rPr>
          <w:rFonts w:ascii="Geneva" w:hAnsi="Geneva"/>
          <w:color w:val="000000" w:themeColor="text1"/>
          <w:kern w:val="0"/>
        </w:rPr>
        <w:t>Consequently, Lin</w:t>
      </w:r>
      <w:r w:rsidR="004632D9" w:rsidRPr="00F0582C">
        <w:rPr>
          <w:rFonts w:ascii="Geneva" w:hAnsi="Geneva"/>
          <w:color w:val="000000" w:themeColor="text1"/>
          <w:kern w:val="0"/>
          <w:vertAlign w:val="superscript"/>
        </w:rPr>
        <w:t>-</w:t>
      </w:r>
      <w:r w:rsidR="004632D9" w:rsidRPr="00F0582C">
        <w:rPr>
          <w:rFonts w:ascii="Geneva" w:hAnsi="Geneva"/>
          <w:color w:val="000000" w:themeColor="text1"/>
          <w:kern w:val="0"/>
        </w:rPr>
        <w:t>CD127</w:t>
      </w:r>
      <w:r w:rsidR="004632D9" w:rsidRPr="00F0582C">
        <w:rPr>
          <w:rFonts w:ascii="Geneva" w:hAnsi="Geneva"/>
          <w:color w:val="000000" w:themeColor="text1"/>
          <w:kern w:val="0"/>
          <w:vertAlign w:val="superscript"/>
        </w:rPr>
        <w:t>+</w:t>
      </w:r>
      <w:r w:rsidR="004632D9" w:rsidRPr="00F0582C">
        <w:rPr>
          <w:rFonts w:ascii="Geneva" w:hAnsi="Geneva"/>
          <w:color w:val="000000" w:themeColor="text1"/>
          <w:kern w:val="0"/>
        </w:rPr>
        <w:t>Thy1.2</w:t>
      </w:r>
      <w:r w:rsidR="004632D9" w:rsidRPr="00F0582C">
        <w:rPr>
          <w:rFonts w:ascii="Geneva" w:hAnsi="Geneva"/>
          <w:color w:val="000000" w:themeColor="text1"/>
          <w:kern w:val="0"/>
          <w:vertAlign w:val="superscript"/>
        </w:rPr>
        <w:t>+</w:t>
      </w:r>
      <w:r w:rsidR="004632D9" w:rsidRPr="00F0582C">
        <w:rPr>
          <w:rFonts w:ascii="Geneva" w:hAnsi="Geneva"/>
          <w:color w:val="000000" w:themeColor="text1"/>
          <w:kern w:val="0"/>
        </w:rPr>
        <w:t>ST2</w:t>
      </w:r>
      <w:r w:rsidR="004632D9" w:rsidRPr="00F0582C">
        <w:rPr>
          <w:rFonts w:ascii="Geneva" w:hAnsi="Geneva"/>
          <w:color w:val="000000" w:themeColor="text1"/>
          <w:kern w:val="0"/>
          <w:vertAlign w:val="superscript"/>
        </w:rPr>
        <w:t>+</w:t>
      </w:r>
      <w:r w:rsidR="004632D9" w:rsidRPr="00F0582C">
        <w:rPr>
          <w:rFonts w:ascii="Geneva" w:hAnsi="Geneva"/>
          <w:color w:val="000000" w:themeColor="text1"/>
          <w:kern w:val="0"/>
        </w:rPr>
        <w:t>TCR</w:t>
      </w:r>
      <w:r w:rsidR="004632D9" w:rsidRPr="00F0582C">
        <w:rPr>
          <w:rFonts w:ascii="Symbol" w:hAnsi="Symbol"/>
          <w:color w:val="000000" w:themeColor="text1"/>
          <w:kern w:val="0"/>
        </w:rPr>
        <w:t></w:t>
      </w:r>
      <w:r w:rsidR="004632D9" w:rsidRPr="00F0582C">
        <w:rPr>
          <w:rFonts w:ascii="Geneva" w:hAnsi="Geneva"/>
          <w:color w:val="000000" w:themeColor="text1"/>
          <w:kern w:val="0"/>
          <w:vertAlign w:val="superscript"/>
        </w:rPr>
        <w:t>-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 cells were</w:t>
      </w:r>
      <w:r w:rsidR="00833130" w:rsidRPr="00F0582C">
        <w:rPr>
          <w:rFonts w:ascii="Geneva" w:hAnsi="Geneva"/>
          <w:color w:val="000000" w:themeColor="text1"/>
          <w:kern w:val="0"/>
        </w:rPr>
        <w:t xml:space="preserve"> then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 isolated as ILC2s </w:t>
      </w:r>
      <w:r w:rsidR="00833130" w:rsidRPr="00F0582C">
        <w:rPr>
          <w:rFonts w:ascii="Geneva" w:hAnsi="Geneva"/>
          <w:color w:val="000000" w:themeColor="text1"/>
          <w:kern w:val="0"/>
        </w:rPr>
        <w:t>by FACS</w:t>
      </w:r>
      <w:r w:rsidR="004632D9" w:rsidRPr="00F0582C">
        <w:rPr>
          <w:rFonts w:ascii="Geneva" w:hAnsi="Geneva"/>
          <w:color w:val="000000" w:themeColor="text1"/>
          <w:kern w:val="0"/>
        </w:rPr>
        <w:t>.</w:t>
      </w:r>
      <w:r w:rsidR="00622E5D" w:rsidRPr="00F0582C">
        <w:rPr>
          <w:rFonts w:ascii="Geneva" w:hAnsi="Geneva"/>
          <w:color w:val="000000" w:themeColor="text1"/>
          <w:kern w:val="0"/>
        </w:rPr>
        <w:t xml:space="preserve"> </w:t>
      </w:r>
      <w:r w:rsidR="004632D9" w:rsidRPr="00F0582C">
        <w:rPr>
          <w:rFonts w:ascii="Geneva" w:hAnsi="Geneva"/>
          <w:color w:val="000000" w:themeColor="text1"/>
          <w:kern w:val="0"/>
        </w:rPr>
        <w:t xml:space="preserve"> </w:t>
      </w:r>
      <w:r w:rsidR="00655507" w:rsidRPr="00F0582C">
        <w:rPr>
          <w:rFonts w:ascii="Geneva" w:hAnsi="Geneva" w:cs="Arial"/>
          <w:color w:val="000000" w:themeColor="text1"/>
        </w:rPr>
        <w:t>(</w:t>
      </w:r>
      <w:r w:rsidR="00655507" w:rsidRPr="00F0582C">
        <w:rPr>
          <w:rFonts w:ascii="Geneva" w:hAnsi="Geneva" w:cs="Arial"/>
          <w:b/>
          <w:color w:val="000000" w:themeColor="text1"/>
        </w:rPr>
        <w:t>d</w:t>
      </w:r>
      <w:r w:rsidR="00655507" w:rsidRPr="00F0582C">
        <w:rPr>
          <w:rFonts w:ascii="Geneva" w:hAnsi="Geneva" w:cs="Arial"/>
          <w:color w:val="000000" w:themeColor="text1"/>
        </w:rPr>
        <w:t>) Experimental protocol of generation of ST2</w:t>
      </w:r>
      <w:r w:rsidR="00655507" w:rsidRPr="00F0582C">
        <w:rPr>
          <w:rFonts w:ascii="Geneva" w:hAnsi="Geneva" w:cs="Arial"/>
          <w:color w:val="000000" w:themeColor="text1"/>
          <w:vertAlign w:val="superscript"/>
        </w:rPr>
        <w:t>hi</w:t>
      </w:r>
      <w:r w:rsidR="00655507" w:rsidRPr="00F0582C">
        <w:rPr>
          <w:rFonts w:ascii="Geneva" w:hAnsi="Geneva" w:cs="Arial"/>
          <w:color w:val="000000" w:themeColor="text1"/>
        </w:rPr>
        <w:t xml:space="preserve"> Memory phenotype CD4</w:t>
      </w:r>
      <w:r w:rsidR="00655507" w:rsidRPr="00F0582C">
        <w:rPr>
          <w:rFonts w:ascii="Geneva" w:hAnsi="Geneva" w:cs="Arial"/>
          <w:color w:val="000000" w:themeColor="text1"/>
          <w:vertAlign w:val="superscript"/>
        </w:rPr>
        <w:t>+</w:t>
      </w:r>
      <w:r w:rsidR="00655507" w:rsidRPr="00F0582C">
        <w:rPr>
          <w:rFonts w:ascii="Geneva" w:hAnsi="Geneva" w:cs="Arial"/>
          <w:color w:val="000000" w:themeColor="text1"/>
        </w:rPr>
        <w:t xml:space="preserve"> T (ST2</w:t>
      </w:r>
      <w:r w:rsidR="00655507" w:rsidRPr="00F0582C">
        <w:rPr>
          <w:rFonts w:ascii="Geneva" w:hAnsi="Geneva" w:cs="Arial"/>
          <w:color w:val="000000" w:themeColor="text1"/>
          <w:vertAlign w:val="superscript"/>
        </w:rPr>
        <w:t>hi</w:t>
      </w:r>
      <w:r w:rsidR="00655507" w:rsidRPr="00F0582C">
        <w:rPr>
          <w:rFonts w:ascii="Geneva" w:hAnsi="Geneva" w:cs="Arial"/>
          <w:color w:val="000000" w:themeColor="text1"/>
        </w:rPr>
        <w:t xml:space="preserve"> MPCD4) cells and ILC2s from naïve BALB/c mice.  Recombinant mouse IL-33 0.5 </w:t>
      </w:r>
      <w:r w:rsidR="00655507" w:rsidRPr="00F0582C">
        <w:rPr>
          <w:rFonts w:ascii="Symbol" w:hAnsi="Symbol" w:cs="Arial"/>
          <w:color w:val="000000" w:themeColor="text1"/>
        </w:rPr>
        <w:t></w:t>
      </w:r>
      <w:r w:rsidR="00655507" w:rsidRPr="00F0582C">
        <w:rPr>
          <w:rFonts w:ascii="Geneva" w:hAnsi="Geneva" w:cs="Arial"/>
          <w:color w:val="000000" w:themeColor="text1"/>
        </w:rPr>
        <w:t xml:space="preserve">g was injected intraperitoneally to each mouse for consecutive 5 days. </w:t>
      </w:r>
      <w:r w:rsidR="00655507" w:rsidRPr="00F0582C">
        <w:rPr>
          <w:rFonts w:ascii="Geneva" w:hAnsi="Geneva"/>
          <w:color w:val="000000" w:themeColor="text1"/>
          <w:kern w:val="0"/>
        </w:rPr>
        <w:t xml:space="preserve"> Then, ILC2s and </w:t>
      </w:r>
      <w:r w:rsidR="00655507" w:rsidRPr="00F0582C">
        <w:rPr>
          <w:rFonts w:ascii="Geneva" w:hAnsi="Geneva" w:cs="Arial"/>
          <w:color w:val="000000" w:themeColor="text1"/>
        </w:rPr>
        <w:t>ST2</w:t>
      </w:r>
      <w:r w:rsidR="00655507" w:rsidRPr="00F0582C">
        <w:rPr>
          <w:rFonts w:ascii="Geneva" w:hAnsi="Geneva" w:cs="Arial"/>
          <w:color w:val="000000" w:themeColor="text1"/>
          <w:vertAlign w:val="superscript"/>
        </w:rPr>
        <w:t>hi</w:t>
      </w:r>
      <w:r w:rsidR="00655507" w:rsidRPr="00F0582C">
        <w:rPr>
          <w:rFonts w:ascii="Geneva" w:hAnsi="Geneva" w:cs="Arial"/>
          <w:color w:val="000000" w:themeColor="text1"/>
        </w:rPr>
        <w:t xml:space="preserve"> MPCD4</w:t>
      </w:r>
      <w:r w:rsidR="00655507" w:rsidRPr="00F0582C">
        <w:rPr>
          <w:rFonts w:ascii="Geneva" w:hAnsi="Geneva"/>
          <w:color w:val="000000" w:themeColor="text1"/>
          <w:kern w:val="0"/>
        </w:rPr>
        <w:t xml:space="preserve"> cells were simultaneously isolated from the spleen. </w:t>
      </w:r>
      <w:r w:rsidR="002474E0" w:rsidRPr="00F0582C">
        <w:rPr>
          <w:rFonts w:ascii="Geneva" w:hAnsi="Geneva"/>
          <w:color w:val="000000" w:themeColor="text1"/>
          <w:kern w:val="0"/>
        </w:rPr>
        <w:t xml:space="preserve"> </w:t>
      </w:r>
      <w:r w:rsidR="00B018B4" w:rsidRPr="00F0582C">
        <w:rPr>
          <w:rFonts w:ascii="Geneva" w:hAnsi="Geneva"/>
          <w:color w:val="000000" w:themeColor="text1"/>
          <w:kern w:val="0"/>
        </w:rPr>
        <w:t>(</w:t>
      </w:r>
      <w:r w:rsidR="004632D9" w:rsidRPr="00F0582C">
        <w:rPr>
          <w:rFonts w:ascii="Geneva" w:hAnsi="Geneva"/>
          <w:b/>
          <w:color w:val="000000" w:themeColor="text1"/>
          <w:kern w:val="0"/>
        </w:rPr>
        <w:t>e</w:t>
      </w:r>
      <w:r w:rsidR="005E19F2" w:rsidRPr="00F0582C">
        <w:rPr>
          <w:rFonts w:ascii="Geneva" w:hAnsi="Geneva"/>
          <w:color w:val="000000" w:themeColor="text1"/>
          <w:kern w:val="0"/>
        </w:rPr>
        <w:t>)</w:t>
      </w:r>
      <w:r w:rsidR="00B018B4" w:rsidRPr="00F0582C">
        <w:rPr>
          <w:rFonts w:ascii="Geneva" w:hAnsi="Geneva" w:cs="Arial"/>
          <w:color w:val="000000" w:themeColor="text1"/>
        </w:rPr>
        <w:t xml:space="preserve"> </w:t>
      </w:r>
      <w:r w:rsidR="005E19F2" w:rsidRPr="00F0582C">
        <w:rPr>
          <w:rFonts w:ascii="Geneva" w:hAnsi="Geneva"/>
          <w:color w:val="000000" w:themeColor="text1"/>
          <w:kern w:val="0"/>
        </w:rPr>
        <w:t>Quantitative RT-PCR a</w:t>
      </w:r>
      <w:r w:rsidR="001C4B92" w:rsidRPr="00F0582C">
        <w:rPr>
          <w:rFonts w:ascii="Geneva" w:hAnsi="Geneva"/>
          <w:color w:val="000000" w:themeColor="text1"/>
          <w:kern w:val="0"/>
        </w:rPr>
        <w:t>nalysis of surface molecules in</w:t>
      </w:r>
      <w:r w:rsidR="005E19F2" w:rsidRPr="00F0582C">
        <w:rPr>
          <w:rFonts w:ascii="Geneva" w:hAnsi="Geneva"/>
          <w:color w:val="000000" w:themeColor="text1"/>
          <w:kern w:val="0"/>
        </w:rPr>
        <w:t xml:space="preserve"> ILC2s</w:t>
      </w:r>
      <w:r w:rsidR="001C4B92" w:rsidRPr="00F0582C">
        <w:rPr>
          <w:rFonts w:ascii="Geneva" w:hAnsi="Geneva"/>
          <w:color w:val="000000" w:themeColor="text1"/>
          <w:kern w:val="0"/>
        </w:rPr>
        <w:t xml:space="preserve"> and Tpath2 cells</w:t>
      </w:r>
      <w:r w:rsidR="005E19F2" w:rsidRPr="00F0582C">
        <w:rPr>
          <w:rFonts w:ascii="Geneva" w:hAnsi="Geneva"/>
          <w:color w:val="000000" w:themeColor="text1"/>
          <w:kern w:val="0"/>
        </w:rPr>
        <w:t>.</w:t>
      </w:r>
      <w:r w:rsidR="00994260" w:rsidRPr="00F0582C">
        <w:rPr>
          <w:rFonts w:ascii="Geneva" w:hAnsi="Geneva"/>
          <w:color w:val="000000" w:themeColor="text1"/>
          <w:kern w:val="0"/>
        </w:rPr>
        <w:t xml:space="preserve"> </w:t>
      </w:r>
      <w:r w:rsidR="005E19F2" w:rsidRPr="00F0582C">
        <w:rPr>
          <w:rFonts w:ascii="Geneva" w:hAnsi="Geneva"/>
          <w:color w:val="000000" w:themeColor="text1"/>
          <w:kern w:val="0"/>
        </w:rPr>
        <w:t xml:space="preserve"> </w:t>
      </w:r>
      <w:r w:rsidR="005E19F2" w:rsidRPr="00F0582C">
        <w:rPr>
          <w:rFonts w:ascii="Geneva" w:hAnsi="Geneva" w:cs="Arial"/>
          <w:color w:val="000000" w:themeColor="text1"/>
        </w:rPr>
        <w:t xml:space="preserve">Relative expression (normalized to </w:t>
      </w:r>
      <w:r w:rsidR="005E19F2" w:rsidRPr="00F0582C">
        <w:rPr>
          <w:rFonts w:ascii="Geneva" w:hAnsi="Geneva" w:cs="Arial"/>
          <w:i/>
          <w:color w:val="000000" w:themeColor="text1"/>
        </w:rPr>
        <w:t>18S</w:t>
      </w:r>
      <w:r w:rsidR="005E19F2" w:rsidRPr="00F0582C">
        <w:rPr>
          <w:rFonts w:ascii="Geneva" w:hAnsi="Geneva" w:cs="Arial"/>
          <w:color w:val="000000" w:themeColor="text1"/>
        </w:rPr>
        <w:t xml:space="preserve">) is shown with standard deviations. </w:t>
      </w:r>
      <w:r w:rsidR="00994260" w:rsidRPr="00F0582C">
        <w:rPr>
          <w:rFonts w:ascii="Geneva" w:hAnsi="Geneva" w:cs="Arial"/>
          <w:color w:val="000000" w:themeColor="text1"/>
        </w:rPr>
        <w:t xml:space="preserve"> </w:t>
      </w:r>
      <w:r w:rsidR="00407941" w:rsidRPr="00F0582C">
        <w:rPr>
          <w:rFonts w:ascii="Geneva" w:hAnsi="Geneva" w:cs="Arial"/>
          <w:color w:val="000000" w:themeColor="text1"/>
        </w:rPr>
        <w:t>(</w:t>
      </w:r>
      <w:r w:rsidR="004632D9" w:rsidRPr="00F0582C">
        <w:rPr>
          <w:rFonts w:ascii="Geneva" w:hAnsi="Geneva" w:cs="Arial"/>
          <w:b/>
          <w:color w:val="000000" w:themeColor="text1"/>
        </w:rPr>
        <w:t>f</w:t>
      </w:r>
      <w:r w:rsidR="00481F87" w:rsidRPr="00F0582C">
        <w:rPr>
          <w:rFonts w:ascii="Geneva" w:hAnsi="Geneva" w:cs="Arial"/>
          <w:color w:val="000000" w:themeColor="text1"/>
        </w:rPr>
        <w:t xml:space="preserve">) Schematic representation of the murine </w:t>
      </w:r>
      <w:r w:rsidR="00481F87" w:rsidRPr="00F0582C">
        <w:rPr>
          <w:rFonts w:ascii="Geneva" w:hAnsi="Geneva" w:cs="Arial"/>
          <w:i/>
          <w:color w:val="000000" w:themeColor="text1"/>
        </w:rPr>
        <w:t>Il5</w:t>
      </w:r>
      <w:r w:rsidR="00242AEC" w:rsidRPr="00F0582C">
        <w:rPr>
          <w:rFonts w:ascii="Geneva" w:hAnsi="Geneva" w:cs="Arial"/>
          <w:color w:val="000000" w:themeColor="text1"/>
        </w:rPr>
        <w:t xml:space="preserve"> gene loci</w:t>
      </w:r>
      <w:r w:rsidR="00481F87" w:rsidRPr="00F0582C">
        <w:rPr>
          <w:rFonts w:ascii="Geneva" w:hAnsi="Geneva" w:cs="Arial"/>
          <w:color w:val="000000" w:themeColor="text1"/>
        </w:rPr>
        <w:t>.  The locations of primers a</w:t>
      </w:r>
      <w:r w:rsidR="001C4B92" w:rsidRPr="00F0582C">
        <w:rPr>
          <w:rFonts w:ascii="Geneva" w:hAnsi="Geneva" w:cs="Arial"/>
          <w:color w:val="000000" w:themeColor="text1"/>
        </w:rPr>
        <w:t>nd probes (upstream region 2 [U2</w:t>
      </w:r>
      <w:r w:rsidR="00481F87" w:rsidRPr="00F0582C">
        <w:rPr>
          <w:rFonts w:ascii="Geneva" w:hAnsi="Geneva" w:cs="Arial"/>
          <w:color w:val="000000" w:themeColor="text1"/>
        </w:rPr>
        <w:t xml:space="preserve">] to </w:t>
      </w:r>
      <w:r w:rsidR="00481F87" w:rsidRPr="00F0582C">
        <w:rPr>
          <w:rFonts w:ascii="Geneva" w:hAnsi="Geneva" w:cs="Arial"/>
          <w:i/>
          <w:color w:val="000000" w:themeColor="text1"/>
        </w:rPr>
        <w:t>Il5</w:t>
      </w:r>
      <w:r w:rsidR="00481F87" w:rsidRPr="00F0582C">
        <w:rPr>
          <w:rFonts w:ascii="Geneva" w:hAnsi="Geneva" w:cs="Arial"/>
          <w:color w:val="000000" w:themeColor="text1"/>
        </w:rPr>
        <w:t xml:space="preserve"> intron 1 [</w:t>
      </w:r>
      <w:r w:rsidR="00481F87" w:rsidRPr="00F0582C">
        <w:rPr>
          <w:rFonts w:ascii="Geneva" w:hAnsi="Geneva" w:cs="Arial"/>
          <w:i/>
          <w:color w:val="000000" w:themeColor="text1"/>
        </w:rPr>
        <w:t>Il5</w:t>
      </w:r>
      <w:r w:rsidR="00481F87" w:rsidRPr="00F0582C">
        <w:rPr>
          <w:rFonts w:ascii="Geneva" w:hAnsi="Geneva" w:cs="Arial"/>
          <w:color w:val="000000" w:themeColor="text1"/>
        </w:rPr>
        <w:t xml:space="preserve"> int .1]) and exons are indicated. </w:t>
      </w:r>
      <w:r w:rsidR="00956AEB" w:rsidRPr="00F0582C">
        <w:rPr>
          <w:rFonts w:ascii="Geneva" w:hAnsi="Geneva" w:cs="Arial"/>
          <w:color w:val="000000" w:themeColor="text1"/>
        </w:rPr>
        <w:t xml:space="preserve"> </w:t>
      </w:r>
      <w:r w:rsidR="00153315" w:rsidRPr="00F0582C">
        <w:rPr>
          <w:rFonts w:ascii="Geneva" w:hAnsi="Geneva" w:cs="Arial"/>
          <w:color w:val="000000" w:themeColor="text1"/>
        </w:rPr>
        <w:t>(</w:t>
      </w:r>
      <w:r w:rsidR="00153315" w:rsidRPr="00F0582C">
        <w:rPr>
          <w:rFonts w:ascii="Geneva" w:hAnsi="Geneva" w:cs="Arial"/>
          <w:b/>
          <w:color w:val="000000" w:themeColor="text1"/>
        </w:rPr>
        <w:t>g</w:t>
      </w:r>
      <w:r w:rsidR="00481F87" w:rsidRPr="00F0582C">
        <w:rPr>
          <w:rFonts w:ascii="Geneva" w:hAnsi="Geneva" w:cs="Arial"/>
          <w:color w:val="000000" w:themeColor="text1"/>
        </w:rPr>
        <w:t xml:space="preserve">) Schematic representation of the murine </w:t>
      </w:r>
      <w:r w:rsidR="00481F87" w:rsidRPr="00F0582C">
        <w:rPr>
          <w:rFonts w:ascii="Geneva" w:hAnsi="Geneva" w:cs="Arial"/>
          <w:i/>
          <w:color w:val="000000" w:themeColor="text1"/>
        </w:rPr>
        <w:t>CGRE, Il13</w:t>
      </w:r>
      <w:r w:rsidR="00481F87" w:rsidRPr="00F0582C">
        <w:rPr>
          <w:rFonts w:ascii="Geneva" w:hAnsi="Geneva" w:cs="Arial"/>
          <w:color w:val="000000" w:themeColor="text1"/>
        </w:rPr>
        <w:t>p</w:t>
      </w:r>
      <w:r w:rsidR="00481F87" w:rsidRPr="00F0582C">
        <w:rPr>
          <w:rFonts w:ascii="Geneva" w:hAnsi="Geneva" w:cs="Arial"/>
          <w:i/>
          <w:color w:val="000000" w:themeColor="text1"/>
        </w:rPr>
        <w:t>, CNS1 and Il4</w:t>
      </w:r>
      <w:r w:rsidR="00481F87" w:rsidRPr="00F0582C">
        <w:rPr>
          <w:rFonts w:ascii="Geneva" w:hAnsi="Geneva" w:cs="Arial"/>
          <w:color w:val="000000" w:themeColor="text1"/>
        </w:rPr>
        <w:t>p locus.</w:t>
      </w:r>
      <w:r w:rsidR="00242AEC" w:rsidRPr="00F0582C">
        <w:rPr>
          <w:rFonts w:ascii="Geneva" w:hAnsi="Geneva" w:cs="Arial"/>
          <w:color w:val="000000" w:themeColor="text1"/>
        </w:rPr>
        <w:t xml:space="preserve">  </w:t>
      </w:r>
      <w:r w:rsidR="005E19F2" w:rsidRPr="00F0582C">
        <w:rPr>
          <w:rFonts w:ascii="Geneva" w:hAnsi="Geneva" w:cs="Arial"/>
          <w:color w:val="000000" w:themeColor="text1"/>
        </w:rPr>
        <w:t>More than five independent experiments were performed and showed similar results</w:t>
      </w:r>
      <w:r w:rsidR="00753684" w:rsidRPr="00F0582C">
        <w:rPr>
          <w:rFonts w:ascii="Geneva" w:hAnsi="Geneva" w:cs="Arial"/>
          <w:color w:val="000000" w:themeColor="text1"/>
        </w:rPr>
        <w:t xml:space="preserve"> (</w:t>
      </w:r>
      <w:r w:rsidR="004632D9" w:rsidRPr="00F0582C">
        <w:rPr>
          <w:rFonts w:ascii="Geneva" w:hAnsi="Geneva" w:cs="Arial"/>
          <w:b/>
          <w:color w:val="000000" w:themeColor="text1"/>
        </w:rPr>
        <w:t>e</w:t>
      </w:r>
      <w:r w:rsidR="00753684" w:rsidRPr="00F0582C">
        <w:rPr>
          <w:rFonts w:ascii="Geneva" w:hAnsi="Geneva" w:cs="Arial"/>
          <w:color w:val="000000" w:themeColor="text1"/>
        </w:rPr>
        <w:t>)</w:t>
      </w:r>
      <w:r w:rsidR="005E19F2" w:rsidRPr="00F0582C">
        <w:rPr>
          <w:rFonts w:ascii="Geneva" w:hAnsi="Geneva" w:cs="Arial"/>
          <w:color w:val="000000" w:themeColor="text1"/>
        </w:rPr>
        <w:t>.</w:t>
      </w:r>
    </w:p>
    <w:p w14:paraId="5CF579D7" w14:textId="4E7D28B7" w:rsidR="00CD1FE4" w:rsidRPr="00F0582C" w:rsidRDefault="00CD1FE4" w:rsidP="005E19F2">
      <w:pPr>
        <w:spacing w:line="360" w:lineRule="auto"/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color w:val="000000" w:themeColor="text1"/>
        </w:rPr>
        <w:br w:type="page"/>
      </w:r>
    </w:p>
    <w:p w14:paraId="328FE46D" w14:textId="59893907" w:rsidR="004632D9" w:rsidRPr="00F0582C" w:rsidRDefault="00A56E66" w:rsidP="005E19F2">
      <w:pPr>
        <w:spacing w:line="360" w:lineRule="auto"/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noProof/>
          <w:color w:val="000000" w:themeColor="text1"/>
        </w:rPr>
        <w:lastRenderedPageBreak/>
        <w:drawing>
          <wp:inline distT="0" distB="0" distL="0" distR="0" wp14:anchorId="005D9611" wp14:editId="3901A481">
            <wp:extent cx="5396230" cy="6586220"/>
            <wp:effectExtent l="0" t="0" r="0" b="0"/>
            <wp:docPr id="358" name="図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SFig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658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0C3C1" w14:textId="77777777" w:rsidR="00A56E66" w:rsidRPr="00F0582C" w:rsidRDefault="00A56E66" w:rsidP="005E19F2">
      <w:pPr>
        <w:spacing w:line="360" w:lineRule="auto"/>
        <w:rPr>
          <w:rFonts w:ascii="Geneva" w:hAnsi="Geneva" w:cs="Arial"/>
          <w:color w:val="000000" w:themeColor="text1"/>
        </w:rPr>
      </w:pPr>
    </w:p>
    <w:p w14:paraId="0FEB20C2" w14:textId="5B84F395" w:rsidR="005E19F2" w:rsidRPr="00F0582C" w:rsidRDefault="00DB0273" w:rsidP="00CA69A3">
      <w:pPr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t>Supplementary Fig. 2.</w:t>
      </w:r>
      <w:r w:rsidR="005E19F2" w:rsidRPr="00F0582C">
        <w:rPr>
          <w:rFonts w:ascii="Geneva" w:hAnsi="Geneva" w:cs="Arial"/>
          <w:b/>
          <w:color w:val="000000" w:themeColor="text1"/>
        </w:rPr>
        <w:t xml:space="preserve"> Selected gene expression profiles from RNA-seq dataset in Tpath2, ILC2s and Effector Th2 cells</w:t>
      </w:r>
      <w:r w:rsidRPr="00F0582C">
        <w:rPr>
          <w:rFonts w:ascii="Geneva" w:hAnsi="Geneva" w:cs="Arial"/>
          <w:b/>
          <w:color w:val="000000" w:themeColor="text1"/>
        </w:rPr>
        <w:t>.</w:t>
      </w:r>
    </w:p>
    <w:p w14:paraId="2482C72A" w14:textId="4A7FBE7E" w:rsidR="002968C4" w:rsidRPr="00F0582C" w:rsidRDefault="005E19F2" w:rsidP="00CA69A3">
      <w:pPr>
        <w:widowControl/>
        <w:jc w:val="left"/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color w:val="000000" w:themeColor="text1"/>
        </w:rPr>
        <w:t>(</w:t>
      </w:r>
      <w:r w:rsidR="00DB0273" w:rsidRPr="00F0582C">
        <w:rPr>
          <w:rFonts w:ascii="Geneva" w:hAnsi="Geneva" w:cs="Arial"/>
          <w:b/>
          <w:color w:val="000000" w:themeColor="text1"/>
        </w:rPr>
        <w:t>a</w:t>
      </w:r>
      <w:r w:rsidRPr="00F0582C">
        <w:rPr>
          <w:rFonts w:ascii="Geneva" w:hAnsi="Geneva" w:cs="Arial"/>
          <w:color w:val="000000" w:themeColor="text1"/>
        </w:rPr>
        <w:t xml:space="preserve">) </w:t>
      </w:r>
      <w:r w:rsidR="00407941" w:rsidRPr="00F0582C">
        <w:rPr>
          <w:rFonts w:ascii="Geneva" w:hAnsi="Geneva" w:cs="Arial"/>
          <w:color w:val="000000" w:themeColor="text1"/>
        </w:rPr>
        <w:t>The table shows top rank</w:t>
      </w:r>
      <w:r w:rsidR="00A86C9F" w:rsidRPr="00F0582C">
        <w:rPr>
          <w:rFonts w:ascii="Geneva" w:hAnsi="Geneva" w:cs="Arial"/>
          <w:color w:val="000000" w:themeColor="text1"/>
        </w:rPr>
        <w:t>ed</w:t>
      </w:r>
      <w:r w:rsidR="00407941" w:rsidRPr="00F0582C">
        <w:rPr>
          <w:rFonts w:ascii="Geneva" w:hAnsi="Geneva" w:cs="Arial"/>
          <w:color w:val="000000" w:themeColor="text1"/>
        </w:rPr>
        <w:t xml:space="preserve"> genes expressed </w:t>
      </w:r>
      <w:r w:rsidR="00A86C9F" w:rsidRPr="00F0582C">
        <w:rPr>
          <w:rFonts w:ascii="Geneva" w:hAnsi="Geneva" w:cs="Arial"/>
          <w:color w:val="000000" w:themeColor="text1"/>
        </w:rPr>
        <w:t xml:space="preserve">more highly </w:t>
      </w:r>
      <w:r w:rsidR="00407941" w:rsidRPr="00F0582C">
        <w:rPr>
          <w:rFonts w:ascii="Geneva" w:hAnsi="Geneva" w:cs="Arial"/>
          <w:color w:val="000000" w:themeColor="text1"/>
        </w:rPr>
        <w:t>in Tpath2 cells than ILC2s.  Transcripts expressed above 10</w:t>
      </w:r>
      <w:r w:rsidR="00407941" w:rsidRPr="00F0582C">
        <w:rPr>
          <w:rFonts w:ascii="ヒラギノ角ゴ Pro W3" w:hAnsi="ヒラギノ角ゴ Pro W3" w:cs="Arial"/>
          <w:color w:val="000000" w:themeColor="text1"/>
        </w:rPr>
        <w:t xml:space="preserve"> </w:t>
      </w:r>
      <w:r w:rsidR="00407941" w:rsidRPr="00F0582C">
        <w:rPr>
          <w:rFonts w:ascii="Geneva" w:hAnsi="Geneva" w:cs="Arial"/>
          <w:color w:val="000000" w:themeColor="text1"/>
        </w:rPr>
        <w:t xml:space="preserve">FPKM in Tpath2 cells were used.  </w:t>
      </w:r>
      <w:r w:rsidRPr="00F0582C">
        <w:rPr>
          <w:rFonts w:ascii="Geneva" w:hAnsi="Geneva" w:cs="Arial"/>
          <w:color w:val="000000" w:themeColor="text1"/>
        </w:rPr>
        <w:t>(</w:t>
      </w:r>
      <w:r w:rsidR="00DB0273" w:rsidRPr="00F0582C">
        <w:rPr>
          <w:rFonts w:ascii="Geneva" w:hAnsi="Geneva" w:cs="Arial"/>
          <w:b/>
          <w:color w:val="000000" w:themeColor="text1"/>
        </w:rPr>
        <w:t>b</w:t>
      </w:r>
      <w:r w:rsidRPr="00F0582C">
        <w:rPr>
          <w:rFonts w:ascii="Geneva" w:hAnsi="Geneva" w:cs="Arial"/>
          <w:color w:val="000000" w:themeColor="text1"/>
        </w:rPr>
        <w:t xml:space="preserve">) </w:t>
      </w:r>
      <w:r w:rsidR="00AE7DA8" w:rsidRPr="00F0582C">
        <w:rPr>
          <w:rFonts w:ascii="Geneva" w:hAnsi="Geneva" w:cs="Arial"/>
          <w:color w:val="000000" w:themeColor="text1"/>
        </w:rPr>
        <w:t xml:space="preserve">Venn diagram shows the overlap of genes in Tpath2 </w:t>
      </w:r>
      <w:r w:rsidR="00815606" w:rsidRPr="00F0582C">
        <w:rPr>
          <w:rFonts w:ascii="Geneva" w:hAnsi="Geneva" w:cs="Arial"/>
          <w:color w:val="000000" w:themeColor="text1"/>
        </w:rPr>
        <w:t>c</w:t>
      </w:r>
      <w:r w:rsidR="00AE7DA8" w:rsidRPr="00F0582C">
        <w:rPr>
          <w:rFonts w:ascii="Geneva" w:hAnsi="Geneva" w:cs="Arial"/>
          <w:color w:val="000000" w:themeColor="text1"/>
        </w:rPr>
        <w:t xml:space="preserve">ells </w:t>
      </w:r>
      <w:r w:rsidR="00AE7DA8" w:rsidRPr="00F0582C">
        <w:rPr>
          <w:rFonts w:ascii="Geneva" w:hAnsi="Geneva" w:cs="Arial"/>
          <w:color w:val="000000" w:themeColor="text1"/>
        </w:rPr>
        <w:lastRenderedPageBreak/>
        <w:t xml:space="preserve">and </w:t>
      </w:r>
      <w:r w:rsidR="00A86C9F" w:rsidRPr="00F0582C">
        <w:rPr>
          <w:rFonts w:ascii="Geneva" w:hAnsi="Geneva" w:cs="Arial"/>
          <w:color w:val="000000" w:themeColor="text1"/>
        </w:rPr>
        <w:t>e</w:t>
      </w:r>
      <w:r w:rsidR="00D858FD" w:rsidRPr="00F0582C">
        <w:rPr>
          <w:rFonts w:ascii="Geneva" w:hAnsi="Geneva" w:cs="Arial"/>
          <w:color w:val="000000" w:themeColor="text1"/>
        </w:rPr>
        <w:t>ffector Th2 cells</w:t>
      </w:r>
      <w:r w:rsidR="00AE7DA8" w:rsidRPr="00F0582C">
        <w:rPr>
          <w:rFonts w:ascii="Geneva" w:hAnsi="Geneva" w:cs="Arial"/>
          <w:color w:val="000000" w:themeColor="text1"/>
        </w:rPr>
        <w:t xml:space="preserve"> at the steady state.</w:t>
      </w:r>
      <w:r w:rsidR="00335C1D" w:rsidRPr="00F0582C">
        <w:rPr>
          <w:rFonts w:ascii="Geneva" w:hAnsi="Geneva" w:cs="Arial"/>
          <w:color w:val="000000" w:themeColor="text1"/>
        </w:rPr>
        <w:t xml:space="preserve"> </w:t>
      </w:r>
      <w:r w:rsidR="00915BF6" w:rsidRPr="00F0582C">
        <w:rPr>
          <w:rFonts w:ascii="Geneva" w:hAnsi="Geneva" w:cs="Arial"/>
          <w:color w:val="000000" w:themeColor="text1"/>
        </w:rPr>
        <w:t xml:space="preserve"> </w:t>
      </w:r>
      <w:r w:rsidR="00A86C9F" w:rsidRPr="00F0582C">
        <w:rPr>
          <w:rFonts w:ascii="Geneva" w:hAnsi="Geneva" w:cs="Arial"/>
          <w:color w:val="000000" w:themeColor="text1"/>
        </w:rPr>
        <w:t>Genes expressed more than 5 fold higher in</w:t>
      </w:r>
      <w:r w:rsidR="00335C1D" w:rsidRPr="00F0582C">
        <w:rPr>
          <w:rFonts w:ascii="Geneva" w:hAnsi="Geneva" w:cs="Arial"/>
          <w:color w:val="000000" w:themeColor="text1"/>
        </w:rPr>
        <w:t xml:space="preserve"> </w:t>
      </w:r>
      <w:r w:rsidR="00B642CD" w:rsidRPr="00F0582C">
        <w:rPr>
          <w:rFonts w:ascii="Geneva" w:hAnsi="Geneva" w:cs="Arial" w:hint="eastAsia"/>
          <w:color w:val="000000" w:themeColor="text1"/>
        </w:rPr>
        <w:t>Tpaht2 cells</w:t>
      </w:r>
      <w:r w:rsidR="008A23E9" w:rsidRPr="00F0582C">
        <w:rPr>
          <w:rFonts w:ascii="Geneva" w:hAnsi="Geneva" w:cs="Arial"/>
          <w:color w:val="000000" w:themeColor="text1"/>
        </w:rPr>
        <w:t xml:space="preserve"> and effector Th2 cells</w:t>
      </w:r>
      <w:r w:rsidR="00B642CD" w:rsidRPr="00F0582C">
        <w:rPr>
          <w:rFonts w:ascii="Geneva" w:hAnsi="Geneva" w:cs="Arial" w:hint="eastAsia"/>
          <w:color w:val="000000" w:themeColor="text1"/>
        </w:rPr>
        <w:t xml:space="preserve"> as </w:t>
      </w:r>
      <w:r w:rsidR="00B642CD" w:rsidRPr="00F0582C">
        <w:rPr>
          <w:rFonts w:ascii="Geneva" w:hAnsi="Geneva" w:cs="Arial"/>
          <w:color w:val="000000" w:themeColor="text1"/>
        </w:rPr>
        <w:t>compared</w:t>
      </w:r>
      <w:r w:rsidR="00B642CD" w:rsidRPr="00F0582C">
        <w:rPr>
          <w:rFonts w:ascii="Geneva" w:hAnsi="Geneva" w:cs="Arial" w:hint="eastAsia"/>
          <w:color w:val="000000" w:themeColor="text1"/>
        </w:rPr>
        <w:t xml:space="preserve"> to </w:t>
      </w:r>
      <w:r w:rsidR="00335C1D" w:rsidRPr="00F0582C">
        <w:rPr>
          <w:rFonts w:ascii="Geneva" w:hAnsi="Geneva" w:cs="Arial"/>
          <w:color w:val="000000" w:themeColor="text1"/>
        </w:rPr>
        <w:t xml:space="preserve">ILC2s are shown. </w:t>
      </w:r>
      <w:r w:rsidR="008A23E9" w:rsidRPr="00F0582C">
        <w:rPr>
          <w:rFonts w:ascii="Geneva" w:hAnsi="Geneva" w:cs="Arial"/>
          <w:color w:val="000000" w:themeColor="text1"/>
        </w:rPr>
        <w:t xml:space="preserve"> </w:t>
      </w:r>
      <w:r w:rsidR="00AE7DA8" w:rsidRPr="00F0582C">
        <w:rPr>
          <w:rFonts w:ascii="Geneva" w:hAnsi="Geneva" w:cs="Arial"/>
          <w:color w:val="000000" w:themeColor="text1"/>
        </w:rPr>
        <w:t>(</w:t>
      </w:r>
      <w:r w:rsidR="00DB0273" w:rsidRPr="00F0582C">
        <w:rPr>
          <w:rFonts w:ascii="Geneva" w:hAnsi="Geneva" w:cs="Arial"/>
          <w:b/>
          <w:color w:val="000000" w:themeColor="text1"/>
        </w:rPr>
        <w:t>c</w:t>
      </w:r>
      <w:r w:rsidR="00AE7DA8" w:rsidRPr="00F0582C">
        <w:rPr>
          <w:rFonts w:ascii="Geneva" w:hAnsi="Geneva" w:cs="Arial"/>
          <w:color w:val="000000" w:themeColor="text1"/>
        </w:rPr>
        <w:t>) Scatter plot of RNA-seq expression analysis showing a comparison of read counts between Tpath2 cells (Y axis) and ILC2s (X axis) with logarithmic scales.</w:t>
      </w:r>
      <w:r w:rsidRPr="00F0582C">
        <w:rPr>
          <w:rFonts w:ascii="Geneva" w:hAnsi="Geneva" w:cs="Arial"/>
          <w:color w:val="000000" w:themeColor="text1"/>
        </w:rPr>
        <w:t xml:space="preserve"> </w:t>
      </w:r>
      <w:r w:rsidR="00E3655F" w:rsidRPr="00F0582C">
        <w:rPr>
          <w:rFonts w:ascii="Geneva" w:hAnsi="Geneva" w:cs="Arial"/>
          <w:color w:val="000000" w:themeColor="text1"/>
        </w:rPr>
        <w:t xml:space="preserve"> (</w:t>
      </w:r>
      <w:r w:rsidR="00DB0273" w:rsidRPr="00F0582C">
        <w:rPr>
          <w:rFonts w:ascii="Geneva" w:hAnsi="Geneva" w:cs="Arial"/>
          <w:b/>
          <w:color w:val="000000" w:themeColor="text1"/>
        </w:rPr>
        <w:t>d</w:t>
      </w:r>
      <w:r w:rsidR="00E3655F" w:rsidRPr="00F0582C">
        <w:rPr>
          <w:rFonts w:ascii="Geneva" w:hAnsi="Geneva" w:cs="Arial"/>
          <w:color w:val="000000" w:themeColor="text1"/>
        </w:rPr>
        <w:t xml:space="preserve">) A </w:t>
      </w:r>
      <w:r w:rsidR="00E3655F" w:rsidRPr="00F0582C">
        <w:rPr>
          <w:rFonts w:ascii="Geneva" w:hAnsi="Geneva"/>
          <w:color w:val="000000" w:themeColor="text1"/>
          <w:kern w:val="0"/>
        </w:rPr>
        <w:t>heatmap of the genes encoding members of MAP</w:t>
      </w:r>
      <w:r w:rsidR="00903C8D" w:rsidRPr="00F0582C">
        <w:rPr>
          <w:rFonts w:ascii="Geneva" w:hAnsi="Geneva"/>
          <w:color w:val="000000" w:themeColor="text1"/>
          <w:kern w:val="0"/>
        </w:rPr>
        <w:t xml:space="preserve"> kinase family</w:t>
      </w:r>
      <w:r w:rsidR="00E3655F" w:rsidRPr="00F0582C">
        <w:rPr>
          <w:rFonts w:ascii="Geneva" w:hAnsi="Geneva"/>
          <w:color w:val="000000" w:themeColor="text1"/>
          <w:kern w:val="0"/>
        </w:rPr>
        <w:t xml:space="preserve"> </w:t>
      </w:r>
      <w:r w:rsidR="00903C8D" w:rsidRPr="00F0582C">
        <w:rPr>
          <w:rFonts w:ascii="Geneva" w:hAnsi="Geneva"/>
          <w:color w:val="000000" w:themeColor="text1"/>
          <w:kern w:val="0"/>
        </w:rPr>
        <w:t>in</w:t>
      </w:r>
      <w:r w:rsidR="00E3655F" w:rsidRPr="00F0582C">
        <w:rPr>
          <w:rFonts w:ascii="Geneva" w:hAnsi="Geneva"/>
          <w:color w:val="000000" w:themeColor="text1"/>
          <w:kern w:val="0"/>
        </w:rPr>
        <w:t xml:space="preserve"> Tpath2 cells and ILC2s.</w:t>
      </w:r>
      <w:r w:rsidR="002968C4" w:rsidRPr="00F0582C">
        <w:rPr>
          <w:rFonts w:ascii="Geneva" w:hAnsi="Geneva"/>
          <w:color w:val="000000" w:themeColor="text1"/>
          <w:kern w:val="0"/>
        </w:rPr>
        <w:t xml:space="preserve">  (</w:t>
      </w:r>
      <w:r w:rsidR="00DB0273" w:rsidRPr="00F0582C">
        <w:rPr>
          <w:rFonts w:ascii="Geneva" w:hAnsi="Geneva"/>
          <w:b/>
          <w:color w:val="000000" w:themeColor="text1"/>
          <w:kern w:val="0"/>
        </w:rPr>
        <w:t>e</w:t>
      </w:r>
      <w:r w:rsidR="002968C4" w:rsidRPr="00F0582C">
        <w:rPr>
          <w:rFonts w:ascii="Geneva" w:hAnsi="Geneva"/>
          <w:color w:val="000000" w:themeColor="text1"/>
          <w:kern w:val="0"/>
        </w:rPr>
        <w:t xml:space="preserve">) </w:t>
      </w:r>
      <w:r w:rsidR="002968C4" w:rsidRPr="00F0582C">
        <w:rPr>
          <w:rFonts w:ascii="Geneva" w:hAnsi="Geneva" w:cs="Arial"/>
          <w:color w:val="000000" w:themeColor="text1"/>
        </w:rPr>
        <w:t>Quantitative RT-PCR analysis of</w:t>
      </w:r>
      <w:r w:rsidR="00EA0CDC" w:rsidRPr="00F0582C">
        <w:rPr>
          <w:rFonts w:ascii="Geneva" w:hAnsi="Geneva" w:cs="Arial"/>
          <w:color w:val="000000" w:themeColor="text1"/>
        </w:rPr>
        <w:t xml:space="preserve"> </w:t>
      </w:r>
      <w:r w:rsidR="00EA0CDC" w:rsidRPr="00F0582C">
        <w:rPr>
          <w:rFonts w:ascii="Geneva" w:hAnsi="Geneva" w:cs="Arial"/>
          <w:i/>
          <w:color w:val="000000" w:themeColor="text1"/>
        </w:rPr>
        <w:t>Du</w:t>
      </w:r>
      <w:r w:rsidR="002968C4" w:rsidRPr="00F0582C">
        <w:rPr>
          <w:rFonts w:ascii="Geneva" w:hAnsi="Geneva" w:cs="Arial"/>
          <w:i/>
          <w:color w:val="000000" w:themeColor="text1"/>
        </w:rPr>
        <w:t>sp10</w:t>
      </w:r>
      <w:r w:rsidR="002968C4" w:rsidRPr="00F0582C">
        <w:rPr>
          <w:rFonts w:ascii="Geneva" w:hAnsi="Geneva" w:cs="Arial"/>
          <w:color w:val="000000" w:themeColor="text1"/>
        </w:rPr>
        <w:t xml:space="preserve"> in </w:t>
      </w:r>
      <w:r w:rsidR="00815606" w:rsidRPr="00F0582C">
        <w:rPr>
          <w:rFonts w:ascii="Geneva" w:hAnsi="Geneva" w:cs="Arial"/>
          <w:color w:val="000000" w:themeColor="text1"/>
        </w:rPr>
        <w:t>ST2</w:t>
      </w:r>
      <w:r w:rsidR="00815606" w:rsidRPr="00F0582C">
        <w:rPr>
          <w:rFonts w:ascii="Geneva" w:hAnsi="Geneva" w:cs="Arial"/>
          <w:color w:val="000000" w:themeColor="text1"/>
          <w:vertAlign w:val="superscript"/>
        </w:rPr>
        <w:t>hi</w:t>
      </w:r>
      <w:r w:rsidR="00815606" w:rsidRPr="00F0582C">
        <w:rPr>
          <w:rFonts w:ascii="Geneva" w:hAnsi="Geneva" w:cs="Arial"/>
          <w:color w:val="000000" w:themeColor="text1"/>
        </w:rPr>
        <w:t xml:space="preserve"> </w:t>
      </w:r>
      <w:r w:rsidR="002968C4" w:rsidRPr="00F0582C">
        <w:rPr>
          <w:rFonts w:ascii="Geneva" w:hAnsi="Geneva" w:cs="Arial"/>
          <w:color w:val="000000" w:themeColor="text1"/>
        </w:rPr>
        <w:t>MPCD4</w:t>
      </w:r>
      <w:r w:rsidR="00915BF6" w:rsidRPr="00F0582C">
        <w:rPr>
          <w:rFonts w:ascii="Geneva" w:hAnsi="Geneva" w:cs="Arial"/>
          <w:color w:val="000000" w:themeColor="text1"/>
        </w:rPr>
        <w:t xml:space="preserve"> </w:t>
      </w:r>
      <w:r w:rsidR="002968C4" w:rsidRPr="00F0582C">
        <w:rPr>
          <w:rFonts w:ascii="Geneva" w:hAnsi="Geneva" w:cs="Arial"/>
          <w:color w:val="000000" w:themeColor="text1"/>
        </w:rPr>
        <w:t xml:space="preserve">T cells and ILC2s from naïve BALB/c mice. </w:t>
      </w:r>
      <w:r w:rsidR="00B90DC0" w:rsidRPr="00F0582C">
        <w:rPr>
          <w:rFonts w:ascii="Geneva" w:hAnsi="Geneva" w:cs="Arial"/>
          <w:color w:val="000000" w:themeColor="text1"/>
        </w:rPr>
        <w:t xml:space="preserve"> </w:t>
      </w:r>
      <w:r w:rsidR="002968C4" w:rsidRPr="00F0582C">
        <w:rPr>
          <w:rFonts w:ascii="Geneva" w:hAnsi="Geneva"/>
          <w:color w:val="000000" w:themeColor="text1"/>
          <w:kern w:val="0"/>
        </w:rPr>
        <w:t xml:space="preserve">Cell preparation protocol was same as shown in </w:t>
      </w:r>
      <w:r w:rsidR="00DB0273" w:rsidRPr="00F0582C">
        <w:rPr>
          <w:rFonts w:ascii="Geneva" w:hAnsi="Geneva"/>
          <w:color w:val="000000" w:themeColor="text1"/>
          <w:kern w:val="0"/>
        </w:rPr>
        <w:t xml:space="preserve">Supplementary </w:t>
      </w:r>
      <w:r w:rsidR="004C1799" w:rsidRPr="00F0582C">
        <w:rPr>
          <w:rFonts w:ascii="Geneva" w:hAnsi="Geneva" w:cs="Arial"/>
          <w:color w:val="000000" w:themeColor="text1"/>
        </w:rPr>
        <w:t>Fig. 1d</w:t>
      </w:r>
      <w:r w:rsidR="002968C4" w:rsidRPr="00F0582C">
        <w:rPr>
          <w:rFonts w:ascii="Geneva" w:hAnsi="Geneva" w:cs="Arial"/>
          <w:color w:val="000000" w:themeColor="text1"/>
        </w:rPr>
        <w:t>.</w:t>
      </w:r>
      <w:r w:rsidR="00FE192C" w:rsidRPr="00F0582C">
        <w:rPr>
          <w:rFonts w:ascii="Geneva" w:hAnsi="Geneva" w:cs="Arial"/>
          <w:color w:val="000000" w:themeColor="text1"/>
        </w:rPr>
        <w:t xml:space="preserve">  (</w:t>
      </w:r>
      <w:r w:rsidR="00FE192C" w:rsidRPr="00F0582C">
        <w:rPr>
          <w:rFonts w:ascii="Geneva" w:hAnsi="Geneva" w:cs="Arial"/>
          <w:b/>
          <w:color w:val="000000" w:themeColor="text1"/>
        </w:rPr>
        <w:t>f</w:t>
      </w:r>
      <w:r w:rsidR="00FE192C" w:rsidRPr="00F0582C">
        <w:rPr>
          <w:rFonts w:ascii="Geneva" w:hAnsi="Geneva" w:cs="Arial"/>
          <w:color w:val="000000" w:themeColor="text1"/>
        </w:rPr>
        <w:t>)</w:t>
      </w:r>
      <w:r w:rsidR="002968C4" w:rsidRPr="00F0582C">
        <w:rPr>
          <w:rFonts w:ascii="Geneva" w:hAnsi="Geneva" w:cs="Arial"/>
          <w:color w:val="000000" w:themeColor="text1"/>
        </w:rPr>
        <w:t xml:space="preserve"> </w:t>
      </w:r>
      <w:r w:rsidR="00FE192C" w:rsidRPr="00F0582C">
        <w:rPr>
          <w:rFonts w:ascii="Geneva" w:hAnsi="Geneva" w:cs="Arial"/>
          <w:color w:val="000000" w:themeColor="text1"/>
        </w:rPr>
        <w:t xml:space="preserve">Quantitative RT-PCR analysis of </w:t>
      </w:r>
      <w:r w:rsidR="00FE192C" w:rsidRPr="00F0582C">
        <w:rPr>
          <w:rFonts w:ascii="Geneva" w:hAnsi="Geneva" w:cs="Arial"/>
          <w:i/>
          <w:color w:val="000000" w:themeColor="text1"/>
        </w:rPr>
        <w:t>Dusp10</w:t>
      </w:r>
      <w:r w:rsidR="00FE192C" w:rsidRPr="00F0582C">
        <w:rPr>
          <w:rFonts w:ascii="Geneva" w:hAnsi="Geneva" w:cs="Arial"/>
          <w:color w:val="000000" w:themeColor="text1"/>
        </w:rPr>
        <w:t xml:space="preserve"> in</w:t>
      </w:r>
      <w:r w:rsidR="002B77A6" w:rsidRPr="00F0582C">
        <w:rPr>
          <w:rFonts w:ascii="Geneva" w:hAnsi="Geneva" w:cs="Arial"/>
          <w:color w:val="000000" w:themeColor="text1"/>
        </w:rPr>
        <w:t xml:space="preserve"> ILCs and effector Th cells. </w:t>
      </w:r>
      <w:r w:rsidR="00944D04" w:rsidRPr="00F0582C">
        <w:rPr>
          <w:rFonts w:ascii="Geneva" w:hAnsi="Geneva" w:cs="Arial"/>
          <w:color w:val="000000" w:themeColor="text1"/>
        </w:rPr>
        <w:t xml:space="preserve"> </w:t>
      </w:r>
      <w:r w:rsidR="00B91D65" w:rsidRPr="00F0582C">
        <w:rPr>
          <w:rFonts w:ascii="Geneva" w:hAnsi="Geneva" w:cs="Arial"/>
          <w:color w:val="000000" w:themeColor="text1"/>
        </w:rPr>
        <w:t xml:space="preserve">(See also Cell Preparation </w:t>
      </w:r>
      <w:r w:rsidR="004D2C7D" w:rsidRPr="00F0582C">
        <w:rPr>
          <w:rFonts w:ascii="Geneva" w:hAnsi="Geneva" w:cs="Arial"/>
          <w:color w:val="000000" w:themeColor="text1"/>
        </w:rPr>
        <w:t xml:space="preserve">in the </w:t>
      </w:r>
      <w:r w:rsidR="00B91D65" w:rsidRPr="00F0582C">
        <w:rPr>
          <w:rFonts w:ascii="Geneva" w:hAnsi="Geneva" w:cs="Arial"/>
          <w:color w:val="000000" w:themeColor="text1"/>
        </w:rPr>
        <w:t>Methods).</w:t>
      </w:r>
      <w:r w:rsidR="002B77A6" w:rsidRPr="00F0582C">
        <w:rPr>
          <w:rFonts w:ascii="Geneva" w:hAnsi="Geneva" w:cs="Arial" w:hint="eastAsia"/>
          <w:color w:val="000000" w:themeColor="text1"/>
        </w:rPr>
        <w:t xml:space="preserve"> </w:t>
      </w:r>
      <w:r w:rsidR="002968C4" w:rsidRPr="00F0582C">
        <w:rPr>
          <w:rFonts w:ascii="Geneva" w:hAnsi="Geneva" w:cs="Arial"/>
          <w:color w:val="000000" w:themeColor="text1"/>
        </w:rPr>
        <w:t xml:space="preserve"> (</w:t>
      </w:r>
      <w:r w:rsidR="00FE192C" w:rsidRPr="00F0582C">
        <w:rPr>
          <w:rFonts w:ascii="Geneva" w:hAnsi="Geneva" w:cs="Arial"/>
          <w:b/>
          <w:color w:val="000000" w:themeColor="text1"/>
        </w:rPr>
        <w:t>g</w:t>
      </w:r>
      <w:r w:rsidR="002968C4" w:rsidRPr="00F0582C">
        <w:rPr>
          <w:rFonts w:ascii="Geneva" w:hAnsi="Geneva" w:cs="Arial"/>
          <w:color w:val="000000" w:themeColor="text1"/>
        </w:rPr>
        <w:t xml:space="preserve">) </w:t>
      </w:r>
      <w:r w:rsidR="002968C4" w:rsidRPr="00F0582C">
        <w:rPr>
          <w:rFonts w:ascii="Geneva" w:hAnsi="Geneva"/>
          <w:color w:val="000000" w:themeColor="text1"/>
          <w:kern w:val="0"/>
        </w:rPr>
        <w:t xml:space="preserve">Quantitative RT-PCR analysis of indicated genes of intracellular molecules </w:t>
      </w:r>
      <w:r w:rsidR="00335C1D" w:rsidRPr="00F0582C">
        <w:rPr>
          <w:rFonts w:ascii="Geneva" w:hAnsi="Geneva" w:cs="Arial"/>
          <w:color w:val="000000" w:themeColor="text1"/>
        </w:rPr>
        <w:t>related to IL-33</w:t>
      </w:r>
      <w:r w:rsidR="002968C4" w:rsidRPr="00F0582C">
        <w:rPr>
          <w:rFonts w:ascii="Geneva" w:hAnsi="Geneva" w:cs="Arial"/>
          <w:color w:val="000000" w:themeColor="text1"/>
        </w:rPr>
        <w:t xml:space="preserve">–ST2 signaling pathway in </w:t>
      </w:r>
      <w:r w:rsidR="002B77A6" w:rsidRPr="00F0582C">
        <w:rPr>
          <w:rFonts w:ascii="Geneva" w:hAnsi="Geneva" w:cs="Arial"/>
          <w:color w:val="000000" w:themeColor="text1"/>
        </w:rPr>
        <w:t>ILC2s and Tpath2 cells</w:t>
      </w:r>
      <w:r w:rsidR="002968C4" w:rsidRPr="00F0582C">
        <w:rPr>
          <w:rFonts w:ascii="Geneva" w:hAnsi="Geneva" w:cs="Arial"/>
          <w:color w:val="000000" w:themeColor="text1"/>
        </w:rPr>
        <w:t>.  (</w:t>
      </w:r>
      <w:r w:rsidR="00DB0273" w:rsidRPr="00F0582C">
        <w:rPr>
          <w:rFonts w:ascii="Geneva" w:hAnsi="Geneva" w:cs="Arial"/>
          <w:b/>
          <w:color w:val="000000" w:themeColor="text1"/>
        </w:rPr>
        <w:t>e</w:t>
      </w:r>
      <w:r w:rsidR="00993288" w:rsidRPr="00F0582C">
        <w:rPr>
          <w:rFonts w:ascii="Geneva" w:hAnsi="Geneva" w:cs="Arial"/>
          <w:b/>
          <w:color w:val="000000" w:themeColor="text1"/>
        </w:rPr>
        <w:t>-g</w:t>
      </w:r>
      <w:r w:rsidR="002968C4" w:rsidRPr="00F0582C">
        <w:rPr>
          <w:rFonts w:ascii="Geneva" w:hAnsi="Geneva" w:cs="Arial"/>
          <w:color w:val="000000" w:themeColor="text1"/>
        </w:rPr>
        <w:t>) More than three independent experiments were performed and showed similar results. (*p&lt;0.05).  Three technical replicates were included in quantitative RT-PCR analysis.</w:t>
      </w:r>
    </w:p>
    <w:p w14:paraId="4A5477C9" w14:textId="05157DAB" w:rsidR="005E19F2" w:rsidRPr="00F0582C" w:rsidRDefault="005E19F2" w:rsidP="005E19F2">
      <w:pPr>
        <w:spacing w:line="360" w:lineRule="auto"/>
        <w:rPr>
          <w:rFonts w:ascii="Geneva" w:hAnsi="Geneva" w:cs="Arial"/>
          <w:color w:val="000000" w:themeColor="text1"/>
        </w:rPr>
      </w:pPr>
    </w:p>
    <w:p w14:paraId="25843489" w14:textId="77777777" w:rsidR="005E19F2" w:rsidRPr="00F0582C" w:rsidRDefault="005E19F2" w:rsidP="005E19F2">
      <w:pPr>
        <w:widowControl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br w:type="page"/>
      </w:r>
    </w:p>
    <w:p w14:paraId="6BA97538" w14:textId="5227743F" w:rsidR="00A56E66" w:rsidRPr="00F0582C" w:rsidRDefault="00A56E66" w:rsidP="005E19F2">
      <w:pPr>
        <w:spacing w:line="360" w:lineRule="auto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noProof/>
          <w:color w:val="000000" w:themeColor="text1"/>
        </w:rPr>
        <w:lastRenderedPageBreak/>
        <w:drawing>
          <wp:inline distT="0" distB="0" distL="0" distR="0" wp14:anchorId="4EA38295" wp14:editId="5B420450">
            <wp:extent cx="5396230" cy="2599690"/>
            <wp:effectExtent l="0" t="0" r="0" b="0"/>
            <wp:docPr id="360" name="図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SFig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05E3" w14:textId="77777777" w:rsidR="00A56E66" w:rsidRPr="00F0582C" w:rsidRDefault="00A56E66" w:rsidP="005E19F2">
      <w:pPr>
        <w:spacing w:line="360" w:lineRule="auto"/>
        <w:rPr>
          <w:rFonts w:ascii="Geneva" w:hAnsi="Geneva" w:cs="Arial"/>
          <w:b/>
          <w:color w:val="000000" w:themeColor="text1"/>
        </w:rPr>
      </w:pPr>
    </w:p>
    <w:p w14:paraId="5BE02F6E" w14:textId="5D85A8CC" w:rsidR="005E19F2" w:rsidRPr="00F0582C" w:rsidRDefault="003341FA" w:rsidP="00CA69A3">
      <w:pPr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t>Supplementary Fig. 3.</w:t>
      </w:r>
      <w:r w:rsidR="005E19F2" w:rsidRPr="00F0582C">
        <w:rPr>
          <w:rFonts w:ascii="Geneva" w:hAnsi="Geneva" w:cs="Arial"/>
          <w:b/>
          <w:color w:val="000000" w:themeColor="text1"/>
        </w:rPr>
        <w:t xml:space="preserve"> DUSP10 specifically and negatively regulates IL-33–induced IL-5 production in Tpath2 cells.</w:t>
      </w:r>
    </w:p>
    <w:p w14:paraId="428869A0" w14:textId="1D9B27E7" w:rsidR="005E19F2" w:rsidRPr="00F0582C" w:rsidRDefault="005E19F2" w:rsidP="00CA69A3">
      <w:pPr>
        <w:rPr>
          <w:rFonts w:ascii="Geneva" w:hAnsi="Geneva" w:cs="Arial"/>
          <w:color w:val="000000" w:themeColor="text1"/>
        </w:rPr>
      </w:pPr>
      <w:r w:rsidRPr="00F0582C">
        <w:rPr>
          <w:rFonts w:ascii="Geneva" w:hAnsi="Geneva"/>
          <w:color w:val="000000" w:themeColor="text1"/>
          <w:kern w:val="0"/>
        </w:rPr>
        <w:t>(</w:t>
      </w:r>
      <w:r w:rsidR="006B0298" w:rsidRPr="00F0582C">
        <w:rPr>
          <w:rFonts w:ascii="Geneva" w:hAnsi="Geneva"/>
          <w:b/>
          <w:color w:val="000000" w:themeColor="text1"/>
          <w:kern w:val="0"/>
        </w:rPr>
        <w:t>a</w:t>
      </w:r>
      <w:r w:rsidRPr="00F0582C">
        <w:rPr>
          <w:rFonts w:ascii="Geneva" w:hAnsi="Geneva" w:cs="Arial"/>
          <w:color w:val="000000" w:themeColor="text1"/>
        </w:rPr>
        <w:t xml:space="preserve">) </w:t>
      </w:r>
      <w:r w:rsidR="00B90DC0" w:rsidRPr="00F0582C">
        <w:rPr>
          <w:rFonts w:ascii="Geneva" w:hAnsi="Geneva" w:cs="Arial"/>
          <w:color w:val="000000" w:themeColor="text1"/>
        </w:rPr>
        <w:t xml:space="preserve">Experimental protocol of CRISPR/Cas9-mediated gene editing of </w:t>
      </w:r>
      <w:r w:rsidR="00B90DC0" w:rsidRPr="00F0582C">
        <w:rPr>
          <w:rFonts w:ascii="Geneva" w:hAnsi="Geneva" w:cs="Arial"/>
          <w:i/>
          <w:color w:val="000000" w:themeColor="text1"/>
        </w:rPr>
        <w:t>Dusp10</w:t>
      </w:r>
      <w:r w:rsidR="00B90DC0" w:rsidRPr="00F0582C">
        <w:rPr>
          <w:rFonts w:ascii="Geneva" w:hAnsi="Geneva" w:cs="Arial"/>
          <w:color w:val="000000" w:themeColor="text1"/>
        </w:rPr>
        <w:t xml:space="preserve"> in memory Th2 cells.  Whole memory Th2 cells were stimulated with anti-CD3 and anti-CD28 and cultured with IL-7, IL-25 and IL-33.  After 24 hrs of stimulation, we performed electroporation-based strategy to deliver Cas9/sgRNA.  Then, cells were cultured with IL-7, IL-25 and IL-33 for 2 days and after 1day resting with only IL-7, assays were performed.  </w:t>
      </w:r>
      <w:r w:rsidR="00592375" w:rsidRPr="00F0582C">
        <w:rPr>
          <w:rFonts w:ascii="Geneva" w:hAnsi="Geneva" w:cs="Arial"/>
          <w:color w:val="000000" w:themeColor="text1"/>
        </w:rPr>
        <w:t>(</w:t>
      </w:r>
      <w:r w:rsidR="006B0298" w:rsidRPr="00F0582C">
        <w:rPr>
          <w:rFonts w:ascii="Geneva" w:hAnsi="Geneva" w:cs="Arial"/>
          <w:b/>
          <w:color w:val="000000" w:themeColor="text1"/>
        </w:rPr>
        <w:t>b</w:t>
      </w:r>
      <w:r w:rsidR="00592375" w:rsidRPr="00F0582C">
        <w:rPr>
          <w:rFonts w:ascii="Geneva" w:hAnsi="Geneva" w:cs="Arial"/>
          <w:color w:val="000000" w:themeColor="text1"/>
        </w:rPr>
        <w:t>)</w:t>
      </w:r>
      <w:r w:rsidR="00B90DC0" w:rsidRPr="00F0582C">
        <w:rPr>
          <w:rFonts w:ascii="Geneva" w:hAnsi="Geneva" w:cs="Arial"/>
          <w:color w:val="000000" w:themeColor="text1"/>
        </w:rPr>
        <w:t xml:space="preserve"> Experimental schema of the overexpression of </w:t>
      </w:r>
      <w:r w:rsidR="00B90DC0" w:rsidRPr="00F0582C">
        <w:rPr>
          <w:rFonts w:ascii="Geneva" w:hAnsi="Geneva" w:cs="Arial"/>
          <w:i/>
          <w:color w:val="000000" w:themeColor="text1"/>
        </w:rPr>
        <w:t>Dusp10</w:t>
      </w:r>
      <w:r w:rsidR="00B90DC0" w:rsidRPr="00F0582C">
        <w:rPr>
          <w:rFonts w:ascii="Geneva" w:hAnsi="Geneva" w:cs="Arial"/>
          <w:color w:val="000000" w:themeColor="text1"/>
        </w:rPr>
        <w:t xml:space="preserve"> in memory Th2 cells.  Whole memory Th2 cells were stimulated with anti-CD3 and anti-CD28 and cultured with IL-2.  On day</w:t>
      </w:r>
      <w:r w:rsidR="00E80A79" w:rsidRPr="00F0582C">
        <w:rPr>
          <w:rFonts w:ascii="Geneva" w:hAnsi="Geneva" w:cs="Arial"/>
          <w:color w:val="000000" w:themeColor="text1"/>
        </w:rPr>
        <w:t xml:space="preserve"> </w:t>
      </w:r>
      <w:r w:rsidR="00B90DC0" w:rsidRPr="00F0582C">
        <w:rPr>
          <w:rFonts w:ascii="Geneva" w:hAnsi="Geneva" w:cs="Arial"/>
          <w:color w:val="000000" w:themeColor="text1"/>
        </w:rPr>
        <w:t>2, retroviral vector transfections were performed.  Cells were transfected with MOCK and DUSP10.</w:t>
      </w:r>
      <w:r w:rsidRPr="00F0582C">
        <w:rPr>
          <w:rFonts w:ascii="Geneva" w:hAnsi="Geneva" w:cs="Arial"/>
          <w:color w:val="000000" w:themeColor="text1"/>
        </w:rPr>
        <w:t xml:space="preserve"> </w:t>
      </w:r>
      <w:r w:rsidR="005837B5" w:rsidRPr="00F0582C">
        <w:rPr>
          <w:rFonts w:ascii="Geneva" w:hAnsi="Geneva" w:cs="Arial"/>
          <w:color w:val="000000" w:themeColor="text1"/>
        </w:rPr>
        <w:t xml:space="preserve"> </w:t>
      </w:r>
      <w:r w:rsidR="00592375" w:rsidRPr="00F0582C">
        <w:rPr>
          <w:rFonts w:ascii="Geneva" w:hAnsi="Geneva" w:cs="Arial"/>
          <w:color w:val="000000" w:themeColor="text1"/>
        </w:rPr>
        <w:t>(</w:t>
      </w:r>
      <w:r w:rsidR="006B0298" w:rsidRPr="00F0582C">
        <w:rPr>
          <w:rFonts w:ascii="Geneva" w:hAnsi="Geneva" w:cs="Arial"/>
          <w:b/>
          <w:color w:val="000000" w:themeColor="text1"/>
        </w:rPr>
        <w:t>c</w:t>
      </w:r>
      <w:r w:rsidRPr="00F0582C">
        <w:rPr>
          <w:rFonts w:ascii="Geneva" w:hAnsi="Geneva" w:cs="Arial"/>
          <w:color w:val="000000" w:themeColor="text1"/>
        </w:rPr>
        <w:t xml:space="preserve">) </w:t>
      </w:r>
      <w:r w:rsidR="00B90DC0" w:rsidRPr="00F0582C">
        <w:rPr>
          <w:rFonts w:ascii="Geneva" w:hAnsi="Geneva" w:cs="Arial"/>
          <w:color w:val="000000" w:themeColor="text1"/>
        </w:rPr>
        <w:t>Intracellular-staining profiles of IL-5 and IL-13 of hNGFR</w:t>
      </w:r>
      <w:r w:rsidR="00B90DC0" w:rsidRPr="00F0582C">
        <w:rPr>
          <w:rFonts w:ascii="Geneva" w:hAnsi="Geneva" w:cs="Arial"/>
          <w:color w:val="000000" w:themeColor="text1"/>
          <w:vertAlign w:val="superscript"/>
        </w:rPr>
        <w:t>+</w:t>
      </w:r>
      <w:r w:rsidR="00B90DC0" w:rsidRPr="00F0582C">
        <w:rPr>
          <w:rFonts w:ascii="Geneva" w:hAnsi="Geneva" w:cs="Arial"/>
          <w:color w:val="000000" w:themeColor="text1"/>
        </w:rPr>
        <w:t>-infected memory Th2 cells after stimulation with IL-7 plus IL-33 for 6 hrs on day5.</w:t>
      </w:r>
    </w:p>
    <w:p w14:paraId="0648F0BA" w14:textId="77777777" w:rsidR="005E19F2" w:rsidRPr="00F0582C" w:rsidRDefault="005E19F2" w:rsidP="005E19F2">
      <w:pPr>
        <w:widowControl/>
        <w:jc w:val="left"/>
        <w:rPr>
          <w:rFonts w:ascii="Geneva" w:hAnsi="Geneva"/>
          <w:color w:val="000000" w:themeColor="text1"/>
          <w:kern w:val="0"/>
        </w:rPr>
      </w:pPr>
      <w:r w:rsidRPr="00F0582C">
        <w:rPr>
          <w:rFonts w:ascii="Geneva" w:hAnsi="Geneva"/>
          <w:color w:val="000000" w:themeColor="text1"/>
          <w:kern w:val="0"/>
        </w:rPr>
        <w:br w:type="page"/>
      </w:r>
    </w:p>
    <w:p w14:paraId="0C3F5D38" w14:textId="77777777" w:rsidR="00472CC4" w:rsidRPr="00F0582C" w:rsidRDefault="00472CC4" w:rsidP="004915CA">
      <w:pPr>
        <w:spacing w:before="240" w:line="360" w:lineRule="auto"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noProof/>
          <w:color w:val="000000" w:themeColor="text1"/>
        </w:rPr>
        <w:lastRenderedPageBreak/>
        <w:drawing>
          <wp:inline distT="0" distB="0" distL="0" distR="0" wp14:anchorId="003B43DA" wp14:editId="228610CD">
            <wp:extent cx="4419600" cy="2971800"/>
            <wp:effectExtent l="0" t="0" r="0" b="0"/>
            <wp:docPr id="361" name="図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SFig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9AD1F" w14:textId="77777777" w:rsidR="00472CC4" w:rsidRPr="00F0582C" w:rsidRDefault="00472CC4" w:rsidP="004915CA">
      <w:pPr>
        <w:spacing w:before="240" w:line="360" w:lineRule="auto"/>
        <w:jc w:val="left"/>
        <w:rPr>
          <w:rFonts w:ascii="Geneva" w:hAnsi="Geneva" w:cs="Arial"/>
          <w:b/>
          <w:color w:val="000000" w:themeColor="text1"/>
        </w:rPr>
      </w:pPr>
    </w:p>
    <w:p w14:paraId="1AA32DF9" w14:textId="7ED60A48" w:rsidR="004915CA" w:rsidRPr="00F0582C" w:rsidRDefault="004915CA" w:rsidP="00B40BE8">
      <w:pPr>
        <w:spacing w:before="240"/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t xml:space="preserve">Supplementary Figure 4. </w:t>
      </w:r>
      <w:r w:rsidRPr="00F0582C">
        <w:rPr>
          <w:rFonts w:ascii="Geneva" w:hAnsi="Geneva" w:cs="Arial"/>
          <w:b/>
          <w:i/>
          <w:color w:val="000000" w:themeColor="text1"/>
        </w:rPr>
        <w:t>Dusp10</w:t>
      </w:r>
      <w:r w:rsidR="00C84475" w:rsidRPr="00F0582C">
        <w:rPr>
          <w:rFonts w:ascii="Geneva" w:hAnsi="Geneva" w:cs="Arial"/>
          <w:b/>
          <w:color w:val="000000" w:themeColor="text1"/>
        </w:rPr>
        <w:t xml:space="preserve"> suppresses </w:t>
      </w:r>
      <w:r w:rsidRPr="00F0582C">
        <w:rPr>
          <w:rFonts w:ascii="Geneva" w:hAnsi="Geneva" w:cs="Arial"/>
          <w:b/>
          <w:color w:val="000000" w:themeColor="text1"/>
        </w:rPr>
        <w:t>IL-5 production in ILC2s.</w:t>
      </w:r>
    </w:p>
    <w:p w14:paraId="5EB2C928" w14:textId="50621B00" w:rsidR="00CD1FE4" w:rsidRPr="00F0582C" w:rsidRDefault="004915CA" w:rsidP="00CA69A3">
      <w:pPr>
        <w:widowControl/>
        <w:jc w:val="left"/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color w:val="000000" w:themeColor="text1"/>
        </w:rPr>
        <w:t>(</w:t>
      </w:r>
      <w:r w:rsidRPr="00F0582C">
        <w:rPr>
          <w:rFonts w:ascii="Geneva" w:hAnsi="Geneva" w:cs="Arial"/>
          <w:b/>
          <w:color w:val="000000" w:themeColor="text1"/>
        </w:rPr>
        <w:t>a-c</w:t>
      </w:r>
      <w:r w:rsidRPr="00F0582C">
        <w:rPr>
          <w:rFonts w:ascii="Geneva" w:hAnsi="Geneva" w:cs="Arial"/>
          <w:color w:val="000000" w:themeColor="text1"/>
        </w:rPr>
        <w:t>) Freshly prepared ILC2s</w:t>
      </w:r>
      <w:r w:rsidR="004A7AF5" w:rsidRPr="00F0582C">
        <w:rPr>
          <w:rFonts w:ascii="Geneva" w:hAnsi="Geneva" w:cs="Arial"/>
          <w:color w:val="000000" w:themeColor="text1"/>
        </w:rPr>
        <w:t xml:space="preserve"> from </w:t>
      </w:r>
      <w:r w:rsidR="00FE7EE5" w:rsidRPr="00F0582C">
        <w:rPr>
          <w:rFonts w:ascii="Geneva" w:hAnsi="Geneva" w:cs="Arial"/>
          <w:color w:val="000000" w:themeColor="text1"/>
        </w:rPr>
        <w:t xml:space="preserve">normal </w:t>
      </w:r>
      <w:r w:rsidR="004A7AF5" w:rsidRPr="00F0582C">
        <w:rPr>
          <w:rFonts w:ascii="Geneva" w:hAnsi="Geneva" w:cs="Arial"/>
          <w:color w:val="000000" w:themeColor="text1"/>
        </w:rPr>
        <w:t xml:space="preserve">BALB/c mice (cell preparation protocol is shown in </w:t>
      </w:r>
      <w:r w:rsidR="00FE7EE5" w:rsidRPr="00F0582C">
        <w:rPr>
          <w:rFonts w:ascii="Geneva" w:hAnsi="Geneva" w:cs="Arial"/>
          <w:color w:val="000000" w:themeColor="text1"/>
        </w:rPr>
        <w:t>S</w:t>
      </w:r>
      <w:r w:rsidR="00024053" w:rsidRPr="00F0582C">
        <w:rPr>
          <w:rFonts w:ascii="Geneva" w:hAnsi="Geneva" w:cs="Arial"/>
          <w:color w:val="000000" w:themeColor="text1"/>
        </w:rPr>
        <w:t>upplementary Fig 1c</w:t>
      </w:r>
      <w:r w:rsidR="004A7AF5" w:rsidRPr="00F0582C">
        <w:rPr>
          <w:rFonts w:ascii="Geneva" w:hAnsi="Geneva" w:cs="Arial"/>
          <w:color w:val="000000" w:themeColor="text1"/>
        </w:rPr>
        <w:t xml:space="preserve">) </w:t>
      </w:r>
      <w:r w:rsidRPr="00F0582C">
        <w:rPr>
          <w:rFonts w:ascii="Geneva" w:hAnsi="Geneva" w:cs="Arial"/>
          <w:color w:val="000000" w:themeColor="text1"/>
        </w:rPr>
        <w:t xml:space="preserve">were infected with a </w:t>
      </w:r>
      <w:r w:rsidR="00AE5BA0" w:rsidRPr="00F0582C">
        <w:rPr>
          <w:rFonts w:ascii="Geneva" w:hAnsi="Geneva" w:cs="Arial"/>
          <w:i/>
          <w:color w:val="000000" w:themeColor="text1"/>
        </w:rPr>
        <w:t>M</w:t>
      </w:r>
      <w:r w:rsidR="00FE7EE5" w:rsidRPr="00F0582C">
        <w:rPr>
          <w:rFonts w:ascii="Geneva" w:hAnsi="Geneva" w:cs="Arial"/>
          <w:i/>
          <w:color w:val="000000" w:themeColor="text1"/>
        </w:rPr>
        <w:t xml:space="preserve">ock </w:t>
      </w:r>
      <w:r w:rsidR="00FE7EE5" w:rsidRPr="00F0582C">
        <w:rPr>
          <w:rFonts w:ascii="Geneva" w:hAnsi="Geneva" w:cs="Arial"/>
          <w:color w:val="000000" w:themeColor="text1"/>
        </w:rPr>
        <w:t>(empty ve</w:t>
      </w:r>
      <w:r w:rsidR="001337C6" w:rsidRPr="00F0582C">
        <w:rPr>
          <w:rFonts w:ascii="Geneva" w:hAnsi="Geneva" w:cs="Arial"/>
          <w:color w:val="000000" w:themeColor="text1"/>
        </w:rPr>
        <w:t>c</w:t>
      </w:r>
      <w:r w:rsidR="00FE7EE5" w:rsidRPr="00F0582C">
        <w:rPr>
          <w:rFonts w:ascii="Geneva" w:hAnsi="Geneva" w:cs="Arial"/>
          <w:color w:val="000000" w:themeColor="text1"/>
        </w:rPr>
        <w:t>tor)</w:t>
      </w:r>
      <w:r w:rsidR="00AE5BA0" w:rsidRPr="00F0582C">
        <w:rPr>
          <w:rFonts w:ascii="Geneva" w:hAnsi="Geneva" w:cs="Arial"/>
          <w:color w:val="000000" w:themeColor="text1"/>
        </w:rPr>
        <w:t xml:space="preserve">, </w:t>
      </w:r>
      <w:r w:rsidRPr="00F0582C">
        <w:rPr>
          <w:rFonts w:ascii="Geneva" w:hAnsi="Geneva" w:cs="Arial"/>
          <w:i/>
          <w:color w:val="000000" w:themeColor="text1"/>
        </w:rPr>
        <w:t>Dusp10</w:t>
      </w:r>
      <w:r w:rsidRPr="00F0582C">
        <w:rPr>
          <w:rFonts w:ascii="Geneva" w:hAnsi="Geneva" w:cs="Arial"/>
          <w:color w:val="000000" w:themeColor="text1"/>
        </w:rPr>
        <w:t xml:space="preserve">, or C409S mutant-IRES-hNGFR-containing retrovirus and then cultured with IL-7, IL-25 and IL-33.  Five days after infection, hNGFR expression </w:t>
      </w:r>
      <w:r w:rsidR="00095115" w:rsidRPr="00F0582C">
        <w:rPr>
          <w:rFonts w:ascii="Geneva" w:hAnsi="Geneva" w:cs="Arial"/>
          <w:color w:val="000000" w:themeColor="text1"/>
        </w:rPr>
        <w:t>wa</w:t>
      </w:r>
      <w:r w:rsidR="004A7AF5" w:rsidRPr="00F0582C">
        <w:rPr>
          <w:rFonts w:ascii="Geneva" w:hAnsi="Geneva" w:cs="Arial"/>
          <w:color w:val="000000" w:themeColor="text1"/>
        </w:rPr>
        <w:t xml:space="preserve">s analyzed </w:t>
      </w:r>
      <w:r w:rsidRPr="00F0582C">
        <w:rPr>
          <w:rFonts w:ascii="Geneva" w:hAnsi="Geneva" w:cs="Arial"/>
          <w:color w:val="000000" w:themeColor="text1"/>
        </w:rPr>
        <w:t>(</w:t>
      </w:r>
      <w:r w:rsidRPr="00F0582C">
        <w:rPr>
          <w:rFonts w:ascii="Geneva" w:hAnsi="Geneva" w:cs="Arial"/>
          <w:b/>
          <w:color w:val="000000" w:themeColor="text1"/>
        </w:rPr>
        <w:t>a</w:t>
      </w:r>
      <w:r w:rsidR="00095115" w:rsidRPr="00F0582C">
        <w:rPr>
          <w:rFonts w:ascii="Geneva" w:hAnsi="Geneva" w:cs="Arial"/>
          <w:color w:val="000000" w:themeColor="text1"/>
        </w:rPr>
        <w:t>).  Th</w:t>
      </w:r>
      <w:r w:rsidR="004A7AF5" w:rsidRPr="00F0582C">
        <w:rPr>
          <w:rFonts w:ascii="Geneva" w:hAnsi="Geneva" w:cs="Arial"/>
          <w:color w:val="000000" w:themeColor="text1"/>
        </w:rPr>
        <w:t xml:space="preserve">e hNGFR-positive, </w:t>
      </w:r>
      <w:r w:rsidR="004A7AF5" w:rsidRPr="00F0582C">
        <w:rPr>
          <w:rFonts w:ascii="Geneva" w:hAnsi="Geneva" w:cs="Arial"/>
          <w:i/>
          <w:color w:val="000000" w:themeColor="text1"/>
        </w:rPr>
        <w:t>Dusp10</w:t>
      </w:r>
      <w:r w:rsidR="00067730" w:rsidRPr="00F0582C">
        <w:rPr>
          <w:rFonts w:ascii="Geneva" w:hAnsi="Geneva" w:cs="Arial"/>
          <w:color w:val="000000" w:themeColor="text1"/>
        </w:rPr>
        <w:t>-overexpressing ILC2</w:t>
      </w:r>
      <w:r w:rsidR="004A7AF5" w:rsidRPr="00F0582C">
        <w:rPr>
          <w:rFonts w:ascii="Geneva" w:hAnsi="Geneva" w:cs="Arial"/>
          <w:color w:val="000000" w:themeColor="text1"/>
        </w:rPr>
        <w:t>s were enriched by cell sorting.  C</w:t>
      </w:r>
      <w:r w:rsidRPr="00F0582C">
        <w:rPr>
          <w:rFonts w:ascii="Geneva" w:hAnsi="Geneva" w:cs="Arial"/>
          <w:color w:val="000000" w:themeColor="text1"/>
        </w:rPr>
        <w:t>ell surface ST2 expression</w:t>
      </w:r>
      <w:r w:rsidR="004A7AF5" w:rsidRPr="00F0582C">
        <w:rPr>
          <w:rFonts w:ascii="Geneva" w:hAnsi="Geneva" w:cs="Arial"/>
          <w:color w:val="000000" w:themeColor="text1"/>
        </w:rPr>
        <w:t xml:space="preserve"> (</w:t>
      </w:r>
      <w:r w:rsidR="004A7AF5" w:rsidRPr="00F0582C">
        <w:rPr>
          <w:rFonts w:ascii="Geneva" w:hAnsi="Geneva" w:cs="Arial"/>
          <w:b/>
          <w:color w:val="000000" w:themeColor="text1"/>
        </w:rPr>
        <w:t>b</w:t>
      </w:r>
      <w:r w:rsidR="004A7AF5" w:rsidRPr="00F0582C">
        <w:rPr>
          <w:rFonts w:ascii="Geneva" w:hAnsi="Geneva" w:cs="Arial"/>
          <w:color w:val="000000" w:themeColor="text1"/>
        </w:rPr>
        <w:t xml:space="preserve">) and mRNA expression of </w:t>
      </w:r>
      <w:r w:rsidR="004A7AF5" w:rsidRPr="00F0582C">
        <w:rPr>
          <w:rFonts w:ascii="Geneva" w:hAnsi="Geneva" w:cs="Arial"/>
          <w:i/>
          <w:color w:val="000000" w:themeColor="text1"/>
        </w:rPr>
        <w:t xml:space="preserve">Il1rl1 </w:t>
      </w:r>
      <w:r w:rsidR="004A7AF5" w:rsidRPr="00F0582C">
        <w:rPr>
          <w:rFonts w:ascii="Geneva" w:hAnsi="Geneva" w:cs="Arial"/>
          <w:color w:val="000000" w:themeColor="text1"/>
        </w:rPr>
        <w:t>(</w:t>
      </w:r>
      <w:r w:rsidR="004A7AF5" w:rsidRPr="00F0582C">
        <w:rPr>
          <w:rFonts w:ascii="Geneva" w:hAnsi="Geneva" w:cs="Arial"/>
          <w:b/>
          <w:color w:val="000000" w:themeColor="text1"/>
        </w:rPr>
        <w:t>c</w:t>
      </w:r>
      <w:r w:rsidR="004A7AF5" w:rsidRPr="00F0582C">
        <w:rPr>
          <w:rFonts w:ascii="Geneva" w:hAnsi="Geneva" w:cs="Arial"/>
          <w:color w:val="000000" w:themeColor="text1"/>
        </w:rPr>
        <w:t>)</w:t>
      </w:r>
      <w:r w:rsidRPr="00F0582C">
        <w:rPr>
          <w:rFonts w:ascii="Geneva" w:hAnsi="Geneva" w:cs="Arial"/>
          <w:color w:val="000000" w:themeColor="text1"/>
        </w:rPr>
        <w:t xml:space="preserve"> </w:t>
      </w:r>
      <w:r w:rsidR="004A7AF5" w:rsidRPr="00F0582C">
        <w:rPr>
          <w:rFonts w:ascii="Geneva" w:hAnsi="Geneva" w:cs="Arial"/>
          <w:color w:val="000000" w:themeColor="text1"/>
        </w:rPr>
        <w:t xml:space="preserve">were </w:t>
      </w:r>
      <w:r w:rsidRPr="00F0582C">
        <w:rPr>
          <w:rFonts w:ascii="Geneva" w:hAnsi="Geneva" w:cs="Arial"/>
          <w:color w:val="000000" w:themeColor="text1"/>
        </w:rPr>
        <w:t xml:space="preserve">analyzed.  </w:t>
      </w:r>
      <w:r w:rsidR="00AC1FE7" w:rsidRPr="00F0582C">
        <w:rPr>
          <w:rFonts w:ascii="Geneva" w:hAnsi="Geneva" w:cs="Arial"/>
          <w:color w:val="000000" w:themeColor="text1"/>
        </w:rPr>
        <w:t>Three independent experiments were performed with similar results.</w:t>
      </w:r>
      <w:r w:rsidR="00CD1FE4" w:rsidRPr="00F0582C">
        <w:rPr>
          <w:rFonts w:ascii="Geneva" w:hAnsi="Geneva" w:cs="Arial"/>
          <w:color w:val="000000" w:themeColor="text1"/>
        </w:rPr>
        <w:br w:type="page"/>
      </w:r>
    </w:p>
    <w:p w14:paraId="4748CF5F" w14:textId="4FEB6CCA" w:rsidR="00AC1FE7" w:rsidRPr="00F0582C" w:rsidRDefault="00472CC4" w:rsidP="00F979C1">
      <w:pPr>
        <w:widowControl/>
        <w:spacing w:line="360" w:lineRule="auto"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 w:hint="eastAsia"/>
          <w:b/>
          <w:noProof/>
          <w:color w:val="000000" w:themeColor="text1"/>
        </w:rPr>
        <w:lastRenderedPageBreak/>
        <w:drawing>
          <wp:inline distT="0" distB="0" distL="0" distR="0" wp14:anchorId="15B95D53" wp14:editId="78F0D690">
            <wp:extent cx="3594100" cy="1181100"/>
            <wp:effectExtent l="0" t="0" r="0" b="0"/>
            <wp:docPr id="362" name="図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SFig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35CA6" w14:textId="77777777" w:rsidR="00472CC4" w:rsidRPr="00F0582C" w:rsidRDefault="00472CC4" w:rsidP="00F979C1">
      <w:pPr>
        <w:widowControl/>
        <w:spacing w:line="360" w:lineRule="auto"/>
        <w:jc w:val="left"/>
        <w:rPr>
          <w:rFonts w:ascii="Geneva" w:hAnsi="Geneva" w:cs="Arial"/>
          <w:b/>
          <w:color w:val="000000" w:themeColor="text1"/>
        </w:rPr>
      </w:pPr>
    </w:p>
    <w:p w14:paraId="44FBA816" w14:textId="258C60C0" w:rsidR="006F5CC5" w:rsidRPr="00F0582C" w:rsidRDefault="006F5CC5" w:rsidP="00CA69A3">
      <w:pPr>
        <w:widowControl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t xml:space="preserve">Supplementary Fig. 5. </w:t>
      </w:r>
      <w:r w:rsidR="00D84B98" w:rsidRPr="00F0582C">
        <w:rPr>
          <w:rFonts w:ascii="Geneva" w:hAnsi="Geneva" w:cs="Arial"/>
          <w:b/>
          <w:color w:val="000000" w:themeColor="text1"/>
        </w:rPr>
        <w:t>DUSP10 suppresses the DNA binding activity of GATA3.</w:t>
      </w:r>
    </w:p>
    <w:p w14:paraId="3D85DEFD" w14:textId="7A835383" w:rsidR="00D84B98" w:rsidRPr="00F0582C" w:rsidRDefault="00D84B98" w:rsidP="00CA69A3">
      <w:pPr>
        <w:widowControl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color w:val="000000" w:themeColor="text1"/>
        </w:rPr>
        <w:t xml:space="preserve">293 T cells were transfected with Myc-tagged DUSP10 </w:t>
      </w:r>
      <w:r w:rsidR="001D2C68" w:rsidRPr="00F0582C">
        <w:rPr>
          <w:rFonts w:ascii="Geneva" w:hAnsi="Geneva" w:cs="Arial"/>
          <w:color w:val="000000" w:themeColor="text1"/>
        </w:rPr>
        <w:t>and</w:t>
      </w:r>
      <w:r w:rsidRPr="00F0582C">
        <w:rPr>
          <w:rFonts w:ascii="Geneva" w:hAnsi="Geneva" w:cs="Arial"/>
          <w:color w:val="000000" w:themeColor="text1"/>
        </w:rPr>
        <w:t xml:space="preserve"> Flag-tagged GATA3, and total extracts were subjected to a pull-down assay using WT or mutant </w:t>
      </w:r>
      <w:r w:rsidRPr="00F0582C">
        <w:rPr>
          <w:rFonts w:ascii="Geneva" w:hAnsi="Geneva" w:cs="Arial"/>
          <w:i/>
          <w:color w:val="000000" w:themeColor="text1"/>
        </w:rPr>
        <w:t>Il5</w:t>
      </w:r>
      <w:r w:rsidRPr="00F0582C">
        <w:rPr>
          <w:rFonts w:ascii="Geneva" w:hAnsi="Geneva" w:cs="Arial"/>
          <w:color w:val="000000" w:themeColor="text1"/>
        </w:rPr>
        <w:t xml:space="preserve"> promoter oligonucleotide as described in the </w:t>
      </w:r>
      <w:r w:rsidR="001D2C68" w:rsidRPr="00F0582C">
        <w:rPr>
          <w:rFonts w:ascii="Geneva" w:hAnsi="Geneva" w:cs="Arial"/>
          <w:color w:val="000000" w:themeColor="text1"/>
        </w:rPr>
        <w:t>Methods</w:t>
      </w:r>
      <w:r w:rsidRPr="00F0582C">
        <w:rPr>
          <w:rFonts w:ascii="Geneva" w:hAnsi="Geneva" w:cs="Arial"/>
          <w:color w:val="000000" w:themeColor="text1"/>
        </w:rPr>
        <w:t xml:space="preserve">. Immunoblotting of total cell lysates is also shown (Input). </w:t>
      </w:r>
      <w:r w:rsidRPr="00F0582C">
        <w:rPr>
          <w:rFonts w:ascii="Geneva" w:hAnsi="Geneva"/>
          <w:color w:val="000000" w:themeColor="text1"/>
        </w:rPr>
        <w:t xml:space="preserve"> </w:t>
      </w:r>
      <w:r w:rsidRPr="00F0582C">
        <w:rPr>
          <w:rFonts w:ascii="Geneva" w:hAnsi="Geneva" w:cs="Arial"/>
          <w:color w:val="000000" w:themeColor="text1"/>
        </w:rPr>
        <w:t xml:space="preserve">Band intensities were measured with a densitometer and </w:t>
      </w:r>
      <w:r w:rsidR="00A92935" w:rsidRPr="00F0582C">
        <w:rPr>
          <w:rFonts w:ascii="Geneva" w:hAnsi="Geneva" w:cs="Arial"/>
          <w:color w:val="000000" w:themeColor="text1"/>
        </w:rPr>
        <w:t>arbitrary</w:t>
      </w:r>
      <w:r w:rsidRPr="00F0582C">
        <w:rPr>
          <w:rFonts w:ascii="Geneva" w:hAnsi="Geneva" w:cs="Arial"/>
          <w:color w:val="000000" w:themeColor="text1"/>
        </w:rPr>
        <w:t xml:space="preserve"> densitometric units are shown</w:t>
      </w:r>
      <w:r w:rsidR="00472E25" w:rsidRPr="00F0582C">
        <w:rPr>
          <w:rFonts w:ascii="Geneva" w:hAnsi="Geneva" w:cs="Arial"/>
          <w:color w:val="000000" w:themeColor="text1"/>
        </w:rPr>
        <w:t>.  Two independent experiments were performed with similar results.</w:t>
      </w:r>
    </w:p>
    <w:p w14:paraId="15686F8F" w14:textId="43954852" w:rsidR="00CD1FE4" w:rsidRPr="00F0582C" w:rsidRDefault="00CD1FE4" w:rsidP="00F979C1">
      <w:pPr>
        <w:widowControl/>
        <w:spacing w:line="360" w:lineRule="auto"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br w:type="page"/>
      </w:r>
    </w:p>
    <w:p w14:paraId="51043BD1" w14:textId="0E1F79DB" w:rsidR="00D84B98" w:rsidRPr="00F0582C" w:rsidRDefault="009C14DA" w:rsidP="00F979C1">
      <w:pPr>
        <w:widowControl/>
        <w:spacing w:line="360" w:lineRule="auto"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noProof/>
          <w:color w:val="000000" w:themeColor="text1"/>
        </w:rPr>
        <w:lastRenderedPageBreak/>
        <w:drawing>
          <wp:inline distT="0" distB="0" distL="0" distR="0" wp14:anchorId="545C40A1" wp14:editId="2943D5ED">
            <wp:extent cx="5396230" cy="497395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ig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97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C8DCF" w14:textId="77777777" w:rsidR="00472CC4" w:rsidRPr="00F0582C" w:rsidRDefault="00472CC4" w:rsidP="00F979C1">
      <w:pPr>
        <w:widowControl/>
        <w:spacing w:line="360" w:lineRule="auto"/>
        <w:jc w:val="left"/>
        <w:rPr>
          <w:rFonts w:ascii="Geneva" w:hAnsi="Geneva" w:cs="Arial"/>
          <w:b/>
          <w:color w:val="000000" w:themeColor="text1"/>
        </w:rPr>
      </w:pPr>
    </w:p>
    <w:p w14:paraId="0BDBF6ED" w14:textId="7704D3A3" w:rsidR="007268CE" w:rsidRPr="00F0582C" w:rsidRDefault="00461749" w:rsidP="00CA69A3">
      <w:pPr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t xml:space="preserve">Supplementary Fig. </w:t>
      </w:r>
      <w:r w:rsidR="000C4E3B" w:rsidRPr="00F0582C">
        <w:rPr>
          <w:rFonts w:ascii="Geneva" w:hAnsi="Geneva" w:cs="Arial"/>
          <w:b/>
          <w:color w:val="000000" w:themeColor="text1"/>
        </w:rPr>
        <w:t>6</w:t>
      </w:r>
      <w:r w:rsidR="00F35263" w:rsidRPr="00F0582C">
        <w:rPr>
          <w:rFonts w:ascii="Geneva" w:hAnsi="Geneva" w:cs="Arial"/>
          <w:b/>
          <w:color w:val="000000" w:themeColor="text1"/>
        </w:rPr>
        <w:t>. IL-33</w:t>
      </w:r>
      <w:r w:rsidR="007268CE" w:rsidRPr="00F0582C">
        <w:rPr>
          <w:rFonts w:ascii="Geneva" w:hAnsi="Geneva" w:cs="Arial"/>
          <w:b/>
          <w:color w:val="000000" w:themeColor="text1"/>
        </w:rPr>
        <w:t>-in</w:t>
      </w:r>
      <w:r w:rsidR="00F35263" w:rsidRPr="00F0582C">
        <w:rPr>
          <w:rFonts w:ascii="Geneva" w:hAnsi="Geneva" w:cs="Arial"/>
          <w:b/>
          <w:color w:val="000000" w:themeColor="text1"/>
        </w:rPr>
        <w:t>duced airway inflammation model</w:t>
      </w:r>
      <w:r w:rsidR="007268CE" w:rsidRPr="00F0582C">
        <w:rPr>
          <w:rFonts w:ascii="Geneva" w:hAnsi="Geneva" w:cs="Arial"/>
          <w:b/>
          <w:color w:val="000000" w:themeColor="text1"/>
        </w:rPr>
        <w:t>.</w:t>
      </w:r>
    </w:p>
    <w:p w14:paraId="3B303FEA" w14:textId="6DEB071E" w:rsidR="00DA3C77" w:rsidRPr="00F0582C" w:rsidRDefault="007268CE" w:rsidP="00CA69A3">
      <w:pPr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/>
          <w:color w:val="000000" w:themeColor="text1"/>
        </w:rPr>
        <w:t>(</w:t>
      </w:r>
      <w:r w:rsidR="00F76176" w:rsidRPr="00F0582C">
        <w:rPr>
          <w:rFonts w:ascii="Geneva" w:hAnsi="Geneva" w:cs="Arial"/>
          <w:b/>
          <w:color w:val="000000" w:themeColor="text1"/>
        </w:rPr>
        <w:t>a</w:t>
      </w:r>
      <w:r w:rsidRPr="00F0582C">
        <w:rPr>
          <w:rFonts w:ascii="Geneva" w:hAnsi="Geneva" w:cs="Arial"/>
          <w:color w:val="000000" w:themeColor="text1"/>
        </w:rPr>
        <w:t>) Experimental protocols for the depletion of intrinsic ILC2 in papain-induced airway inflammation mouse model using Thy1.2 antibody.</w:t>
      </w:r>
      <w:r w:rsidR="009808FB" w:rsidRPr="00F0582C">
        <w:rPr>
          <w:rFonts w:ascii="Geneva" w:hAnsi="Geneva" w:cs="Arial"/>
          <w:color w:val="000000" w:themeColor="text1"/>
        </w:rPr>
        <w:t xml:space="preserve">  </w:t>
      </w:r>
      <w:r w:rsidRPr="00F0582C">
        <w:rPr>
          <w:rFonts w:ascii="Geneva" w:hAnsi="Geneva" w:cs="Arial"/>
          <w:color w:val="000000" w:themeColor="text1"/>
          <w:kern w:val="0"/>
        </w:rPr>
        <w:t>(</w:t>
      </w:r>
      <w:r w:rsidR="00F76176" w:rsidRPr="00F0582C">
        <w:rPr>
          <w:rFonts w:ascii="Geneva" w:hAnsi="Geneva" w:cs="Arial"/>
          <w:b/>
          <w:color w:val="000000" w:themeColor="text1"/>
          <w:kern w:val="0"/>
        </w:rPr>
        <w:t>b</w:t>
      </w:r>
      <w:r w:rsidRPr="00F0582C">
        <w:rPr>
          <w:rFonts w:ascii="Geneva" w:hAnsi="Geneva" w:cs="Arial"/>
          <w:color w:val="000000" w:themeColor="text1"/>
          <w:kern w:val="0"/>
        </w:rPr>
        <w:t>) Cell surface expression profiles of Thy1.2 and ST2 on Lin</w:t>
      </w:r>
      <w:r w:rsidRPr="00F0582C">
        <w:rPr>
          <w:rFonts w:ascii="Geneva" w:hAnsi="Geneva" w:cs="Arial"/>
          <w:color w:val="000000" w:themeColor="text1"/>
          <w:kern w:val="0"/>
          <w:vertAlign w:val="superscript"/>
        </w:rPr>
        <w:t>-</w:t>
      </w:r>
      <w:r w:rsidRPr="00F0582C">
        <w:rPr>
          <w:rFonts w:ascii="Geneva" w:hAnsi="Geneva" w:cs="Arial"/>
          <w:color w:val="000000" w:themeColor="text1"/>
          <w:kern w:val="0"/>
        </w:rPr>
        <w:t>CD127</w:t>
      </w:r>
      <w:r w:rsidRPr="00F0582C">
        <w:rPr>
          <w:rFonts w:ascii="Geneva" w:hAnsi="Geneva" w:cs="Arial"/>
          <w:color w:val="000000" w:themeColor="text1"/>
          <w:kern w:val="0"/>
          <w:vertAlign w:val="superscript"/>
        </w:rPr>
        <w:t>+</w:t>
      </w:r>
      <w:r w:rsidR="00095115" w:rsidRPr="00F0582C">
        <w:rPr>
          <w:rFonts w:ascii="Geneva" w:hAnsi="Geneva" w:cs="Arial"/>
          <w:color w:val="000000" w:themeColor="text1"/>
          <w:kern w:val="0"/>
        </w:rPr>
        <w:t xml:space="preserve"> cells</w:t>
      </w:r>
      <w:r w:rsidRPr="00F0582C">
        <w:rPr>
          <w:rFonts w:ascii="Geneva" w:hAnsi="Geneva" w:cs="Arial"/>
          <w:color w:val="000000" w:themeColor="text1"/>
          <w:kern w:val="0"/>
        </w:rPr>
        <w:t xml:space="preserve"> from the lung </w:t>
      </w:r>
      <w:r w:rsidR="009808FB" w:rsidRPr="00F0582C">
        <w:rPr>
          <w:rFonts w:ascii="Geneva" w:hAnsi="Geneva" w:cs="Arial"/>
          <w:color w:val="000000" w:themeColor="text1"/>
          <w:kern w:val="0"/>
        </w:rPr>
        <w:t>of</w:t>
      </w:r>
      <w:r w:rsidRPr="00F0582C">
        <w:rPr>
          <w:rFonts w:ascii="Geneva" w:hAnsi="Geneva" w:cs="Arial"/>
          <w:color w:val="000000" w:themeColor="text1"/>
          <w:kern w:val="0"/>
        </w:rPr>
        <w:t xml:space="preserve"> isotype control antibody</w:t>
      </w:r>
      <w:r w:rsidR="00B67A2D" w:rsidRPr="00F0582C">
        <w:rPr>
          <w:rFonts w:ascii="Geneva" w:hAnsi="Geneva" w:cs="Arial"/>
          <w:color w:val="000000" w:themeColor="text1"/>
          <w:kern w:val="0"/>
        </w:rPr>
        <w:t xml:space="preserve"> (Control)</w:t>
      </w:r>
      <w:r w:rsidRPr="00F0582C">
        <w:rPr>
          <w:rFonts w:ascii="Geneva" w:hAnsi="Geneva" w:cs="Arial"/>
          <w:color w:val="000000" w:themeColor="text1"/>
          <w:kern w:val="0"/>
        </w:rPr>
        <w:t xml:space="preserve"> or anti-Thy1.2 antibody</w:t>
      </w:r>
      <w:r w:rsidR="009808FB" w:rsidRPr="00F0582C">
        <w:rPr>
          <w:rFonts w:ascii="Geneva" w:hAnsi="Geneva" w:cs="Arial"/>
          <w:color w:val="000000" w:themeColor="text1"/>
          <w:kern w:val="0"/>
        </w:rPr>
        <w:t xml:space="preserve"> groups</w:t>
      </w:r>
      <w:r w:rsidR="00B67A2D" w:rsidRPr="00F0582C">
        <w:rPr>
          <w:rFonts w:ascii="Geneva" w:hAnsi="Geneva" w:cs="Arial"/>
          <w:color w:val="000000" w:themeColor="text1"/>
          <w:kern w:val="0"/>
        </w:rPr>
        <w:t xml:space="preserve"> (</w:t>
      </w:r>
      <w:r w:rsidR="00B67A2D" w:rsidRPr="00F0582C">
        <w:rPr>
          <w:rFonts w:ascii="Symbol" w:hAnsi="Symbol" w:cs="Arial"/>
          <w:color w:val="000000" w:themeColor="text1"/>
          <w:kern w:val="0"/>
        </w:rPr>
        <w:t></w:t>
      </w:r>
      <w:r w:rsidR="00B67A2D" w:rsidRPr="00F0582C">
        <w:rPr>
          <w:rFonts w:ascii="Geneva" w:hAnsi="Geneva" w:cs="Arial" w:hint="eastAsia"/>
          <w:color w:val="000000" w:themeColor="text1"/>
          <w:kern w:val="0"/>
        </w:rPr>
        <w:t>T</w:t>
      </w:r>
      <w:r w:rsidR="00B67A2D" w:rsidRPr="00F0582C">
        <w:rPr>
          <w:rFonts w:ascii="Geneva" w:hAnsi="Geneva" w:cs="Arial"/>
          <w:color w:val="000000" w:themeColor="text1"/>
          <w:kern w:val="0"/>
        </w:rPr>
        <w:t>hy1.2)</w:t>
      </w:r>
      <w:r w:rsidRPr="00F0582C">
        <w:rPr>
          <w:rFonts w:ascii="Geneva" w:hAnsi="Geneva" w:cs="Arial"/>
          <w:color w:val="000000" w:themeColor="text1"/>
          <w:kern w:val="0"/>
        </w:rPr>
        <w:t>.</w:t>
      </w:r>
      <w:r w:rsidR="009808FB" w:rsidRPr="00F0582C">
        <w:rPr>
          <w:rFonts w:ascii="Geneva" w:hAnsi="Geneva" w:cs="Arial"/>
          <w:color w:val="000000" w:themeColor="text1"/>
          <w:kern w:val="0"/>
        </w:rPr>
        <w:t xml:space="preserve"> </w:t>
      </w:r>
      <w:r w:rsidRPr="00F0582C">
        <w:rPr>
          <w:rFonts w:ascii="Geneva" w:hAnsi="Geneva" w:cs="Arial"/>
          <w:color w:val="000000" w:themeColor="text1"/>
          <w:kern w:val="0"/>
        </w:rPr>
        <w:t xml:space="preserve"> Two independent experiments were performed and showed similar results.</w:t>
      </w:r>
      <w:r w:rsidRPr="00F0582C">
        <w:rPr>
          <w:rFonts w:ascii="Geneva" w:hAnsi="Geneva" w:cs="Arial"/>
          <w:color w:val="000000" w:themeColor="text1"/>
        </w:rPr>
        <w:t xml:space="preserve"> </w:t>
      </w:r>
      <w:r w:rsidR="009808FB" w:rsidRPr="00F0582C">
        <w:rPr>
          <w:rFonts w:ascii="Geneva" w:hAnsi="Geneva" w:cs="Arial"/>
          <w:color w:val="000000" w:themeColor="text1"/>
        </w:rPr>
        <w:t xml:space="preserve"> </w:t>
      </w:r>
      <w:r w:rsidRPr="00F0582C">
        <w:rPr>
          <w:rFonts w:ascii="Geneva" w:hAnsi="Geneva" w:cs="Arial"/>
          <w:color w:val="000000" w:themeColor="text1"/>
        </w:rPr>
        <w:t>(</w:t>
      </w:r>
      <w:r w:rsidR="00F76176" w:rsidRPr="00F0582C">
        <w:rPr>
          <w:rFonts w:ascii="Geneva" w:hAnsi="Geneva" w:cs="Arial"/>
          <w:b/>
          <w:color w:val="000000" w:themeColor="text1"/>
        </w:rPr>
        <w:t>c</w:t>
      </w:r>
      <w:r w:rsidRPr="00F0582C">
        <w:rPr>
          <w:rFonts w:ascii="Geneva" w:hAnsi="Geneva" w:cs="Arial"/>
          <w:color w:val="000000" w:themeColor="text1"/>
        </w:rPr>
        <w:t xml:space="preserve">) </w:t>
      </w:r>
      <w:r w:rsidRPr="00F0582C">
        <w:rPr>
          <w:rFonts w:ascii="Geneva" w:hAnsi="Geneva" w:cs="Arial"/>
          <w:color w:val="000000" w:themeColor="text1"/>
          <w:kern w:val="0"/>
        </w:rPr>
        <w:t xml:space="preserve">The absolute cell number of eosinophils (Eos.), neutrophils (Neu.), lymphocytes (Lym.), and </w:t>
      </w:r>
      <w:r w:rsidR="00BA19B1" w:rsidRPr="00C2797C">
        <w:rPr>
          <w:rFonts w:ascii="Geneva" w:hAnsi="Geneva" w:cs="Arial"/>
          <w:color w:val="000000" w:themeColor="text1"/>
          <w:kern w:val="0"/>
        </w:rPr>
        <w:t>monocytes</w:t>
      </w:r>
      <w:r w:rsidRPr="00C2797C">
        <w:rPr>
          <w:rFonts w:ascii="Geneva" w:hAnsi="Geneva" w:cs="Arial" w:hint="eastAsia"/>
          <w:color w:val="000000" w:themeColor="text1"/>
          <w:kern w:val="0"/>
        </w:rPr>
        <w:t xml:space="preserve"> </w:t>
      </w:r>
      <w:r w:rsidR="00BA19B1" w:rsidRPr="00C2797C">
        <w:rPr>
          <w:rFonts w:ascii="Geneva" w:hAnsi="Geneva" w:cs="Arial"/>
          <w:color w:val="000000" w:themeColor="text1"/>
          <w:kern w:val="0"/>
        </w:rPr>
        <w:t>(Mon</w:t>
      </w:r>
      <w:r w:rsidRPr="00C2797C">
        <w:rPr>
          <w:rFonts w:ascii="Geneva" w:hAnsi="Geneva" w:cs="Arial"/>
          <w:color w:val="000000" w:themeColor="text1"/>
          <w:kern w:val="0"/>
        </w:rPr>
        <w:t>.)</w:t>
      </w:r>
      <w:r w:rsidRPr="00F0582C">
        <w:rPr>
          <w:rFonts w:ascii="Geneva" w:hAnsi="Geneva" w:cs="Arial"/>
          <w:color w:val="000000" w:themeColor="text1"/>
          <w:kern w:val="0"/>
        </w:rPr>
        <w:t xml:space="preserve"> in the BAL fluid from BALB/c </w:t>
      </w:r>
      <w:r w:rsidRPr="00F0582C">
        <w:rPr>
          <w:rFonts w:ascii="Geneva" w:hAnsi="Geneva" w:cs="Arial"/>
          <w:i/>
          <w:color w:val="000000" w:themeColor="text1"/>
          <w:kern w:val="0"/>
        </w:rPr>
        <w:t>nu/nu</w:t>
      </w:r>
      <w:r w:rsidRPr="00F0582C">
        <w:rPr>
          <w:rFonts w:ascii="Geneva" w:hAnsi="Geneva" w:cs="Arial"/>
          <w:color w:val="000000" w:themeColor="text1"/>
          <w:kern w:val="0"/>
        </w:rPr>
        <w:t xml:space="preserve"> mice shown in </w:t>
      </w:r>
      <w:r w:rsidR="00C23068" w:rsidRPr="00F0582C">
        <w:rPr>
          <w:rFonts w:ascii="Geneva" w:hAnsi="Geneva" w:cs="Arial"/>
          <w:color w:val="000000" w:themeColor="text1"/>
          <w:kern w:val="0"/>
        </w:rPr>
        <w:t>Supplementary Fig.</w:t>
      </w:r>
      <w:r w:rsidRPr="00F0582C">
        <w:rPr>
          <w:rFonts w:ascii="Geneva" w:hAnsi="Geneva" w:cs="Arial"/>
          <w:color w:val="000000" w:themeColor="text1"/>
          <w:kern w:val="0"/>
        </w:rPr>
        <w:t xml:space="preserve"> 6</w:t>
      </w:r>
      <w:r w:rsidR="00C23068" w:rsidRPr="00F0582C">
        <w:rPr>
          <w:rFonts w:ascii="Geneva" w:hAnsi="Geneva" w:cs="Arial"/>
          <w:color w:val="000000" w:themeColor="text1"/>
          <w:kern w:val="0"/>
        </w:rPr>
        <w:t>a</w:t>
      </w:r>
      <w:r w:rsidRPr="00F0582C">
        <w:rPr>
          <w:rFonts w:ascii="Geneva" w:hAnsi="Geneva" w:cs="Arial"/>
          <w:color w:val="000000" w:themeColor="text1"/>
          <w:kern w:val="0"/>
        </w:rPr>
        <w:t xml:space="preserve">. </w:t>
      </w:r>
      <w:r w:rsidR="009808FB" w:rsidRPr="00F0582C">
        <w:rPr>
          <w:rFonts w:ascii="Geneva" w:hAnsi="Geneva" w:cs="Arial"/>
          <w:color w:val="000000" w:themeColor="text1"/>
          <w:kern w:val="0"/>
        </w:rPr>
        <w:t xml:space="preserve"> </w:t>
      </w:r>
      <w:r w:rsidRPr="00F0582C">
        <w:rPr>
          <w:rFonts w:ascii="Geneva" w:hAnsi="Geneva" w:cs="Arial"/>
          <w:color w:val="000000" w:themeColor="text1"/>
          <w:kern w:val="0"/>
        </w:rPr>
        <w:t>Mean values (5 mice per group) are sh</w:t>
      </w:r>
      <w:r w:rsidR="00B67A2D" w:rsidRPr="00F0582C">
        <w:rPr>
          <w:rFonts w:ascii="Geneva" w:hAnsi="Geneva" w:cs="Arial"/>
          <w:color w:val="000000" w:themeColor="text1"/>
          <w:kern w:val="0"/>
        </w:rPr>
        <w:t>own with standard deviations (*</w:t>
      </w:r>
      <w:r w:rsidR="007B041B">
        <w:rPr>
          <w:rFonts w:ascii="Geneva" w:hAnsi="Geneva" w:cs="Arial"/>
          <w:color w:val="000000" w:themeColor="text1"/>
          <w:kern w:val="0"/>
        </w:rPr>
        <w:t>p</w:t>
      </w:r>
      <w:r w:rsidRPr="00F0582C">
        <w:rPr>
          <w:rFonts w:ascii="Geneva" w:hAnsi="Geneva" w:cs="Arial"/>
          <w:color w:val="000000" w:themeColor="text1"/>
          <w:kern w:val="0"/>
        </w:rPr>
        <w:t>&lt;0.05).</w:t>
      </w:r>
      <w:r w:rsidRPr="00F0582C">
        <w:rPr>
          <w:rFonts w:ascii="Geneva" w:hAnsi="Geneva" w:cs="Arial"/>
          <w:color w:val="000000" w:themeColor="text1"/>
        </w:rPr>
        <w:t xml:space="preserve"> </w:t>
      </w:r>
      <w:r w:rsidR="00636BB1" w:rsidRPr="00F0582C">
        <w:rPr>
          <w:rFonts w:ascii="Geneva" w:hAnsi="Geneva" w:cs="Arial"/>
          <w:color w:val="000000" w:themeColor="text1"/>
        </w:rPr>
        <w:t xml:space="preserve"> (</w:t>
      </w:r>
      <w:r w:rsidR="00636BB1" w:rsidRPr="00F0582C">
        <w:rPr>
          <w:rFonts w:ascii="Geneva" w:hAnsi="Geneva" w:cs="Arial"/>
          <w:b/>
          <w:color w:val="000000" w:themeColor="text1"/>
        </w:rPr>
        <w:t>d</w:t>
      </w:r>
      <w:r w:rsidR="00F07D11" w:rsidRPr="00F0582C">
        <w:rPr>
          <w:rFonts w:ascii="Geneva" w:hAnsi="Geneva" w:cs="Arial"/>
          <w:b/>
          <w:color w:val="000000" w:themeColor="text1"/>
        </w:rPr>
        <w:t xml:space="preserve"> and </w:t>
      </w:r>
      <w:r w:rsidR="00636BB1" w:rsidRPr="00F0582C">
        <w:rPr>
          <w:rFonts w:ascii="Geneva" w:hAnsi="Geneva" w:cs="Arial"/>
          <w:b/>
          <w:color w:val="000000" w:themeColor="text1"/>
        </w:rPr>
        <w:t>e</w:t>
      </w:r>
      <w:r w:rsidR="00636BB1" w:rsidRPr="00F0582C">
        <w:rPr>
          <w:rFonts w:ascii="Geneva" w:hAnsi="Geneva" w:cs="Arial"/>
          <w:color w:val="000000" w:themeColor="text1"/>
        </w:rPr>
        <w:t xml:space="preserve">) Experimental protocols for </w:t>
      </w:r>
      <w:r w:rsidR="00636BB1" w:rsidRPr="00F0582C">
        <w:rPr>
          <w:rFonts w:ascii="Geneva" w:hAnsi="Geneva" w:cs="Arial"/>
          <w:color w:val="000000" w:themeColor="text1"/>
        </w:rPr>
        <w:lastRenderedPageBreak/>
        <w:t>papain and IL-33–induced airway inflammation model</w:t>
      </w:r>
      <w:r w:rsidR="00964022" w:rsidRPr="00F0582C">
        <w:rPr>
          <w:rFonts w:ascii="Geneva" w:hAnsi="Geneva" w:cs="Arial"/>
          <w:color w:val="000000" w:themeColor="text1"/>
        </w:rPr>
        <w:t>s</w:t>
      </w:r>
      <w:r w:rsidR="00636BB1" w:rsidRPr="00F0582C">
        <w:rPr>
          <w:rFonts w:ascii="Geneva" w:hAnsi="Geneva" w:cs="Arial"/>
          <w:color w:val="000000" w:themeColor="text1"/>
        </w:rPr>
        <w:t xml:space="preserve"> </w:t>
      </w:r>
      <w:r w:rsidR="004E6C32" w:rsidRPr="00F0582C">
        <w:rPr>
          <w:rFonts w:ascii="Geneva" w:hAnsi="Geneva" w:cs="Arial"/>
          <w:color w:val="000000" w:themeColor="text1"/>
        </w:rPr>
        <w:t xml:space="preserve">(See also </w:t>
      </w:r>
      <w:r w:rsidR="00E34A5C" w:rsidRPr="00F0582C">
        <w:rPr>
          <w:rFonts w:ascii="Geneva" w:hAnsi="Geneva" w:cs="Arial"/>
          <w:b/>
          <w:i/>
          <w:color w:val="000000" w:themeColor="text1"/>
        </w:rPr>
        <w:t>I</w:t>
      </w:r>
      <w:r w:rsidR="004E6C32" w:rsidRPr="00F0582C">
        <w:rPr>
          <w:rFonts w:ascii="Geneva" w:hAnsi="Geneva" w:cs="Arial"/>
          <w:b/>
          <w:i/>
          <w:color w:val="000000" w:themeColor="text1"/>
        </w:rPr>
        <w:t>n vivo</w:t>
      </w:r>
      <w:r w:rsidR="004E6C32" w:rsidRPr="00F0582C">
        <w:rPr>
          <w:rFonts w:ascii="Geneva" w:hAnsi="Geneva" w:cs="Arial"/>
          <w:b/>
          <w:color w:val="000000" w:themeColor="text1"/>
        </w:rPr>
        <w:t xml:space="preserve"> Experiment</w:t>
      </w:r>
      <w:r w:rsidR="004E6C32" w:rsidRPr="00F0582C">
        <w:rPr>
          <w:rFonts w:ascii="Geneva" w:hAnsi="Geneva" w:cs="Arial"/>
          <w:color w:val="000000" w:themeColor="text1"/>
        </w:rPr>
        <w:t xml:space="preserve"> section in the Methods)</w:t>
      </w:r>
      <w:r w:rsidR="00C137C7" w:rsidRPr="00F0582C">
        <w:rPr>
          <w:rFonts w:ascii="Geneva" w:hAnsi="Geneva" w:cs="Arial"/>
          <w:color w:val="000000" w:themeColor="text1"/>
        </w:rPr>
        <w:t xml:space="preserve">. </w:t>
      </w:r>
      <w:r w:rsidR="00636BB1" w:rsidRPr="00F0582C">
        <w:rPr>
          <w:rFonts w:ascii="Geneva" w:hAnsi="Geneva" w:cs="Arial"/>
          <w:color w:val="000000" w:themeColor="text1"/>
        </w:rPr>
        <w:t xml:space="preserve"> (</w:t>
      </w:r>
      <w:r w:rsidR="00636BB1" w:rsidRPr="00F0582C">
        <w:rPr>
          <w:rFonts w:ascii="Geneva" w:hAnsi="Geneva" w:cs="Arial"/>
          <w:b/>
          <w:color w:val="000000" w:themeColor="text1"/>
        </w:rPr>
        <w:t>f</w:t>
      </w:r>
      <w:r w:rsidR="00636BB1" w:rsidRPr="00F0582C">
        <w:rPr>
          <w:rFonts w:ascii="Geneva" w:hAnsi="Geneva" w:cs="Arial"/>
          <w:color w:val="000000" w:themeColor="text1"/>
        </w:rPr>
        <w:t>) Quantitative RT-PCR analysis of</w:t>
      </w:r>
      <w:r w:rsidR="00636BB1" w:rsidRPr="00F0582C">
        <w:rPr>
          <w:rFonts w:ascii="Geneva" w:hAnsi="Geneva" w:cs="Arial"/>
          <w:i/>
          <w:color w:val="000000" w:themeColor="text1"/>
        </w:rPr>
        <w:t xml:space="preserve"> Muc5ac, Gata3</w:t>
      </w:r>
      <w:r w:rsidR="00636BB1" w:rsidRPr="00F0582C">
        <w:rPr>
          <w:rFonts w:ascii="Geneva" w:hAnsi="Geneva" w:cs="Arial"/>
          <w:color w:val="000000" w:themeColor="text1"/>
        </w:rPr>
        <w:t xml:space="preserve"> and </w:t>
      </w:r>
      <w:r w:rsidR="00636BB1" w:rsidRPr="00F0582C">
        <w:rPr>
          <w:rFonts w:ascii="Geneva" w:hAnsi="Geneva" w:cs="Arial"/>
          <w:i/>
          <w:color w:val="000000" w:themeColor="text1"/>
        </w:rPr>
        <w:t>Il1rl1</w:t>
      </w:r>
      <w:r w:rsidR="003747C4" w:rsidRPr="00F0582C">
        <w:rPr>
          <w:rFonts w:ascii="Geneva" w:hAnsi="Geneva" w:cs="Arial"/>
          <w:color w:val="000000" w:themeColor="text1"/>
        </w:rPr>
        <w:t xml:space="preserve"> in the l</w:t>
      </w:r>
      <w:r w:rsidR="00636BB1" w:rsidRPr="00F0582C">
        <w:rPr>
          <w:rFonts w:ascii="Geneva" w:hAnsi="Geneva" w:cs="Arial"/>
          <w:color w:val="000000" w:themeColor="text1"/>
        </w:rPr>
        <w:t xml:space="preserve">ung from Mock-ILC2s and </w:t>
      </w:r>
      <w:r w:rsidR="00636BB1" w:rsidRPr="00F0582C">
        <w:rPr>
          <w:rFonts w:ascii="Geneva" w:hAnsi="Geneva" w:cs="Arial"/>
          <w:i/>
          <w:color w:val="000000" w:themeColor="text1"/>
        </w:rPr>
        <w:t>Dusp10</w:t>
      </w:r>
      <w:r w:rsidR="00636BB1" w:rsidRPr="00F0582C">
        <w:rPr>
          <w:rFonts w:ascii="Geneva" w:hAnsi="Geneva" w:cs="Arial"/>
          <w:color w:val="000000" w:themeColor="text1"/>
        </w:rPr>
        <w:t xml:space="preserve">-ILC2s </w:t>
      </w:r>
      <w:r w:rsidR="00CD3C53" w:rsidRPr="00F0582C">
        <w:rPr>
          <w:rFonts w:ascii="Geneva" w:hAnsi="Geneva" w:cs="Arial"/>
          <w:color w:val="000000" w:themeColor="text1"/>
        </w:rPr>
        <w:t>transferred</w:t>
      </w:r>
      <w:r w:rsidR="00636BB1" w:rsidRPr="00F0582C">
        <w:rPr>
          <w:rFonts w:ascii="Geneva" w:hAnsi="Geneva" w:cs="Arial"/>
          <w:color w:val="000000" w:themeColor="text1"/>
        </w:rPr>
        <w:t xml:space="preserve"> NSG mice.  (</w:t>
      </w:r>
      <w:r w:rsidR="00636BB1" w:rsidRPr="00F0582C">
        <w:rPr>
          <w:rFonts w:ascii="Geneva" w:hAnsi="Geneva" w:cs="Arial"/>
          <w:b/>
          <w:color w:val="000000" w:themeColor="text1"/>
        </w:rPr>
        <w:t>g</w:t>
      </w:r>
      <w:r w:rsidR="00636BB1" w:rsidRPr="00F0582C">
        <w:rPr>
          <w:rFonts w:ascii="Geneva" w:hAnsi="Geneva" w:cs="Arial"/>
          <w:color w:val="000000" w:themeColor="text1"/>
        </w:rPr>
        <w:t xml:space="preserve">) Experimental protocols for IL-33–induced, Tpath2 cell-dependent airway inflammation model.  CRISPR/Cas9-mediated </w:t>
      </w:r>
      <w:r w:rsidR="00636BB1" w:rsidRPr="00F0582C">
        <w:rPr>
          <w:rFonts w:ascii="Geneva" w:hAnsi="Geneva" w:cs="Arial"/>
          <w:i/>
          <w:color w:val="000000" w:themeColor="text1"/>
        </w:rPr>
        <w:t>Dusp10</w:t>
      </w:r>
      <w:r w:rsidR="00636BB1" w:rsidRPr="00F0582C">
        <w:rPr>
          <w:rFonts w:ascii="Geneva" w:hAnsi="Geneva" w:cs="Arial"/>
          <w:color w:val="000000" w:themeColor="text1"/>
        </w:rPr>
        <w:t xml:space="preserve"> deficient Tpath2 cells were transferred into </w:t>
      </w:r>
      <w:r w:rsidR="00636BB1" w:rsidRPr="00F0582C">
        <w:rPr>
          <w:rFonts w:ascii="Geneva" w:hAnsi="Geneva" w:cs="Arial"/>
          <w:i/>
          <w:color w:val="000000" w:themeColor="text1"/>
        </w:rPr>
        <w:t>NOD-SCID Il2rg</w:t>
      </w:r>
      <w:r w:rsidR="00636BB1" w:rsidRPr="00F0582C">
        <w:rPr>
          <w:rFonts w:ascii="Geneva" w:hAnsi="Geneva" w:cs="Arial"/>
          <w:i/>
          <w:color w:val="000000" w:themeColor="text1"/>
          <w:vertAlign w:val="superscript"/>
        </w:rPr>
        <w:t>null</w:t>
      </w:r>
      <w:r w:rsidR="00636BB1" w:rsidRPr="00F0582C">
        <w:rPr>
          <w:rFonts w:ascii="Geneva" w:hAnsi="Geneva" w:cs="Arial"/>
          <w:i/>
          <w:color w:val="000000" w:themeColor="text1"/>
        </w:rPr>
        <w:t xml:space="preserve"> </w:t>
      </w:r>
      <w:r w:rsidR="00636BB1" w:rsidRPr="00F0582C">
        <w:rPr>
          <w:rFonts w:ascii="Geneva" w:hAnsi="Geneva" w:cs="Arial"/>
          <w:color w:val="000000" w:themeColor="text1"/>
        </w:rPr>
        <w:t>(NSG) mice.  These mice received IL-33 intranasally</w:t>
      </w:r>
      <w:r w:rsidR="005B7F69" w:rsidRPr="00F0582C">
        <w:rPr>
          <w:rFonts w:ascii="Geneva" w:hAnsi="Geneva" w:cs="Arial"/>
          <w:color w:val="000000" w:themeColor="text1"/>
        </w:rPr>
        <w:t xml:space="preserve"> three times</w:t>
      </w:r>
      <w:r w:rsidR="00C137C7" w:rsidRPr="00F0582C">
        <w:rPr>
          <w:rFonts w:ascii="Geneva" w:hAnsi="Geneva" w:cs="Arial"/>
          <w:color w:val="000000" w:themeColor="text1"/>
        </w:rPr>
        <w:t xml:space="preserve"> (See also </w:t>
      </w:r>
      <w:r w:rsidR="00E34A5C" w:rsidRPr="00F0582C">
        <w:rPr>
          <w:rFonts w:ascii="Geneva" w:hAnsi="Geneva" w:cs="Arial"/>
          <w:b/>
          <w:i/>
          <w:color w:val="000000" w:themeColor="text1"/>
        </w:rPr>
        <w:t>I</w:t>
      </w:r>
      <w:r w:rsidR="00C137C7" w:rsidRPr="00F0582C">
        <w:rPr>
          <w:rFonts w:ascii="Geneva" w:hAnsi="Geneva" w:cs="Arial"/>
          <w:b/>
          <w:i/>
          <w:color w:val="000000" w:themeColor="text1"/>
        </w:rPr>
        <w:t>n vivo</w:t>
      </w:r>
      <w:r w:rsidR="00C137C7" w:rsidRPr="00F0582C">
        <w:rPr>
          <w:rFonts w:ascii="Geneva" w:hAnsi="Geneva" w:cs="Arial"/>
          <w:b/>
          <w:color w:val="000000" w:themeColor="text1"/>
        </w:rPr>
        <w:t xml:space="preserve"> Experiment</w:t>
      </w:r>
      <w:r w:rsidR="00C137C7" w:rsidRPr="00F0582C">
        <w:rPr>
          <w:rFonts w:ascii="Geneva" w:hAnsi="Geneva" w:cs="Arial"/>
          <w:color w:val="000000" w:themeColor="text1"/>
        </w:rPr>
        <w:t xml:space="preserve"> section in the Methods).</w:t>
      </w:r>
      <w:r w:rsidR="00BF666D" w:rsidRPr="00F0582C">
        <w:rPr>
          <w:rFonts w:ascii="Geneva" w:hAnsi="Geneva" w:cs="Arial"/>
          <w:color w:val="000000" w:themeColor="text1"/>
        </w:rPr>
        <w:br w:type="page"/>
      </w:r>
    </w:p>
    <w:p w14:paraId="37C28983" w14:textId="67C58AF2" w:rsidR="00DA3C77" w:rsidRDefault="00DA3C77" w:rsidP="00DA3C77">
      <w:pPr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lastRenderedPageBreak/>
        <w:t>Supplementary Fig. 7</w:t>
      </w:r>
    </w:p>
    <w:p w14:paraId="20704FA4" w14:textId="3FC9DE18" w:rsidR="00DA3C77" w:rsidRPr="00F0582C" w:rsidRDefault="00D065B7" w:rsidP="00DA3C77">
      <w:pPr>
        <w:rPr>
          <w:rFonts w:ascii="Geneva" w:hAnsi="Geneva" w:cs="Arial"/>
          <w:b/>
          <w:color w:val="000000" w:themeColor="text1"/>
        </w:rPr>
      </w:pPr>
      <w:r>
        <w:rPr>
          <w:rFonts w:ascii="Geneva" w:hAnsi="Geneva" w:cs="Arial"/>
          <w:b/>
          <w:noProof/>
          <w:color w:val="000000" w:themeColor="text1"/>
        </w:rPr>
        <w:drawing>
          <wp:inline distT="0" distB="0" distL="0" distR="0" wp14:anchorId="46175E85" wp14:editId="7DD41FE4">
            <wp:extent cx="5396230" cy="7794625"/>
            <wp:effectExtent l="0" t="0" r="1270" b="317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 FIigS7-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779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526EF" w14:textId="22AD78D4" w:rsidR="00EA6177" w:rsidRPr="00F0582C" w:rsidRDefault="00EA6177" w:rsidP="00DA3C77">
      <w:pPr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noProof/>
          <w:color w:val="000000" w:themeColor="text1"/>
        </w:rPr>
        <w:lastRenderedPageBreak/>
        <w:drawing>
          <wp:inline distT="0" distB="0" distL="0" distR="0" wp14:anchorId="74012C23" wp14:editId="5DB5308F">
            <wp:extent cx="5396230" cy="5173345"/>
            <wp:effectExtent l="0" t="0" r="127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S7-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17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6E9CA" w14:textId="77777777" w:rsidR="00833D6F" w:rsidRDefault="00833D6F" w:rsidP="00833D6F">
      <w:pPr>
        <w:rPr>
          <w:rFonts w:ascii="Geneva" w:hAnsi="Geneva" w:cs="Arial"/>
          <w:b/>
        </w:rPr>
      </w:pPr>
      <w:r w:rsidRPr="00660090">
        <w:rPr>
          <w:rFonts w:ascii="Geneva" w:hAnsi="Geneva" w:cs="Arial"/>
          <w:b/>
          <w:noProof/>
        </w:rPr>
        <w:lastRenderedPageBreak/>
        <w:drawing>
          <wp:inline distT="0" distB="0" distL="0" distR="0" wp14:anchorId="360B6D25" wp14:editId="6F66E58D">
            <wp:extent cx="3670300" cy="3378200"/>
            <wp:effectExtent l="0" t="0" r="12700" b="0"/>
            <wp:docPr id="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4CC19" w14:textId="77777777" w:rsidR="00EA6177" w:rsidRPr="00F0582C" w:rsidRDefault="00EA6177" w:rsidP="00DA3C77">
      <w:pPr>
        <w:rPr>
          <w:rFonts w:ascii="Geneva" w:hAnsi="Geneva" w:cs="Arial"/>
          <w:b/>
          <w:color w:val="000000" w:themeColor="text1"/>
        </w:rPr>
      </w:pPr>
      <w:bookmarkStart w:id="0" w:name="_GoBack"/>
      <w:bookmarkEnd w:id="0"/>
    </w:p>
    <w:p w14:paraId="65272AA6" w14:textId="77777777" w:rsidR="00DA3C77" w:rsidRPr="00F0582C" w:rsidRDefault="00DA3C77" w:rsidP="00DA3C77">
      <w:pPr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t>Uncropped scans of western blots are shown with labeled and molecular weight ladder.</w:t>
      </w:r>
    </w:p>
    <w:p w14:paraId="0FAC055F" w14:textId="2A9C1EB0" w:rsidR="00DA3C77" w:rsidRPr="00F0582C" w:rsidRDefault="00DA3C77" w:rsidP="00DA3C77">
      <w:pPr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br w:type="page"/>
      </w:r>
    </w:p>
    <w:p w14:paraId="6E85BDE4" w14:textId="77777777" w:rsidR="00BF666D" w:rsidRPr="00F0582C" w:rsidRDefault="00BF666D" w:rsidP="00BF666D">
      <w:pPr>
        <w:widowControl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lastRenderedPageBreak/>
        <w:t>Supplementary Table 1. Mouse quantitative RT-PCR primer sequences</w:t>
      </w:r>
    </w:p>
    <w:p w14:paraId="6B84CB25" w14:textId="1B57B941" w:rsidR="005021FD" w:rsidRPr="00F0582C" w:rsidRDefault="00BF666D" w:rsidP="00BF666D">
      <w:pPr>
        <w:pStyle w:val="Web"/>
        <w:spacing w:line="280" w:lineRule="exact"/>
        <w:rPr>
          <w:rFonts w:ascii="Geneva" w:hAnsi="Geneva"/>
          <w:color w:val="000000" w:themeColor="text1"/>
        </w:rPr>
      </w:pPr>
      <w:r w:rsidRPr="00F0582C">
        <w:rPr>
          <w:rFonts w:ascii="Geneva" w:hAnsi="Geneva"/>
          <w:color w:val="000000" w:themeColor="text1"/>
        </w:rPr>
        <w:t>Specific primers and Roche Universal Probes used in quantitative reverse transcriptase PCR for mouse genes were as follows.</w:t>
      </w:r>
    </w:p>
    <w:p w14:paraId="0BF954EF" w14:textId="51964A1E" w:rsidR="005021FD" w:rsidRPr="00F0582C" w:rsidRDefault="005021FD" w:rsidP="00BF666D">
      <w:pPr>
        <w:widowControl/>
        <w:jc w:val="left"/>
        <w:rPr>
          <w:rFonts w:ascii="Geneva" w:hAnsi="Geneva" w:cs="Arial"/>
          <w:color w:val="000000" w:themeColor="text1"/>
        </w:rPr>
      </w:pPr>
      <w:r w:rsidRPr="00F0582C">
        <w:rPr>
          <w:rFonts w:ascii="Geneva" w:hAnsi="Geneva" w:cs="Arial" w:hint="eastAsia"/>
          <w:noProof/>
          <w:color w:val="000000" w:themeColor="text1"/>
        </w:rPr>
        <w:drawing>
          <wp:inline distT="0" distB="0" distL="0" distR="0" wp14:anchorId="0DA63D23" wp14:editId="26E5396C">
            <wp:extent cx="5355722" cy="5136776"/>
            <wp:effectExtent l="0" t="0" r="381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Table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67665" cy="514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7C81D" w14:textId="77777777" w:rsidR="00BF666D" w:rsidRPr="00F0582C" w:rsidRDefault="00BF666D" w:rsidP="00BF666D">
      <w:pPr>
        <w:widowControl/>
        <w:jc w:val="left"/>
        <w:rPr>
          <w:rFonts w:ascii="Geneva" w:hAnsi="Geneva" w:cs="Arial"/>
          <w:i/>
          <w:color w:val="000000" w:themeColor="text1"/>
        </w:rPr>
      </w:pPr>
    </w:p>
    <w:p w14:paraId="3A84B3B6" w14:textId="647AC956" w:rsidR="0067490E" w:rsidRPr="00F0582C" w:rsidRDefault="0067490E" w:rsidP="00BF666D">
      <w:pPr>
        <w:widowControl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br w:type="page"/>
      </w:r>
    </w:p>
    <w:p w14:paraId="0FEF2948" w14:textId="77777777" w:rsidR="00BF666D" w:rsidRPr="00F0582C" w:rsidRDefault="00BF666D" w:rsidP="00BF666D">
      <w:pPr>
        <w:widowControl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lastRenderedPageBreak/>
        <w:t>Supplementary Table 2. ChIP-qPCR primer sequences</w:t>
      </w:r>
    </w:p>
    <w:p w14:paraId="342E803B" w14:textId="75BA2DB0" w:rsidR="003C79A4" w:rsidRPr="00F0582C" w:rsidRDefault="003C79A4" w:rsidP="00BF666D">
      <w:pPr>
        <w:widowControl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noProof/>
          <w:color w:val="000000" w:themeColor="text1"/>
        </w:rPr>
        <w:drawing>
          <wp:inline distT="0" distB="0" distL="0" distR="0" wp14:anchorId="0277A9DC" wp14:editId="528818FC">
            <wp:extent cx="5280025" cy="1797455"/>
            <wp:effectExtent l="0" t="0" r="3175" b="635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ble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13015" cy="180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F72AA" w14:textId="4A335C82" w:rsidR="00BF666D" w:rsidRPr="00F0582C" w:rsidRDefault="00BF666D" w:rsidP="00BF666D">
      <w:pPr>
        <w:widowControl/>
        <w:jc w:val="left"/>
        <w:rPr>
          <w:rFonts w:ascii="Geneva" w:hAnsi="Geneva" w:cs="Arial"/>
          <w:b/>
          <w:color w:val="000000" w:themeColor="text1"/>
        </w:rPr>
      </w:pPr>
    </w:p>
    <w:p w14:paraId="1CAED6DA" w14:textId="77777777" w:rsidR="00BF666D" w:rsidRPr="00F0582C" w:rsidRDefault="00BF666D" w:rsidP="00BF666D">
      <w:pPr>
        <w:spacing w:line="360" w:lineRule="auto"/>
        <w:rPr>
          <w:rFonts w:ascii="Geneva" w:hAnsi="Geneva" w:cs="Arial"/>
          <w:color w:val="000000" w:themeColor="text1"/>
          <w:kern w:val="0"/>
        </w:rPr>
      </w:pPr>
      <w:r w:rsidRPr="00F0582C">
        <w:rPr>
          <w:rFonts w:ascii="Geneva" w:hAnsi="Geneva" w:cs="Arial"/>
          <w:color w:val="000000" w:themeColor="text1"/>
          <w:kern w:val="0"/>
        </w:rPr>
        <w:br w:type="page"/>
      </w:r>
    </w:p>
    <w:p w14:paraId="7A751CAB" w14:textId="77777777" w:rsidR="00BF666D" w:rsidRPr="00F0582C" w:rsidRDefault="00BF666D" w:rsidP="00BF666D">
      <w:pPr>
        <w:widowControl/>
        <w:jc w:val="left"/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lastRenderedPageBreak/>
        <w:t>Supplementary Table 3. Primers used for DNA pull-down assay</w:t>
      </w:r>
    </w:p>
    <w:p w14:paraId="79D9C427" w14:textId="77777777" w:rsidR="00BF666D" w:rsidRPr="00F0582C" w:rsidRDefault="00BF666D" w:rsidP="00BF666D">
      <w:pPr>
        <w:widowControl/>
        <w:jc w:val="left"/>
        <w:rPr>
          <w:rFonts w:ascii="Geneva" w:hAnsi="Geneva" w:cs="Arial"/>
          <w:b/>
          <w:color w:val="000000" w:themeColor="text1"/>
        </w:rPr>
      </w:pPr>
    </w:p>
    <w:p w14:paraId="32470C12" w14:textId="77777777" w:rsidR="00BF666D" w:rsidRPr="00F0582C" w:rsidRDefault="00BF666D" w:rsidP="00BF666D">
      <w:pPr>
        <w:widowControl/>
        <w:autoSpaceDE w:val="0"/>
        <w:autoSpaceDN w:val="0"/>
        <w:adjustRightInd w:val="0"/>
        <w:spacing w:line="360" w:lineRule="auto"/>
        <w:jc w:val="left"/>
        <w:rPr>
          <w:rFonts w:ascii="Geneva" w:hAnsi="Geneva" w:cs="Arial"/>
          <w:color w:val="000000" w:themeColor="text1"/>
          <w:kern w:val="0"/>
        </w:rPr>
      </w:pPr>
      <w:r w:rsidRPr="00F0582C">
        <w:rPr>
          <w:rFonts w:ascii="Geneva" w:hAnsi="Geneva" w:cs="Arial"/>
          <w:color w:val="000000" w:themeColor="text1"/>
          <w:kern w:val="0"/>
        </w:rPr>
        <w:t>GATA3 consensus: 5’ CACTTGATAACAGAAAGTGATAACTCT 3’</w:t>
      </w:r>
    </w:p>
    <w:p w14:paraId="6AA6EAC6" w14:textId="77777777" w:rsidR="00BF666D" w:rsidRPr="00F0582C" w:rsidRDefault="00BF666D" w:rsidP="00BF666D">
      <w:pPr>
        <w:widowControl/>
        <w:autoSpaceDE w:val="0"/>
        <w:autoSpaceDN w:val="0"/>
        <w:adjustRightInd w:val="0"/>
        <w:spacing w:line="360" w:lineRule="auto"/>
        <w:jc w:val="left"/>
        <w:rPr>
          <w:rFonts w:ascii="Geneva" w:hAnsi="Geneva" w:cs="Arial"/>
          <w:color w:val="000000" w:themeColor="text1"/>
          <w:kern w:val="0"/>
        </w:rPr>
      </w:pPr>
      <w:r w:rsidRPr="00F0582C">
        <w:rPr>
          <w:rFonts w:ascii="Geneva" w:hAnsi="Geneva" w:cs="Arial"/>
          <w:color w:val="000000" w:themeColor="text1"/>
          <w:kern w:val="0"/>
        </w:rPr>
        <w:t>Wt</w:t>
      </w:r>
      <w:r w:rsidRPr="00F0582C">
        <w:rPr>
          <w:rFonts w:ascii="Geneva" w:hAnsi="Geneva" w:cs="Arial"/>
          <w:i/>
          <w:color w:val="000000" w:themeColor="text1"/>
          <w:kern w:val="0"/>
        </w:rPr>
        <w:t xml:space="preserve"> Il5</w:t>
      </w:r>
      <w:r w:rsidRPr="00F0582C">
        <w:rPr>
          <w:rFonts w:ascii="Geneva" w:hAnsi="Geneva" w:cs="Arial"/>
          <w:color w:val="000000" w:themeColor="text1"/>
          <w:kern w:val="0"/>
        </w:rPr>
        <w:t>p: 5’ CCTCTATCTGATTGTTAGCA 3’</w:t>
      </w:r>
    </w:p>
    <w:p w14:paraId="20899EC6" w14:textId="77777777" w:rsidR="00BF666D" w:rsidRPr="00F0582C" w:rsidRDefault="00BF666D" w:rsidP="00BF666D">
      <w:pPr>
        <w:spacing w:line="360" w:lineRule="auto"/>
        <w:rPr>
          <w:rFonts w:ascii="Geneva" w:hAnsi="Geneva"/>
          <w:color w:val="000000" w:themeColor="text1"/>
        </w:rPr>
      </w:pPr>
      <w:r w:rsidRPr="00F0582C">
        <w:rPr>
          <w:rFonts w:ascii="Geneva" w:hAnsi="Geneva"/>
          <w:color w:val="000000" w:themeColor="text1"/>
        </w:rPr>
        <w:t>Mut</w:t>
      </w:r>
      <w:r w:rsidRPr="00F0582C">
        <w:rPr>
          <w:rFonts w:ascii="Geneva" w:hAnsi="Geneva"/>
          <w:i/>
          <w:color w:val="000000" w:themeColor="text1"/>
        </w:rPr>
        <w:t>Il5</w:t>
      </w:r>
      <w:r w:rsidRPr="00F0582C">
        <w:rPr>
          <w:rFonts w:ascii="Geneva" w:hAnsi="Geneva"/>
          <w:color w:val="000000" w:themeColor="text1"/>
        </w:rPr>
        <w:t xml:space="preserve">p: </w:t>
      </w:r>
      <w:r w:rsidRPr="00F0582C">
        <w:rPr>
          <w:rFonts w:ascii="Geneva" w:hAnsi="Geneva" w:cs="Minion Pro"/>
          <w:color w:val="000000" w:themeColor="text1"/>
        </w:rPr>
        <w:t>5</w:t>
      </w:r>
      <w:r w:rsidRPr="00F0582C">
        <w:rPr>
          <w:rFonts w:ascii="Geneva" w:hAnsi="Geneva" w:cs="Symbol"/>
          <w:color w:val="000000" w:themeColor="text1"/>
        </w:rPr>
        <w:t>′</w:t>
      </w:r>
      <w:r w:rsidRPr="00F0582C">
        <w:rPr>
          <w:rFonts w:ascii="Geneva" w:hAnsi="Geneva" w:cs="Minion Pro"/>
          <w:color w:val="000000" w:themeColor="text1"/>
        </w:rPr>
        <w:t>CCTCTATCTGATTAATAGCA 3</w:t>
      </w:r>
      <w:r w:rsidRPr="00F0582C">
        <w:rPr>
          <w:rFonts w:ascii="Geneva" w:hAnsi="Geneva" w:cs="Symbol"/>
          <w:color w:val="000000" w:themeColor="text1"/>
        </w:rPr>
        <w:t>′</w:t>
      </w:r>
    </w:p>
    <w:p w14:paraId="5A9CDA89" w14:textId="61564333" w:rsidR="009103C4" w:rsidRPr="00F0582C" w:rsidRDefault="009103C4" w:rsidP="00BF666D">
      <w:pPr>
        <w:rPr>
          <w:rFonts w:ascii="Geneva" w:hAnsi="Geneva"/>
          <w:color w:val="000000" w:themeColor="text1"/>
        </w:rPr>
      </w:pPr>
      <w:r w:rsidRPr="00F0582C">
        <w:rPr>
          <w:rFonts w:ascii="Geneva" w:hAnsi="Geneva"/>
          <w:color w:val="000000" w:themeColor="text1"/>
        </w:rPr>
        <w:br w:type="page"/>
      </w:r>
    </w:p>
    <w:p w14:paraId="455CDBA9" w14:textId="15640BEB" w:rsidR="00BF666D" w:rsidRPr="00F0582C" w:rsidRDefault="009103C4" w:rsidP="00BF666D">
      <w:pPr>
        <w:rPr>
          <w:rFonts w:ascii="Geneva" w:hAnsi="Geneva" w:cs="Arial"/>
          <w:b/>
          <w:color w:val="000000" w:themeColor="text1"/>
        </w:rPr>
      </w:pPr>
      <w:r w:rsidRPr="00F0582C">
        <w:rPr>
          <w:rFonts w:ascii="Geneva" w:hAnsi="Geneva" w:cs="Arial"/>
          <w:b/>
          <w:color w:val="000000" w:themeColor="text1"/>
        </w:rPr>
        <w:lastRenderedPageBreak/>
        <w:t>Supplementary Table 4. List of Commercial antibodies</w:t>
      </w:r>
    </w:p>
    <w:p w14:paraId="6C381B39" w14:textId="77777777" w:rsidR="009103C4" w:rsidRPr="00F0582C" w:rsidRDefault="009103C4" w:rsidP="00BF666D">
      <w:pPr>
        <w:rPr>
          <w:rFonts w:ascii="Geneva" w:hAnsi="Geneva" w:cs="Arial"/>
          <w:b/>
          <w:color w:val="000000" w:themeColor="text1"/>
        </w:rPr>
      </w:pPr>
    </w:p>
    <w:p w14:paraId="3A29EBA5" w14:textId="43C262FD" w:rsidR="009103C4" w:rsidRPr="00F0582C" w:rsidRDefault="00CB5166" w:rsidP="00BF666D">
      <w:pPr>
        <w:rPr>
          <w:rFonts w:ascii="Geneva" w:hAnsi="Geneva"/>
          <w:color w:val="000000" w:themeColor="text1"/>
        </w:rPr>
      </w:pPr>
      <w:r w:rsidRPr="00F0582C">
        <w:rPr>
          <w:rFonts w:ascii="Geneva" w:hAnsi="Geneva"/>
          <w:noProof/>
          <w:color w:val="000000" w:themeColor="text1"/>
        </w:rPr>
        <w:drawing>
          <wp:inline distT="0" distB="0" distL="0" distR="0" wp14:anchorId="135C5536" wp14:editId="6CA706DA">
            <wp:extent cx="5328518" cy="4114800"/>
            <wp:effectExtent l="0" t="0" r="571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able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5840" cy="412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794D7" w14:textId="77777777" w:rsidR="001A6193" w:rsidRPr="00F0582C" w:rsidRDefault="001A6193" w:rsidP="00CA69A3">
      <w:pPr>
        <w:rPr>
          <w:rFonts w:ascii="Geneva" w:hAnsi="Geneva" w:cs="Arial"/>
          <w:color w:val="000000" w:themeColor="text1"/>
        </w:rPr>
      </w:pPr>
    </w:p>
    <w:sectPr w:rsidR="001A6193" w:rsidRPr="00F0582C" w:rsidSect="00A46674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Geneva">
    <w:panose1 w:val="020B0503030404040204"/>
    <w:charset w:val="00"/>
    <w:family w:val="auto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Immun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/ENLayout&gt;"/>
    <w:docVar w:name="EN.Libraries" w:val="&lt;Libraries&gt;&lt;item db-id=&quot;eaz52aa2urartnewtwsxpxspwv5e0wzwp9af&quot;&gt;学位論文 Copy&lt;record-ids&gt;&lt;item&gt;106&lt;/item&gt;&lt;item&gt;1089&lt;/item&gt;&lt;item&gt;1090&lt;/item&gt;&lt;/record-ids&gt;&lt;/item&gt;&lt;/Libraries&gt;"/>
  </w:docVars>
  <w:rsids>
    <w:rsidRoot w:val="00776B96"/>
    <w:rsid w:val="00002CB1"/>
    <w:rsid w:val="000075B1"/>
    <w:rsid w:val="000231D4"/>
    <w:rsid w:val="00024053"/>
    <w:rsid w:val="00035204"/>
    <w:rsid w:val="00050669"/>
    <w:rsid w:val="00064480"/>
    <w:rsid w:val="00067730"/>
    <w:rsid w:val="0007492A"/>
    <w:rsid w:val="000904AF"/>
    <w:rsid w:val="00095115"/>
    <w:rsid w:val="000A04AD"/>
    <w:rsid w:val="000A7D67"/>
    <w:rsid w:val="000C0456"/>
    <w:rsid w:val="000C04DB"/>
    <w:rsid w:val="000C4E3B"/>
    <w:rsid w:val="000D4F1A"/>
    <w:rsid w:val="000D7E65"/>
    <w:rsid w:val="000E30F5"/>
    <w:rsid w:val="000E3277"/>
    <w:rsid w:val="000E360E"/>
    <w:rsid w:val="000E6804"/>
    <w:rsid w:val="000E7EFE"/>
    <w:rsid w:val="000F1007"/>
    <w:rsid w:val="000F2D7D"/>
    <w:rsid w:val="00106B9D"/>
    <w:rsid w:val="001337C6"/>
    <w:rsid w:val="00140276"/>
    <w:rsid w:val="00150527"/>
    <w:rsid w:val="0015170E"/>
    <w:rsid w:val="00153315"/>
    <w:rsid w:val="00154981"/>
    <w:rsid w:val="001577A9"/>
    <w:rsid w:val="00164226"/>
    <w:rsid w:val="00181435"/>
    <w:rsid w:val="00182B33"/>
    <w:rsid w:val="001844F4"/>
    <w:rsid w:val="00186F44"/>
    <w:rsid w:val="00192055"/>
    <w:rsid w:val="001932C9"/>
    <w:rsid w:val="00195679"/>
    <w:rsid w:val="001A6193"/>
    <w:rsid w:val="001C4B92"/>
    <w:rsid w:val="001D2C68"/>
    <w:rsid w:val="001D71DF"/>
    <w:rsid w:val="001F2A20"/>
    <w:rsid w:val="001F2E04"/>
    <w:rsid w:val="001F3E57"/>
    <w:rsid w:val="002034B8"/>
    <w:rsid w:val="0020741A"/>
    <w:rsid w:val="00220065"/>
    <w:rsid w:val="00242AEC"/>
    <w:rsid w:val="002474E0"/>
    <w:rsid w:val="00247E41"/>
    <w:rsid w:val="0025239C"/>
    <w:rsid w:val="00256313"/>
    <w:rsid w:val="00262186"/>
    <w:rsid w:val="00264D46"/>
    <w:rsid w:val="0028016F"/>
    <w:rsid w:val="00282FAE"/>
    <w:rsid w:val="002848D8"/>
    <w:rsid w:val="00285D44"/>
    <w:rsid w:val="002968C4"/>
    <w:rsid w:val="002A2BA4"/>
    <w:rsid w:val="002B434D"/>
    <w:rsid w:val="002B77A6"/>
    <w:rsid w:val="002C2F68"/>
    <w:rsid w:val="002C66E7"/>
    <w:rsid w:val="002D3F49"/>
    <w:rsid w:val="002D47FE"/>
    <w:rsid w:val="00307D30"/>
    <w:rsid w:val="003135DC"/>
    <w:rsid w:val="00324DAA"/>
    <w:rsid w:val="003341FA"/>
    <w:rsid w:val="00335C1D"/>
    <w:rsid w:val="00342E68"/>
    <w:rsid w:val="00355CDA"/>
    <w:rsid w:val="00356A65"/>
    <w:rsid w:val="003608C9"/>
    <w:rsid w:val="00366DFE"/>
    <w:rsid w:val="003747C4"/>
    <w:rsid w:val="003761C5"/>
    <w:rsid w:val="00381308"/>
    <w:rsid w:val="00392FAD"/>
    <w:rsid w:val="003A06F5"/>
    <w:rsid w:val="003A6ADD"/>
    <w:rsid w:val="003C79A4"/>
    <w:rsid w:val="003E07EC"/>
    <w:rsid w:val="003E15F1"/>
    <w:rsid w:val="003E563D"/>
    <w:rsid w:val="003E5E9D"/>
    <w:rsid w:val="003F43CC"/>
    <w:rsid w:val="00406914"/>
    <w:rsid w:val="00407941"/>
    <w:rsid w:val="00407C61"/>
    <w:rsid w:val="00413411"/>
    <w:rsid w:val="004140FD"/>
    <w:rsid w:val="00416BA0"/>
    <w:rsid w:val="004234F8"/>
    <w:rsid w:val="00450D82"/>
    <w:rsid w:val="00457189"/>
    <w:rsid w:val="00461749"/>
    <w:rsid w:val="004632D9"/>
    <w:rsid w:val="0046388A"/>
    <w:rsid w:val="00472CC4"/>
    <w:rsid w:val="00472E25"/>
    <w:rsid w:val="00475786"/>
    <w:rsid w:val="00481F87"/>
    <w:rsid w:val="004900E4"/>
    <w:rsid w:val="004915CA"/>
    <w:rsid w:val="00491FE4"/>
    <w:rsid w:val="004937FC"/>
    <w:rsid w:val="00493BCC"/>
    <w:rsid w:val="004973D2"/>
    <w:rsid w:val="004A7AF5"/>
    <w:rsid w:val="004B2D4C"/>
    <w:rsid w:val="004C1799"/>
    <w:rsid w:val="004C5E08"/>
    <w:rsid w:val="004C73DB"/>
    <w:rsid w:val="004D1DD5"/>
    <w:rsid w:val="004D2C7D"/>
    <w:rsid w:val="004E03D8"/>
    <w:rsid w:val="004E6C32"/>
    <w:rsid w:val="005006BB"/>
    <w:rsid w:val="005021FD"/>
    <w:rsid w:val="00514214"/>
    <w:rsid w:val="00514ED3"/>
    <w:rsid w:val="00553EAE"/>
    <w:rsid w:val="00564122"/>
    <w:rsid w:val="00581783"/>
    <w:rsid w:val="0058324A"/>
    <w:rsid w:val="005837B5"/>
    <w:rsid w:val="00586B81"/>
    <w:rsid w:val="0059149A"/>
    <w:rsid w:val="00592375"/>
    <w:rsid w:val="005B32CD"/>
    <w:rsid w:val="005B7F69"/>
    <w:rsid w:val="005C1EF2"/>
    <w:rsid w:val="005C325D"/>
    <w:rsid w:val="005D1C5B"/>
    <w:rsid w:val="005D3BAD"/>
    <w:rsid w:val="005D5765"/>
    <w:rsid w:val="005D6202"/>
    <w:rsid w:val="005E19F2"/>
    <w:rsid w:val="00603057"/>
    <w:rsid w:val="00612C3D"/>
    <w:rsid w:val="00622E5D"/>
    <w:rsid w:val="00626DF7"/>
    <w:rsid w:val="00636BB1"/>
    <w:rsid w:val="00640138"/>
    <w:rsid w:val="00645FC5"/>
    <w:rsid w:val="00646DED"/>
    <w:rsid w:val="00650C9E"/>
    <w:rsid w:val="00655507"/>
    <w:rsid w:val="0066717B"/>
    <w:rsid w:val="0067490E"/>
    <w:rsid w:val="00675F6B"/>
    <w:rsid w:val="006838FF"/>
    <w:rsid w:val="006A2E33"/>
    <w:rsid w:val="006B0298"/>
    <w:rsid w:val="006D1AFA"/>
    <w:rsid w:val="006D3BF3"/>
    <w:rsid w:val="006E7356"/>
    <w:rsid w:val="006F142A"/>
    <w:rsid w:val="006F2191"/>
    <w:rsid w:val="006F5CC5"/>
    <w:rsid w:val="00701A97"/>
    <w:rsid w:val="00711719"/>
    <w:rsid w:val="007212DC"/>
    <w:rsid w:val="007268CE"/>
    <w:rsid w:val="007356BF"/>
    <w:rsid w:val="0074218D"/>
    <w:rsid w:val="007466C1"/>
    <w:rsid w:val="00753684"/>
    <w:rsid w:val="0076144B"/>
    <w:rsid w:val="007657F9"/>
    <w:rsid w:val="0077511D"/>
    <w:rsid w:val="00776B96"/>
    <w:rsid w:val="00782744"/>
    <w:rsid w:val="00793568"/>
    <w:rsid w:val="007A3CB1"/>
    <w:rsid w:val="007B041B"/>
    <w:rsid w:val="007B65AD"/>
    <w:rsid w:val="007C1ECF"/>
    <w:rsid w:val="007C3549"/>
    <w:rsid w:val="007C7E66"/>
    <w:rsid w:val="007D0E5C"/>
    <w:rsid w:val="007D67CD"/>
    <w:rsid w:val="007E278D"/>
    <w:rsid w:val="007E4F15"/>
    <w:rsid w:val="007E54C9"/>
    <w:rsid w:val="007E7C91"/>
    <w:rsid w:val="007F30A4"/>
    <w:rsid w:val="007F3AA9"/>
    <w:rsid w:val="007F3DBA"/>
    <w:rsid w:val="007F738E"/>
    <w:rsid w:val="00815606"/>
    <w:rsid w:val="00821E26"/>
    <w:rsid w:val="00833130"/>
    <w:rsid w:val="00833D6F"/>
    <w:rsid w:val="00842482"/>
    <w:rsid w:val="008516C3"/>
    <w:rsid w:val="00853AF7"/>
    <w:rsid w:val="0086304A"/>
    <w:rsid w:val="00872966"/>
    <w:rsid w:val="00880645"/>
    <w:rsid w:val="00883ED2"/>
    <w:rsid w:val="00895411"/>
    <w:rsid w:val="008A0C15"/>
    <w:rsid w:val="008A23E9"/>
    <w:rsid w:val="008B180A"/>
    <w:rsid w:val="008B45CA"/>
    <w:rsid w:val="008C14E9"/>
    <w:rsid w:val="008C4305"/>
    <w:rsid w:val="008C54F2"/>
    <w:rsid w:val="008D7B30"/>
    <w:rsid w:val="008D7E19"/>
    <w:rsid w:val="008E4FD0"/>
    <w:rsid w:val="00903C8D"/>
    <w:rsid w:val="009103C4"/>
    <w:rsid w:val="00915BF6"/>
    <w:rsid w:val="009242E6"/>
    <w:rsid w:val="00930741"/>
    <w:rsid w:val="009315CA"/>
    <w:rsid w:val="00932141"/>
    <w:rsid w:val="00944D04"/>
    <w:rsid w:val="00945B53"/>
    <w:rsid w:val="009547A6"/>
    <w:rsid w:val="00956AEB"/>
    <w:rsid w:val="00964022"/>
    <w:rsid w:val="00972F0E"/>
    <w:rsid w:val="009808FB"/>
    <w:rsid w:val="00981B22"/>
    <w:rsid w:val="00991F89"/>
    <w:rsid w:val="00993288"/>
    <w:rsid w:val="00994260"/>
    <w:rsid w:val="009A222F"/>
    <w:rsid w:val="009B21EB"/>
    <w:rsid w:val="009B65D2"/>
    <w:rsid w:val="009C14DA"/>
    <w:rsid w:val="009E210D"/>
    <w:rsid w:val="00A02A13"/>
    <w:rsid w:val="00A054AC"/>
    <w:rsid w:val="00A074EF"/>
    <w:rsid w:val="00A33885"/>
    <w:rsid w:val="00A35E51"/>
    <w:rsid w:val="00A46674"/>
    <w:rsid w:val="00A55024"/>
    <w:rsid w:val="00A56E66"/>
    <w:rsid w:val="00A63755"/>
    <w:rsid w:val="00A743E6"/>
    <w:rsid w:val="00A76E40"/>
    <w:rsid w:val="00A86C9F"/>
    <w:rsid w:val="00A92935"/>
    <w:rsid w:val="00AA01E8"/>
    <w:rsid w:val="00AA082D"/>
    <w:rsid w:val="00AB3546"/>
    <w:rsid w:val="00AC1FE7"/>
    <w:rsid w:val="00AC2575"/>
    <w:rsid w:val="00AD0552"/>
    <w:rsid w:val="00AD2BF7"/>
    <w:rsid w:val="00AD2CE6"/>
    <w:rsid w:val="00AD5DB4"/>
    <w:rsid w:val="00AE547B"/>
    <w:rsid w:val="00AE5BA0"/>
    <w:rsid w:val="00AE7DA8"/>
    <w:rsid w:val="00AE7DD0"/>
    <w:rsid w:val="00B018B4"/>
    <w:rsid w:val="00B1063D"/>
    <w:rsid w:val="00B14F3F"/>
    <w:rsid w:val="00B2171E"/>
    <w:rsid w:val="00B2210A"/>
    <w:rsid w:val="00B34CE5"/>
    <w:rsid w:val="00B40BE8"/>
    <w:rsid w:val="00B40D91"/>
    <w:rsid w:val="00B642CD"/>
    <w:rsid w:val="00B67A2D"/>
    <w:rsid w:val="00B750F2"/>
    <w:rsid w:val="00B86F83"/>
    <w:rsid w:val="00B87D74"/>
    <w:rsid w:val="00B90DC0"/>
    <w:rsid w:val="00B91D65"/>
    <w:rsid w:val="00BA19B1"/>
    <w:rsid w:val="00BA6E72"/>
    <w:rsid w:val="00BB1DA5"/>
    <w:rsid w:val="00BB39F0"/>
    <w:rsid w:val="00BB536C"/>
    <w:rsid w:val="00BC16B7"/>
    <w:rsid w:val="00BE3428"/>
    <w:rsid w:val="00BE5144"/>
    <w:rsid w:val="00BE7C91"/>
    <w:rsid w:val="00BF130B"/>
    <w:rsid w:val="00BF666D"/>
    <w:rsid w:val="00C06ED8"/>
    <w:rsid w:val="00C137C7"/>
    <w:rsid w:val="00C23068"/>
    <w:rsid w:val="00C2797C"/>
    <w:rsid w:val="00C32CF5"/>
    <w:rsid w:val="00C42233"/>
    <w:rsid w:val="00C442D7"/>
    <w:rsid w:val="00C445FE"/>
    <w:rsid w:val="00C75962"/>
    <w:rsid w:val="00C80525"/>
    <w:rsid w:val="00C84475"/>
    <w:rsid w:val="00CA05DC"/>
    <w:rsid w:val="00CA1680"/>
    <w:rsid w:val="00CA36F6"/>
    <w:rsid w:val="00CA45A7"/>
    <w:rsid w:val="00CA69A3"/>
    <w:rsid w:val="00CB5166"/>
    <w:rsid w:val="00CC0493"/>
    <w:rsid w:val="00CC1D50"/>
    <w:rsid w:val="00CD1FE4"/>
    <w:rsid w:val="00CD3C53"/>
    <w:rsid w:val="00CE6173"/>
    <w:rsid w:val="00D065B7"/>
    <w:rsid w:val="00D11DE5"/>
    <w:rsid w:val="00D14794"/>
    <w:rsid w:val="00D33CB8"/>
    <w:rsid w:val="00D3795D"/>
    <w:rsid w:val="00D430C2"/>
    <w:rsid w:val="00D448D2"/>
    <w:rsid w:val="00D54C10"/>
    <w:rsid w:val="00D56671"/>
    <w:rsid w:val="00D56B28"/>
    <w:rsid w:val="00D803A4"/>
    <w:rsid w:val="00D80F56"/>
    <w:rsid w:val="00D84B98"/>
    <w:rsid w:val="00D858FD"/>
    <w:rsid w:val="00D87682"/>
    <w:rsid w:val="00D94DC9"/>
    <w:rsid w:val="00D94FF4"/>
    <w:rsid w:val="00DA3C77"/>
    <w:rsid w:val="00DA6A18"/>
    <w:rsid w:val="00DA7C6E"/>
    <w:rsid w:val="00DB0273"/>
    <w:rsid w:val="00DC0A2F"/>
    <w:rsid w:val="00DD134F"/>
    <w:rsid w:val="00DD3A92"/>
    <w:rsid w:val="00E1291D"/>
    <w:rsid w:val="00E13F1D"/>
    <w:rsid w:val="00E34A5C"/>
    <w:rsid w:val="00E3655F"/>
    <w:rsid w:val="00E36BA7"/>
    <w:rsid w:val="00E54203"/>
    <w:rsid w:val="00E55D21"/>
    <w:rsid w:val="00E6218E"/>
    <w:rsid w:val="00E704F9"/>
    <w:rsid w:val="00E72045"/>
    <w:rsid w:val="00E801E5"/>
    <w:rsid w:val="00E80A79"/>
    <w:rsid w:val="00EA0CDC"/>
    <w:rsid w:val="00EA6177"/>
    <w:rsid w:val="00EB24D7"/>
    <w:rsid w:val="00EB7312"/>
    <w:rsid w:val="00ED07C4"/>
    <w:rsid w:val="00EE15C2"/>
    <w:rsid w:val="00EF56D7"/>
    <w:rsid w:val="00EF6C1D"/>
    <w:rsid w:val="00F0346A"/>
    <w:rsid w:val="00F0582C"/>
    <w:rsid w:val="00F07D11"/>
    <w:rsid w:val="00F2179F"/>
    <w:rsid w:val="00F26FFC"/>
    <w:rsid w:val="00F35263"/>
    <w:rsid w:val="00F41448"/>
    <w:rsid w:val="00F45BC4"/>
    <w:rsid w:val="00F57A4E"/>
    <w:rsid w:val="00F57E27"/>
    <w:rsid w:val="00F63E59"/>
    <w:rsid w:val="00F6591E"/>
    <w:rsid w:val="00F716EE"/>
    <w:rsid w:val="00F76176"/>
    <w:rsid w:val="00F8703A"/>
    <w:rsid w:val="00F930C8"/>
    <w:rsid w:val="00F93779"/>
    <w:rsid w:val="00F979C1"/>
    <w:rsid w:val="00FA0701"/>
    <w:rsid w:val="00FA257D"/>
    <w:rsid w:val="00FA462B"/>
    <w:rsid w:val="00FA4FF3"/>
    <w:rsid w:val="00FA7BB2"/>
    <w:rsid w:val="00FB1DD2"/>
    <w:rsid w:val="00FB6EB9"/>
    <w:rsid w:val="00FB7423"/>
    <w:rsid w:val="00FD407B"/>
    <w:rsid w:val="00FE192C"/>
    <w:rsid w:val="00FE4A27"/>
    <w:rsid w:val="00FE70EA"/>
    <w:rsid w:val="00FE7EE5"/>
    <w:rsid w:val="00FF2EA9"/>
    <w:rsid w:val="00FF3579"/>
    <w:rsid w:val="00FF4B94"/>
    <w:rsid w:val="00FF6C44"/>
    <w:rsid w:val="00FF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626C4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rsid w:val="000E30F5"/>
    <w:pPr>
      <w:jc w:val="center"/>
    </w:pPr>
  </w:style>
  <w:style w:type="paragraph" w:customStyle="1" w:styleId="EndNoteBibliography">
    <w:name w:val="EndNote Bibliography"/>
    <w:basedOn w:val="a"/>
    <w:rsid w:val="000E30F5"/>
  </w:style>
  <w:style w:type="paragraph" w:styleId="a3">
    <w:name w:val="Balloon Text"/>
    <w:basedOn w:val="a"/>
    <w:link w:val="a4"/>
    <w:uiPriority w:val="99"/>
    <w:semiHidden/>
    <w:unhideWhenUsed/>
    <w:rsid w:val="00553EAE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53EAE"/>
    <w:rPr>
      <w:rFonts w:ascii="ヒラギノ角ゴ ProN W3" w:eastAsia="ヒラギノ角ゴ ProN W3"/>
      <w:sz w:val="18"/>
      <w:szCs w:val="18"/>
    </w:rPr>
  </w:style>
  <w:style w:type="paragraph" w:styleId="a5">
    <w:name w:val="List Paragraph"/>
    <w:basedOn w:val="a"/>
    <w:uiPriority w:val="34"/>
    <w:qFormat/>
    <w:rsid w:val="00636BB1"/>
    <w:pPr>
      <w:ind w:leftChars="400" w:left="840"/>
    </w:pPr>
  </w:style>
  <w:style w:type="character" w:styleId="a6">
    <w:name w:val="annotation reference"/>
    <w:basedOn w:val="a0"/>
    <w:uiPriority w:val="99"/>
    <w:semiHidden/>
    <w:unhideWhenUsed/>
    <w:rsid w:val="00675F6B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rsid w:val="00675F6B"/>
    <w:pPr>
      <w:jc w:val="left"/>
    </w:pPr>
  </w:style>
  <w:style w:type="character" w:customStyle="1" w:styleId="a8">
    <w:name w:val="コメント文字列 (文字)"/>
    <w:basedOn w:val="a0"/>
    <w:link w:val="a7"/>
    <w:uiPriority w:val="99"/>
    <w:rsid w:val="00675F6B"/>
  </w:style>
  <w:style w:type="paragraph" w:styleId="a9">
    <w:name w:val="annotation subject"/>
    <w:basedOn w:val="a7"/>
    <w:next w:val="a7"/>
    <w:link w:val="aa"/>
    <w:uiPriority w:val="99"/>
    <w:semiHidden/>
    <w:unhideWhenUsed/>
    <w:rsid w:val="00675F6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675F6B"/>
    <w:rPr>
      <w:b/>
      <w:bCs/>
    </w:rPr>
  </w:style>
  <w:style w:type="paragraph" w:styleId="Web">
    <w:name w:val="Normal (Web)"/>
    <w:basedOn w:val="a"/>
    <w:uiPriority w:val="99"/>
    <w:semiHidden/>
    <w:unhideWhenUsed/>
    <w:rsid w:val="00BF66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rsid w:val="000E30F5"/>
    <w:pPr>
      <w:jc w:val="center"/>
    </w:pPr>
  </w:style>
  <w:style w:type="paragraph" w:customStyle="1" w:styleId="EndNoteBibliography">
    <w:name w:val="EndNote Bibliography"/>
    <w:basedOn w:val="a"/>
    <w:rsid w:val="000E30F5"/>
  </w:style>
  <w:style w:type="paragraph" w:styleId="a3">
    <w:name w:val="Balloon Text"/>
    <w:basedOn w:val="a"/>
    <w:link w:val="a4"/>
    <w:uiPriority w:val="99"/>
    <w:semiHidden/>
    <w:unhideWhenUsed/>
    <w:rsid w:val="00553EAE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53EAE"/>
    <w:rPr>
      <w:rFonts w:ascii="ヒラギノ角ゴ ProN W3" w:eastAsia="ヒラギノ角ゴ ProN W3"/>
      <w:sz w:val="18"/>
      <w:szCs w:val="18"/>
    </w:rPr>
  </w:style>
  <w:style w:type="paragraph" w:styleId="a5">
    <w:name w:val="List Paragraph"/>
    <w:basedOn w:val="a"/>
    <w:uiPriority w:val="34"/>
    <w:qFormat/>
    <w:rsid w:val="00636BB1"/>
    <w:pPr>
      <w:ind w:leftChars="400" w:left="840"/>
    </w:pPr>
  </w:style>
  <w:style w:type="character" w:styleId="a6">
    <w:name w:val="annotation reference"/>
    <w:basedOn w:val="a0"/>
    <w:uiPriority w:val="99"/>
    <w:semiHidden/>
    <w:unhideWhenUsed/>
    <w:rsid w:val="00675F6B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rsid w:val="00675F6B"/>
    <w:pPr>
      <w:jc w:val="left"/>
    </w:pPr>
  </w:style>
  <w:style w:type="character" w:customStyle="1" w:styleId="a8">
    <w:name w:val="コメント文字列 (文字)"/>
    <w:basedOn w:val="a0"/>
    <w:link w:val="a7"/>
    <w:uiPriority w:val="99"/>
    <w:rsid w:val="00675F6B"/>
  </w:style>
  <w:style w:type="paragraph" w:styleId="a9">
    <w:name w:val="annotation subject"/>
    <w:basedOn w:val="a7"/>
    <w:next w:val="a7"/>
    <w:link w:val="aa"/>
    <w:uiPriority w:val="99"/>
    <w:semiHidden/>
    <w:unhideWhenUsed/>
    <w:rsid w:val="00675F6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675F6B"/>
    <w:rPr>
      <w:b/>
      <w:bCs/>
    </w:rPr>
  </w:style>
  <w:style w:type="paragraph" w:styleId="Web">
    <w:name w:val="Normal (Web)"/>
    <w:basedOn w:val="a"/>
    <w:uiPriority w:val="99"/>
    <w:semiHidden/>
    <w:unhideWhenUsed/>
    <w:rsid w:val="00BF66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emf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F4685F-A49C-0647-8EBC-CBE51BE7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1113</Words>
  <Characters>6349</Characters>
  <Application>Microsoft Macintosh Word</Application>
  <DocSecurity>0</DocSecurity>
  <Lines>52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千葉大学大学院医学研究院小児病態学</Company>
  <LinksUpToDate>false</LinksUpToDate>
  <CharactersWithSpaces>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健</dc:creator>
  <cp:keywords/>
  <dc:description/>
  <cp:lastModifiedBy>遠藤裕介</cp:lastModifiedBy>
  <cp:revision>4</cp:revision>
  <cp:lastPrinted>2018-05-18T07:27:00Z</cp:lastPrinted>
  <dcterms:created xsi:type="dcterms:W3CDTF">2018-09-24T13:53:00Z</dcterms:created>
  <dcterms:modified xsi:type="dcterms:W3CDTF">2018-09-25T02:39:00Z</dcterms:modified>
</cp:coreProperties>
</file>