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DE" w:rsidRDefault="00336ADE">
      <w:r w:rsidRPr="00336ADE">
        <w:rPr>
          <w:b/>
        </w:rPr>
        <w:t>Title:</w:t>
      </w:r>
      <w:r>
        <w:t xml:space="preserve">  Supplementary Data 1</w:t>
      </w:r>
    </w:p>
    <w:p w:rsidR="00CE58A5" w:rsidRDefault="00336ADE">
      <w:r w:rsidRPr="00336ADE">
        <w:rPr>
          <w:b/>
        </w:rPr>
        <w:t>Description:</w:t>
      </w:r>
      <w:r>
        <w:t xml:space="preserve"> </w:t>
      </w:r>
      <w:r>
        <w:t>List of CITED2-interacting proteins using LC-MS/MS. HEK293T cells were transfected with Flag/SBP-CITED2, and proteins in cell lysates were precipitated by anti-Flag (</w:t>
      </w:r>
      <w:proofErr w:type="spellStart"/>
      <w:r>
        <w:t>redcolored</w:t>
      </w:r>
      <w:proofErr w:type="spellEnd"/>
      <w:r>
        <w:t>) or streptavidin (blue-</w:t>
      </w:r>
      <w:proofErr w:type="spellStart"/>
      <w:r>
        <w:t>colored</w:t>
      </w:r>
      <w:proofErr w:type="spellEnd"/>
      <w:r>
        <w:t xml:space="preserve">) affinity beads. Co-precipitated proteins were identified using LC-MS/MS. The proteins </w:t>
      </w:r>
      <w:bookmarkStart w:id="0" w:name="_GoBack"/>
      <w:bookmarkEnd w:id="0"/>
      <w:r>
        <w:t>purified commonly by both affinity beads are listed.</w:t>
      </w:r>
    </w:p>
    <w:sectPr w:rsidR="00CE5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ADE"/>
    <w:rsid w:val="00336ADE"/>
    <w:rsid w:val="009904FA"/>
    <w:rsid w:val="00C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Pattinson</dc:creator>
  <cp:lastModifiedBy>Stacey Pattinson</cp:lastModifiedBy>
  <cp:revision>1</cp:revision>
  <dcterms:created xsi:type="dcterms:W3CDTF">2018-09-03T11:28:00Z</dcterms:created>
  <dcterms:modified xsi:type="dcterms:W3CDTF">2018-09-03T11:29:00Z</dcterms:modified>
</cp:coreProperties>
</file>