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D211DC" w14:textId="77777777" w:rsidR="00883707" w:rsidRPr="00883707" w:rsidRDefault="00883707" w:rsidP="00883707">
      <w:pPr>
        <w:rPr>
          <w:rFonts w:ascii="Calibri" w:hAnsi="Calibri"/>
          <w:b/>
          <w:sz w:val="32"/>
          <w:szCs w:val="32"/>
        </w:rPr>
      </w:pPr>
      <w:r w:rsidRPr="00883707">
        <w:rPr>
          <w:rFonts w:ascii="Calibri" w:hAnsi="Calibri"/>
          <w:b/>
          <w:sz w:val="32"/>
          <w:szCs w:val="32"/>
        </w:rPr>
        <w:t>Supple</w:t>
      </w:r>
      <w:bookmarkStart w:id="0" w:name="_GoBack"/>
      <w:bookmarkEnd w:id="0"/>
      <w:r w:rsidRPr="00883707">
        <w:rPr>
          <w:rFonts w:ascii="Calibri" w:hAnsi="Calibri"/>
          <w:b/>
          <w:sz w:val="32"/>
          <w:szCs w:val="32"/>
        </w:rPr>
        <w:t>mentary data</w:t>
      </w:r>
    </w:p>
    <w:p w14:paraId="7199C613" w14:textId="77777777" w:rsidR="00883707" w:rsidRDefault="00883707" w:rsidP="00883707">
      <w:pPr>
        <w:rPr>
          <w:rFonts w:ascii="Calibri" w:hAnsi="Calibri"/>
          <w:b/>
        </w:rPr>
      </w:pPr>
    </w:p>
    <w:p w14:paraId="3F0403DB" w14:textId="77777777" w:rsidR="00883707" w:rsidRDefault="00883707" w:rsidP="00883707">
      <w:pPr>
        <w:rPr>
          <w:rFonts w:ascii="Calibri" w:hAnsi="Calibri"/>
        </w:rPr>
      </w:pPr>
      <w:r w:rsidRPr="00883707">
        <w:rPr>
          <w:rFonts w:ascii="Calibri" w:hAnsi="Calibri"/>
          <w:b/>
        </w:rPr>
        <w:t>Supplementary Figure 1.</w:t>
      </w:r>
      <w:r w:rsidRPr="00883707">
        <w:rPr>
          <w:rFonts w:ascii="Calibri" w:hAnsi="Calibri"/>
        </w:rPr>
        <w:t xml:space="preserve"> MV fusion protein- and haemagglutinin-specific IgM and IgG responses.</w:t>
      </w:r>
    </w:p>
    <w:p w14:paraId="325A94E4" w14:textId="77777777" w:rsidR="00F94E88" w:rsidRPr="00883707" w:rsidRDefault="00F94E88" w:rsidP="00883707">
      <w:pPr>
        <w:rPr>
          <w:rFonts w:ascii="Calibri" w:hAnsi="Calibri"/>
        </w:rPr>
      </w:pPr>
    </w:p>
    <w:p w14:paraId="1814C7B8" w14:textId="68A74F75" w:rsidR="00883707" w:rsidRDefault="00883707" w:rsidP="00883707">
      <w:pPr>
        <w:rPr>
          <w:rFonts w:ascii="Calibri" w:hAnsi="Calibri"/>
        </w:rPr>
      </w:pPr>
      <w:r w:rsidRPr="00883707">
        <w:rPr>
          <w:rFonts w:ascii="Calibri" w:hAnsi="Calibri"/>
          <w:b/>
        </w:rPr>
        <w:t>Supplementary Figure 2.</w:t>
      </w:r>
      <w:r w:rsidRPr="00883707">
        <w:rPr>
          <w:rFonts w:ascii="Calibri" w:hAnsi="Calibri"/>
        </w:rPr>
        <w:t xml:space="preserve"> Gating strategy to determine MV-infected cells, defined as MV-N</w:t>
      </w:r>
      <w:r w:rsidRPr="00883707">
        <w:rPr>
          <w:rFonts w:ascii="Calibri" w:hAnsi="Calibri"/>
          <w:vertAlign w:val="superscript"/>
        </w:rPr>
        <w:t>+</w:t>
      </w:r>
      <w:r w:rsidRPr="00883707">
        <w:rPr>
          <w:rFonts w:ascii="Calibri" w:hAnsi="Calibri"/>
        </w:rPr>
        <w:t xml:space="preserve"> cells and assessed by flow cytometry. </w:t>
      </w:r>
    </w:p>
    <w:p w14:paraId="580EBA81" w14:textId="77777777" w:rsidR="00F94E88" w:rsidRPr="00883707" w:rsidRDefault="00F94E88" w:rsidP="00883707">
      <w:pPr>
        <w:rPr>
          <w:rFonts w:ascii="Calibri" w:hAnsi="Calibri"/>
        </w:rPr>
      </w:pPr>
    </w:p>
    <w:p w14:paraId="703EAB8B" w14:textId="77777777" w:rsidR="00883707" w:rsidRDefault="00883707" w:rsidP="00883707">
      <w:pPr>
        <w:rPr>
          <w:rFonts w:ascii="Calibri" w:hAnsi="Calibri"/>
        </w:rPr>
      </w:pPr>
      <w:r w:rsidRPr="00883707">
        <w:rPr>
          <w:rFonts w:ascii="Calibri" w:hAnsi="Calibri"/>
          <w:b/>
        </w:rPr>
        <w:t>Supplementary Figure 3.</w:t>
      </w:r>
      <w:r w:rsidRPr="00883707">
        <w:rPr>
          <w:rFonts w:ascii="Calibri" w:hAnsi="Calibri"/>
        </w:rPr>
        <w:t xml:space="preserve"> Overview of sampling time points of Cohort B.</w:t>
      </w:r>
    </w:p>
    <w:p w14:paraId="4815D23C" w14:textId="77777777" w:rsidR="00F94E88" w:rsidRPr="00883707" w:rsidRDefault="00F94E88" w:rsidP="00883707">
      <w:pPr>
        <w:rPr>
          <w:rFonts w:ascii="Calibri" w:hAnsi="Calibri"/>
        </w:rPr>
      </w:pPr>
    </w:p>
    <w:p w14:paraId="2F47DB33" w14:textId="77777777" w:rsidR="00883707" w:rsidRDefault="00883707" w:rsidP="00883707">
      <w:pPr>
        <w:rPr>
          <w:rFonts w:ascii="Calibri" w:hAnsi="Calibri"/>
        </w:rPr>
      </w:pPr>
      <w:r w:rsidRPr="00883707">
        <w:rPr>
          <w:rFonts w:ascii="Calibri" w:hAnsi="Calibri"/>
          <w:b/>
        </w:rPr>
        <w:t>Supplementary Figure 4.</w:t>
      </w:r>
      <w:r w:rsidRPr="00883707">
        <w:rPr>
          <w:rFonts w:ascii="Calibri" w:hAnsi="Calibri"/>
        </w:rPr>
        <w:t xml:space="preserve"> Concentration of total immunoglobulins before and after measles.</w:t>
      </w:r>
    </w:p>
    <w:p w14:paraId="7100BDF7" w14:textId="77777777" w:rsidR="00F94E88" w:rsidRPr="00883707" w:rsidRDefault="00F94E88" w:rsidP="00883707">
      <w:pPr>
        <w:rPr>
          <w:rFonts w:ascii="Calibri" w:hAnsi="Calibri"/>
        </w:rPr>
      </w:pPr>
    </w:p>
    <w:p w14:paraId="72B0F5FC" w14:textId="77777777" w:rsidR="00883707" w:rsidRDefault="00883707" w:rsidP="00883707">
      <w:pPr>
        <w:rPr>
          <w:rFonts w:ascii="Calibri" w:hAnsi="Calibri"/>
        </w:rPr>
      </w:pPr>
      <w:r w:rsidRPr="00883707">
        <w:rPr>
          <w:rFonts w:ascii="Calibri" w:hAnsi="Calibri"/>
          <w:b/>
        </w:rPr>
        <w:t>Supplementary Figure 5.</w:t>
      </w:r>
      <w:r w:rsidRPr="00883707">
        <w:rPr>
          <w:rFonts w:ascii="Calibri" w:hAnsi="Calibri"/>
        </w:rPr>
        <w:t xml:space="preserve"> Comparison of lymphocyte subset frequencies found before and after measles based on unsupervised analyses.</w:t>
      </w:r>
    </w:p>
    <w:p w14:paraId="44849841" w14:textId="77777777" w:rsidR="00F94E88" w:rsidRPr="00883707" w:rsidRDefault="00F94E88" w:rsidP="00883707">
      <w:pPr>
        <w:rPr>
          <w:rFonts w:ascii="Calibri" w:hAnsi="Calibri"/>
        </w:rPr>
      </w:pPr>
    </w:p>
    <w:p w14:paraId="09D9C92C" w14:textId="77777777" w:rsidR="00883707" w:rsidRDefault="00883707" w:rsidP="00883707">
      <w:pPr>
        <w:rPr>
          <w:rFonts w:ascii="Calibri" w:hAnsi="Calibri"/>
        </w:rPr>
      </w:pPr>
      <w:r w:rsidRPr="00883707">
        <w:rPr>
          <w:rFonts w:ascii="Calibri" w:hAnsi="Calibri"/>
          <w:b/>
        </w:rPr>
        <w:t>Supplementary Figure 6.</w:t>
      </w:r>
      <w:r w:rsidRPr="00883707">
        <w:rPr>
          <w:rFonts w:ascii="Calibri" w:hAnsi="Calibri"/>
        </w:rPr>
        <w:t xml:space="preserve"> Comparison of lymphocyte subset frequencies before and after measles.</w:t>
      </w:r>
    </w:p>
    <w:p w14:paraId="2DD1C244" w14:textId="77777777" w:rsidR="00F94E88" w:rsidRPr="00883707" w:rsidRDefault="00F94E88" w:rsidP="00883707">
      <w:pPr>
        <w:rPr>
          <w:rFonts w:ascii="Calibri" w:hAnsi="Calibri"/>
        </w:rPr>
      </w:pPr>
    </w:p>
    <w:p w14:paraId="030763F2" w14:textId="77777777" w:rsidR="00883707" w:rsidRDefault="00883707" w:rsidP="00883707">
      <w:pPr>
        <w:rPr>
          <w:rFonts w:ascii="Calibri" w:hAnsi="Calibri"/>
        </w:rPr>
      </w:pPr>
      <w:r w:rsidRPr="00883707">
        <w:rPr>
          <w:rFonts w:ascii="Calibri" w:hAnsi="Calibri"/>
          <w:b/>
        </w:rPr>
        <w:t>Supplementary Figure 7.</w:t>
      </w:r>
      <w:r w:rsidRPr="00883707">
        <w:rPr>
          <w:rFonts w:ascii="Calibri" w:hAnsi="Calibri"/>
        </w:rPr>
        <w:t xml:space="preserve"> Comparison of lymphocyte subset frequencies before and after measles in parent-reported mild measles cases.</w:t>
      </w:r>
    </w:p>
    <w:p w14:paraId="63167D92" w14:textId="77777777" w:rsidR="00F94E88" w:rsidRPr="00883707" w:rsidRDefault="00F94E88" w:rsidP="00883707">
      <w:pPr>
        <w:rPr>
          <w:rFonts w:ascii="Calibri" w:hAnsi="Calibri"/>
        </w:rPr>
      </w:pPr>
    </w:p>
    <w:p w14:paraId="4D91EEEA" w14:textId="77777777" w:rsidR="00883707" w:rsidRDefault="00883707" w:rsidP="00883707">
      <w:pPr>
        <w:rPr>
          <w:rFonts w:ascii="Calibri" w:hAnsi="Calibri"/>
        </w:rPr>
      </w:pPr>
      <w:r w:rsidRPr="00883707">
        <w:rPr>
          <w:rFonts w:ascii="Calibri" w:hAnsi="Calibri"/>
          <w:b/>
        </w:rPr>
        <w:t>Supplementary Figure 8.</w:t>
      </w:r>
      <w:r w:rsidRPr="00883707">
        <w:rPr>
          <w:rFonts w:ascii="Calibri" w:hAnsi="Calibri"/>
        </w:rPr>
        <w:t xml:space="preserve"> Comparison of lymphocyte subset frequencies before and after measles in parent-reported severe measles cases.</w:t>
      </w:r>
    </w:p>
    <w:p w14:paraId="70DC4631" w14:textId="77777777" w:rsidR="00F94E88" w:rsidRPr="00883707" w:rsidRDefault="00F94E88" w:rsidP="00883707">
      <w:pPr>
        <w:rPr>
          <w:rFonts w:ascii="Calibri" w:hAnsi="Calibri"/>
        </w:rPr>
      </w:pPr>
    </w:p>
    <w:p w14:paraId="72876318" w14:textId="77777777" w:rsidR="00883707" w:rsidRDefault="00883707" w:rsidP="00883707">
      <w:pPr>
        <w:rPr>
          <w:rFonts w:ascii="Calibri" w:hAnsi="Calibri"/>
        </w:rPr>
      </w:pPr>
      <w:r w:rsidRPr="00883707">
        <w:rPr>
          <w:rFonts w:ascii="Calibri" w:hAnsi="Calibri"/>
          <w:b/>
        </w:rPr>
        <w:t>Supplementary Figure 9.</w:t>
      </w:r>
      <w:r w:rsidRPr="00883707">
        <w:rPr>
          <w:rFonts w:ascii="Calibri" w:hAnsi="Calibri"/>
        </w:rPr>
        <w:t xml:space="preserve"> Gating strategy to determine naive and memory lymphocyte subsets in Cohort A samples.</w:t>
      </w:r>
    </w:p>
    <w:p w14:paraId="4D7DC52E" w14:textId="77777777" w:rsidR="00F94E88" w:rsidRPr="00883707" w:rsidRDefault="00F94E88" w:rsidP="00883707">
      <w:pPr>
        <w:rPr>
          <w:rFonts w:ascii="Calibri" w:hAnsi="Calibri"/>
        </w:rPr>
      </w:pPr>
    </w:p>
    <w:p w14:paraId="4EF189A0" w14:textId="36DE6F8A" w:rsidR="00883707" w:rsidRDefault="00883707" w:rsidP="00883707">
      <w:pPr>
        <w:rPr>
          <w:rFonts w:ascii="Calibri" w:hAnsi="Calibri"/>
        </w:rPr>
      </w:pPr>
      <w:r w:rsidRPr="00883707">
        <w:rPr>
          <w:rFonts w:ascii="Calibri" w:hAnsi="Calibri"/>
          <w:b/>
        </w:rPr>
        <w:t>Supplementary Figure 10.</w:t>
      </w:r>
      <w:r w:rsidRPr="00883707">
        <w:rPr>
          <w:rFonts w:ascii="Calibri" w:hAnsi="Calibri"/>
        </w:rPr>
        <w:t xml:space="preserve"> Gating strategy to determine B-cell subsets in Co</w:t>
      </w:r>
      <w:r w:rsidR="00F94E88">
        <w:rPr>
          <w:rFonts w:ascii="Calibri" w:hAnsi="Calibri"/>
        </w:rPr>
        <w:t>hort B samples</w:t>
      </w:r>
      <w:r w:rsidRPr="00883707">
        <w:rPr>
          <w:rFonts w:ascii="Calibri" w:hAnsi="Calibri"/>
        </w:rPr>
        <w:t>.</w:t>
      </w:r>
    </w:p>
    <w:p w14:paraId="6D024775" w14:textId="77777777" w:rsidR="00F94E88" w:rsidRPr="00883707" w:rsidRDefault="00F94E88" w:rsidP="00883707">
      <w:pPr>
        <w:rPr>
          <w:rFonts w:ascii="Calibri" w:hAnsi="Calibri"/>
        </w:rPr>
      </w:pPr>
    </w:p>
    <w:p w14:paraId="2339AD59" w14:textId="77777777" w:rsidR="00883707" w:rsidRDefault="00883707" w:rsidP="00883707">
      <w:pPr>
        <w:rPr>
          <w:rFonts w:ascii="Calibri" w:hAnsi="Calibri"/>
        </w:rPr>
      </w:pPr>
      <w:r w:rsidRPr="00883707">
        <w:rPr>
          <w:rFonts w:ascii="Calibri" w:hAnsi="Calibri"/>
          <w:b/>
        </w:rPr>
        <w:t>Supplementary Figure 11.</w:t>
      </w:r>
      <w:r w:rsidRPr="00883707">
        <w:rPr>
          <w:rFonts w:ascii="Calibri" w:hAnsi="Calibri"/>
        </w:rPr>
        <w:t xml:space="preserve"> Gating strategy to determine T-cell subsets in Cohort B samples.</w:t>
      </w:r>
    </w:p>
    <w:p w14:paraId="0E69DB33" w14:textId="77777777" w:rsidR="00F94E88" w:rsidRPr="00883707" w:rsidRDefault="00F94E88" w:rsidP="00883707">
      <w:pPr>
        <w:rPr>
          <w:rFonts w:ascii="Calibri" w:hAnsi="Calibri"/>
        </w:rPr>
      </w:pPr>
    </w:p>
    <w:p w14:paraId="76BBEA39" w14:textId="77777777" w:rsidR="00883707" w:rsidRDefault="00883707" w:rsidP="00883707">
      <w:pPr>
        <w:rPr>
          <w:rFonts w:ascii="Calibri" w:hAnsi="Calibri"/>
        </w:rPr>
      </w:pPr>
      <w:r w:rsidRPr="00883707">
        <w:rPr>
          <w:rFonts w:ascii="Calibri" w:hAnsi="Calibri"/>
          <w:b/>
        </w:rPr>
        <w:t>Supplementary Figure 12.</w:t>
      </w:r>
      <w:r w:rsidRPr="00883707">
        <w:rPr>
          <w:rFonts w:ascii="Calibri" w:hAnsi="Calibri"/>
        </w:rPr>
        <w:t xml:space="preserve"> Gating strategy to determine Th-cell subsets in Cohort B samples. </w:t>
      </w:r>
    </w:p>
    <w:p w14:paraId="0E0AF3BF" w14:textId="77777777" w:rsidR="00F94E88" w:rsidRPr="00883707" w:rsidRDefault="00F94E88" w:rsidP="00883707">
      <w:pPr>
        <w:rPr>
          <w:rFonts w:ascii="Calibri" w:hAnsi="Calibri"/>
        </w:rPr>
      </w:pPr>
    </w:p>
    <w:p w14:paraId="22158412" w14:textId="77777777" w:rsidR="00883707" w:rsidRPr="00883707" w:rsidRDefault="00883707" w:rsidP="00883707">
      <w:pPr>
        <w:rPr>
          <w:rFonts w:ascii="Calibri" w:hAnsi="Calibri"/>
        </w:rPr>
      </w:pPr>
      <w:r w:rsidRPr="00883707">
        <w:rPr>
          <w:rFonts w:ascii="Calibri" w:hAnsi="Calibri"/>
          <w:b/>
        </w:rPr>
        <w:t>Supplementary Table 1.</w:t>
      </w:r>
      <w:r w:rsidRPr="00883707">
        <w:rPr>
          <w:rFonts w:ascii="Calibri" w:hAnsi="Calibri"/>
        </w:rPr>
        <w:t xml:space="preserve"> List of antibodies used in this study.</w:t>
      </w:r>
    </w:p>
    <w:p w14:paraId="57788AA8" w14:textId="3350C5AF" w:rsidR="00883707" w:rsidRDefault="00883707" w:rsidP="00883707">
      <w:pPr>
        <w:rPr>
          <w:rFonts w:ascii="Calibri" w:hAnsi="Calibri"/>
        </w:rPr>
      </w:pPr>
      <w:r>
        <w:rPr>
          <w:rFonts w:ascii="Calibri" w:hAnsi="Calibri"/>
        </w:rPr>
        <w:br w:type="page"/>
      </w:r>
    </w:p>
    <w:p w14:paraId="2FBDE8C7" w14:textId="77777777" w:rsidR="00267E9C" w:rsidRDefault="00267E9C" w:rsidP="00883707">
      <w:pPr>
        <w:jc w:val="both"/>
        <w:rPr>
          <w:rFonts w:ascii="Calibri" w:hAnsi="Calibri"/>
        </w:rPr>
      </w:pPr>
      <w:r>
        <w:rPr>
          <w:rFonts w:ascii="Calibri" w:hAnsi="Calibri"/>
          <w:noProof/>
          <w:lang w:val="en-US"/>
        </w:rPr>
        <w:lastRenderedPageBreak/>
        <w:drawing>
          <wp:inline distT="0" distB="0" distL="0" distR="0" wp14:anchorId="12AF4561" wp14:editId="69054C5D">
            <wp:extent cx="5270500" cy="3751580"/>
            <wp:effectExtent l="0" t="0" r="1270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0920 bible belt serology all cohorts IgM and IgG MelJuso.tif"/>
                    <pic:cNvPicPr/>
                  </pic:nvPicPr>
                  <pic:blipFill>
                    <a:blip r:embed="rId8" cstate="screen">
                      <a:extLst>
                        <a:ext uri="{28A0092B-C50C-407E-A947-70E740481C1C}">
                          <a14:useLocalDpi xmlns:a14="http://schemas.microsoft.com/office/drawing/2010/main"/>
                        </a:ext>
                      </a:extLst>
                    </a:blip>
                    <a:stretch>
                      <a:fillRect/>
                    </a:stretch>
                  </pic:blipFill>
                  <pic:spPr>
                    <a:xfrm>
                      <a:off x="0" y="0"/>
                      <a:ext cx="5270500" cy="3751580"/>
                    </a:xfrm>
                    <a:prstGeom prst="rect">
                      <a:avLst/>
                    </a:prstGeom>
                  </pic:spPr>
                </pic:pic>
              </a:graphicData>
            </a:graphic>
          </wp:inline>
        </w:drawing>
      </w:r>
    </w:p>
    <w:p w14:paraId="66B35C87" w14:textId="77777777" w:rsidR="00883707" w:rsidRDefault="00883707" w:rsidP="00883707">
      <w:pPr>
        <w:jc w:val="both"/>
        <w:rPr>
          <w:rFonts w:ascii="Calibri" w:hAnsi="Calibri"/>
          <w:b/>
        </w:rPr>
      </w:pPr>
    </w:p>
    <w:p w14:paraId="2397D411" w14:textId="07E6BB12" w:rsidR="00267E9C" w:rsidRDefault="00267E9C" w:rsidP="00883707">
      <w:pPr>
        <w:jc w:val="both"/>
        <w:rPr>
          <w:rFonts w:ascii="Calibri" w:hAnsi="Calibri"/>
        </w:rPr>
      </w:pPr>
      <w:r>
        <w:rPr>
          <w:rFonts w:ascii="Calibri" w:hAnsi="Calibri"/>
          <w:b/>
        </w:rPr>
        <w:t xml:space="preserve">Supplementary </w:t>
      </w:r>
      <w:r w:rsidR="008A2512">
        <w:rPr>
          <w:rFonts w:ascii="Calibri" w:hAnsi="Calibri"/>
          <w:b/>
        </w:rPr>
        <w:t xml:space="preserve">Figure </w:t>
      </w:r>
      <w:r w:rsidR="002F40E1">
        <w:rPr>
          <w:rFonts w:ascii="Calibri" w:hAnsi="Calibri"/>
          <w:b/>
        </w:rPr>
        <w:t>1</w:t>
      </w:r>
      <w:r>
        <w:rPr>
          <w:rFonts w:ascii="Calibri" w:hAnsi="Calibri"/>
          <w:b/>
        </w:rPr>
        <w:t xml:space="preserve">: MV fusion (F) protein- and haemagglutinin (H) protein-specific IgM </w:t>
      </w:r>
      <w:r w:rsidR="003C7470">
        <w:rPr>
          <w:rFonts w:ascii="Calibri" w:hAnsi="Calibri"/>
          <w:b/>
        </w:rPr>
        <w:t xml:space="preserve">(A-C) </w:t>
      </w:r>
      <w:r>
        <w:rPr>
          <w:rFonts w:ascii="Calibri" w:hAnsi="Calibri"/>
          <w:b/>
        </w:rPr>
        <w:t>and IgG</w:t>
      </w:r>
      <w:r w:rsidR="003C7470">
        <w:rPr>
          <w:rFonts w:ascii="Calibri" w:hAnsi="Calibri"/>
          <w:b/>
        </w:rPr>
        <w:t xml:space="preserve"> (D-E)</w:t>
      </w:r>
      <w:r>
        <w:rPr>
          <w:rFonts w:ascii="Calibri" w:hAnsi="Calibri"/>
          <w:b/>
        </w:rPr>
        <w:t xml:space="preserve">. </w:t>
      </w:r>
      <w:r>
        <w:rPr>
          <w:rFonts w:ascii="Calibri" w:hAnsi="Calibri"/>
        </w:rPr>
        <w:t xml:space="preserve">Relationship between MV F protein- and H protein-specific IgM and IgG of </w:t>
      </w:r>
      <w:r w:rsidRPr="007A0FA2">
        <w:rPr>
          <w:rFonts w:ascii="Calibri" w:hAnsi="Calibri"/>
        </w:rPr>
        <w:t>(A</w:t>
      </w:r>
      <w:r>
        <w:rPr>
          <w:rFonts w:ascii="Calibri" w:hAnsi="Calibri"/>
        </w:rPr>
        <w:t xml:space="preserve"> and D</w:t>
      </w:r>
      <w:r w:rsidRPr="007A0FA2">
        <w:rPr>
          <w:rFonts w:ascii="Calibri" w:hAnsi="Calibri"/>
        </w:rPr>
        <w:t>)</w:t>
      </w:r>
      <w:r>
        <w:rPr>
          <w:rFonts w:ascii="Calibri" w:hAnsi="Calibri"/>
        </w:rPr>
        <w:t xml:space="preserve"> acute measles cases (n = 41 donors), (B and E) Cohort B pre- and (C and F) post-measles samples (n = 77 paired samples). Code represents </w:t>
      </w:r>
      <w:r w:rsidR="00D35A93">
        <w:rPr>
          <w:rFonts w:ascii="Calibri" w:hAnsi="Calibri"/>
        </w:rPr>
        <w:t>patient ID (see Supplementary C and G)</w:t>
      </w:r>
      <w:r>
        <w:rPr>
          <w:rFonts w:ascii="Calibri" w:hAnsi="Calibri"/>
        </w:rPr>
        <w:t xml:space="preserve">. </w:t>
      </w:r>
      <w:r w:rsidR="003C7470">
        <w:rPr>
          <w:rFonts w:ascii="Calibri" w:hAnsi="Calibri"/>
        </w:rPr>
        <w:t>Each symbol</w:t>
      </w:r>
      <w:r>
        <w:rPr>
          <w:rFonts w:ascii="Calibri" w:hAnsi="Calibri"/>
        </w:rPr>
        <w:t xml:space="preserve"> represents one donor. Red circles represent the 18 donors from Cohort B whose pre-measles samples were </w:t>
      </w:r>
      <w:r w:rsidR="003C7470">
        <w:rPr>
          <w:rFonts w:ascii="Calibri" w:hAnsi="Calibri"/>
        </w:rPr>
        <w:t xml:space="preserve">found to be </w:t>
      </w:r>
      <w:r>
        <w:rPr>
          <w:rFonts w:ascii="Calibri" w:hAnsi="Calibri"/>
        </w:rPr>
        <w:t xml:space="preserve">in </w:t>
      </w:r>
      <w:r w:rsidR="003C7470">
        <w:rPr>
          <w:rFonts w:ascii="Calibri" w:hAnsi="Calibri"/>
        </w:rPr>
        <w:t xml:space="preserve">the </w:t>
      </w:r>
      <w:r>
        <w:rPr>
          <w:rFonts w:ascii="Calibri" w:hAnsi="Calibri"/>
        </w:rPr>
        <w:t>incubation phase</w:t>
      </w:r>
      <w:r w:rsidR="003C7470">
        <w:rPr>
          <w:rFonts w:ascii="Calibri" w:hAnsi="Calibri"/>
        </w:rPr>
        <w:t xml:space="preserve"> of MV infection and were used in the panel of early acute measles patients</w:t>
      </w:r>
      <w:r>
        <w:rPr>
          <w:rFonts w:ascii="Calibri" w:hAnsi="Calibri"/>
        </w:rPr>
        <w:t xml:space="preserve">. </w:t>
      </w:r>
      <w:r w:rsidR="003C7470">
        <w:rPr>
          <w:rFonts w:ascii="Calibri" w:hAnsi="Calibri"/>
        </w:rPr>
        <w:t>Results were obtained by flow cytometry using transfected Mel-JuSo cells</w:t>
      </w:r>
      <w:r w:rsidR="00023A7D">
        <w:rPr>
          <w:rFonts w:ascii="Calibri" w:hAnsi="Calibri"/>
        </w:rPr>
        <w:t xml:space="preserve"> (see reference 39)</w:t>
      </w:r>
      <w:r w:rsidR="003C7470">
        <w:rPr>
          <w:rFonts w:ascii="Calibri" w:hAnsi="Calibri"/>
        </w:rPr>
        <w:t>, and are expressed in AFU</w:t>
      </w:r>
      <w:r>
        <w:rPr>
          <w:rFonts w:ascii="Calibri" w:hAnsi="Calibri"/>
        </w:rPr>
        <w:t xml:space="preserve"> </w:t>
      </w:r>
      <w:r w:rsidR="003C7470">
        <w:rPr>
          <w:rFonts w:ascii="Calibri" w:hAnsi="Calibri"/>
        </w:rPr>
        <w:t>(</w:t>
      </w:r>
      <w:r>
        <w:rPr>
          <w:rFonts w:ascii="Calibri" w:hAnsi="Calibri"/>
        </w:rPr>
        <w:t>Arbitrary Fluorescence Units</w:t>
      </w:r>
      <w:r w:rsidR="003C7470">
        <w:rPr>
          <w:rFonts w:ascii="Calibri" w:hAnsi="Calibri"/>
        </w:rPr>
        <w:t>)</w:t>
      </w:r>
      <w:r>
        <w:rPr>
          <w:rFonts w:ascii="Calibri" w:hAnsi="Calibri"/>
        </w:rPr>
        <w:t>.</w:t>
      </w:r>
    </w:p>
    <w:p w14:paraId="7C8A6026" w14:textId="2353E7ED" w:rsidR="007F46AA" w:rsidRPr="005B1F24" w:rsidRDefault="007F46AA" w:rsidP="00883707">
      <w:pPr>
        <w:rPr>
          <w:rFonts w:asciiTheme="majorHAnsi" w:hAnsiTheme="majorHAnsi"/>
          <w:b/>
        </w:rPr>
      </w:pPr>
      <w:r>
        <w:br w:type="page"/>
      </w:r>
    </w:p>
    <w:p w14:paraId="7EBA4250" w14:textId="0663E199" w:rsidR="006D4494" w:rsidRDefault="00F94E88" w:rsidP="00883707">
      <w:r>
        <w:rPr>
          <w:noProof/>
          <w:lang w:val="en-US"/>
        </w:rPr>
        <w:lastRenderedPageBreak/>
        <w:drawing>
          <wp:inline distT="0" distB="0" distL="0" distR="0" wp14:anchorId="40D2525F" wp14:editId="2BA0EA43">
            <wp:extent cx="5270500" cy="4731385"/>
            <wp:effectExtent l="0" t="0" r="1270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 fig 2.tif"/>
                    <pic:cNvPicPr/>
                  </pic:nvPicPr>
                  <pic:blipFill>
                    <a:blip r:embed="rId9">
                      <a:extLst>
                        <a:ext uri="{28A0092B-C50C-407E-A947-70E740481C1C}">
                          <a14:useLocalDpi xmlns:a14="http://schemas.microsoft.com/office/drawing/2010/main" val="0"/>
                        </a:ext>
                      </a:extLst>
                    </a:blip>
                    <a:stretch>
                      <a:fillRect/>
                    </a:stretch>
                  </pic:blipFill>
                  <pic:spPr>
                    <a:xfrm>
                      <a:off x="0" y="0"/>
                      <a:ext cx="5270500" cy="4731385"/>
                    </a:xfrm>
                    <a:prstGeom prst="rect">
                      <a:avLst/>
                    </a:prstGeom>
                  </pic:spPr>
                </pic:pic>
              </a:graphicData>
            </a:graphic>
          </wp:inline>
        </w:drawing>
      </w:r>
    </w:p>
    <w:p w14:paraId="733374EF" w14:textId="77777777" w:rsidR="00023A7D" w:rsidRDefault="00023A7D" w:rsidP="00883707">
      <w:pPr>
        <w:jc w:val="both"/>
        <w:rPr>
          <w:rFonts w:asciiTheme="majorHAnsi" w:hAnsiTheme="majorHAnsi"/>
          <w:b/>
        </w:rPr>
      </w:pPr>
    </w:p>
    <w:p w14:paraId="4A8EFC0F" w14:textId="22315292" w:rsidR="007F46AA" w:rsidRDefault="00023A7D" w:rsidP="00883707">
      <w:pPr>
        <w:jc w:val="both"/>
        <w:rPr>
          <w:rFonts w:asciiTheme="majorHAnsi" w:hAnsiTheme="majorHAnsi"/>
        </w:rPr>
      </w:pPr>
      <w:r>
        <w:rPr>
          <w:rFonts w:asciiTheme="majorHAnsi" w:hAnsiTheme="majorHAnsi"/>
          <w:b/>
        </w:rPr>
        <w:t xml:space="preserve">Supplementary </w:t>
      </w:r>
      <w:r w:rsidR="008A2512">
        <w:rPr>
          <w:rFonts w:asciiTheme="majorHAnsi" w:hAnsiTheme="majorHAnsi"/>
          <w:b/>
        </w:rPr>
        <w:t xml:space="preserve">Figure </w:t>
      </w:r>
      <w:r w:rsidR="002F40E1">
        <w:rPr>
          <w:rFonts w:asciiTheme="majorHAnsi" w:hAnsiTheme="majorHAnsi"/>
          <w:b/>
        </w:rPr>
        <w:t>2</w:t>
      </w:r>
      <w:r w:rsidR="007F46AA">
        <w:rPr>
          <w:rFonts w:asciiTheme="majorHAnsi" w:hAnsiTheme="majorHAnsi"/>
          <w:b/>
        </w:rPr>
        <w:t xml:space="preserve">: </w:t>
      </w:r>
      <w:r w:rsidR="007F46AA" w:rsidRPr="007F46AA">
        <w:rPr>
          <w:rFonts w:asciiTheme="majorHAnsi" w:hAnsiTheme="majorHAnsi"/>
          <w:b/>
        </w:rPr>
        <w:t>Gating strategy to determine MV-infected cells, defined as MV-N</w:t>
      </w:r>
      <w:r w:rsidR="007F46AA" w:rsidRPr="007F46AA">
        <w:rPr>
          <w:rFonts w:asciiTheme="majorHAnsi" w:hAnsiTheme="majorHAnsi"/>
          <w:b/>
          <w:vertAlign w:val="superscript"/>
        </w:rPr>
        <w:t>+</w:t>
      </w:r>
      <w:r w:rsidR="007F46AA" w:rsidRPr="007F46AA">
        <w:rPr>
          <w:rFonts w:asciiTheme="majorHAnsi" w:hAnsiTheme="majorHAnsi"/>
          <w:b/>
        </w:rPr>
        <w:t xml:space="preserve"> cells and assessed by flow cytometry.</w:t>
      </w:r>
      <w:r w:rsidR="007F46AA">
        <w:rPr>
          <w:rFonts w:asciiTheme="majorHAnsi" w:hAnsiTheme="majorHAnsi"/>
          <w:b/>
        </w:rPr>
        <w:t xml:space="preserve"> </w:t>
      </w:r>
      <w:r w:rsidR="002A4E25" w:rsidRPr="002A4E25">
        <w:rPr>
          <w:rFonts w:asciiTheme="majorHAnsi" w:hAnsiTheme="majorHAnsi"/>
        </w:rPr>
        <w:t>(A)</w:t>
      </w:r>
      <w:r w:rsidR="002A4E25">
        <w:rPr>
          <w:rFonts w:asciiTheme="majorHAnsi" w:hAnsiTheme="majorHAnsi"/>
          <w:b/>
        </w:rPr>
        <w:t xml:space="preserve"> </w:t>
      </w:r>
      <w:r w:rsidR="002A4E25" w:rsidRPr="002A4E25">
        <w:rPr>
          <w:rFonts w:asciiTheme="majorHAnsi" w:hAnsiTheme="majorHAnsi"/>
        </w:rPr>
        <w:t>Percentages of</w:t>
      </w:r>
      <w:r w:rsidR="002A4E25">
        <w:rPr>
          <w:rFonts w:asciiTheme="majorHAnsi" w:hAnsiTheme="majorHAnsi"/>
          <w:b/>
        </w:rPr>
        <w:t xml:space="preserve"> </w:t>
      </w:r>
      <w:r w:rsidR="002A4E25">
        <w:rPr>
          <w:rFonts w:asciiTheme="majorHAnsi" w:hAnsiTheme="majorHAnsi"/>
        </w:rPr>
        <w:t>N</w:t>
      </w:r>
      <w:r w:rsidR="002A4E25">
        <w:rPr>
          <w:rFonts w:asciiTheme="majorHAnsi" w:hAnsiTheme="majorHAnsi"/>
          <w:vertAlign w:val="superscript"/>
        </w:rPr>
        <w:t xml:space="preserve">- </w:t>
      </w:r>
      <w:r w:rsidR="002A4E25">
        <w:rPr>
          <w:rFonts w:asciiTheme="majorHAnsi" w:hAnsiTheme="majorHAnsi"/>
        </w:rPr>
        <w:t>and (B) N</w:t>
      </w:r>
      <w:r w:rsidR="002A4E25" w:rsidRPr="002A4E25">
        <w:rPr>
          <w:rFonts w:asciiTheme="majorHAnsi" w:hAnsiTheme="majorHAnsi"/>
          <w:vertAlign w:val="superscript"/>
        </w:rPr>
        <w:t>+</w:t>
      </w:r>
      <w:r w:rsidR="002A4E25">
        <w:rPr>
          <w:rFonts w:asciiTheme="majorHAnsi" w:hAnsiTheme="majorHAnsi"/>
        </w:rPr>
        <w:t xml:space="preserve"> CD4</w:t>
      </w:r>
      <w:r w:rsidR="002A4E25" w:rsidRPr="002A4E25">
        <w:rPr>
          <w:rFonts w:asciiTheme="majorHAnsi" w:hAnsiTheme="majorHAnsi"/>
          <w:vertAlign w:val="superscript"/>
        </w:rPr>
        <w:t>+</w:t>
      </w:r>
      <w:r w:rsidR="002A4E25">
        <w:rPr>
          <w:rFonts w:asciiTheme="majorHAnsi" w:hAnsiTheme="majorHAnsi"/>
        </w:rPr>
        <w:t xml:space="preserve"> T-and (C-D) B-cells from one representative measurement, as shown in flow cytometry dot plots. </w:t>
      </w:r>
      <w:r w:rsidR="002A4E25" w:rsidRPr="002A4E25">
        <w:rPr>
          <w:rFonts w:asciiTheme="majorHAnsi" w:hAnsiTheme="majorHAnsi"/>
        </w:rPr>
        <w:t>Isotype control was included in the measurement to assess the level of background staining.</w:t>
      </w:r>
      <w:r w:rsidR="002A4E25" w:rsidRPr="002A4E25">
        <w:rPr>
          <w:rFonts w:ascii="Lucida Grande" w:hAnsi="Lucida Grande" w:cs="Lucida Grande"/>
          <w:color w:val="000000"/>
        </w:rPr>
        <w:t xml:space="preserve"> </w:t>
      </w:r>
      <w:r w:rsidR="002A4E25" w:rsidRPr="002A4E25">
        <w:rPr>
          <w:rFonts w:asciiTheme="majorHAnsi" w:hAnsiTheme="majorHAnsi"/>
        </w:rPr>
        <w:t>Figures were chosen from one representative measurement.</w:t>
      </w:r>
    </w:p>
    <w:p w14:paraId="26739F59" w14:textId="77777777" w:rsidR="0073435E" w:rsidRDefault="0073435E" w:rsidP="00883707">
      <w:pPr>
        <w:jc w:val="both"/>
        <w:rPr>
          <w:rFonts w:asciiTheme="majorHAnsi" w:hAnsiTheme="majorHAnsi"/>
        </w:rPr>
      </w:pPr>
    </w:p>
    <w:p w14:paraId="049B2BC9" w14:textId="072C1B90" w:rsidR="00833BCA" w:rsidRDefault="0073435E" w:rsidP="00883707">
      <w:pPr>
        <w:jc w:val="both"/>
        <w:rPr>
          <w:rFonts w:ascii="Calibri" w:hAnsi="Calibri"/>
          <w:b/>
        </w:rPr>
      </w:pPr>
      <w:r>
        <w:rPr>
          <w:rFonts w:asciiTheme="majorHAnsi" w:hAnsiTheme="majorHAnsi"/>
        </w:rPr>
        <w:br w:type="page"/>
      </w:r>
    </w:p>
    <w:p w14:paraId="422A0AA6" w14:textId="2AFEDFF1" w:rsidR="00245892" w:rsidRDefault="00245892" w:rsidP="00883707">
      <w:pPr>
        <w:jc w:val="center"/>
        <w:rPr>
          <w:rFonts w:ascii="Calibri" w:hAnsi="Calibri"/>
          <w:b/>
        </w:rPr>
      </w:pPr>
      <w:r>
        <w:rPr>
          <w:rFonts w:ascii="Calibri" w:hAnsi="Calibri"/>
          <w:b/>
          <w:noProof/>
          <w:lang w:val="en-US"/>
        </w:rPr>
        <w:lastRenderedPageBreak/>
        <w:drawing>
          <wp:inline distT="0" distB="0" distL="0" distR="0" wp14:anchorId="0EE1E6E9" wp14:editId="631FCAD5">
            <wp:extent cx="5270500" cy="6691630"/>
            <wp:effectExtent l="0" t="0" r="1270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 E.tif"/>
                    <pic:cNvPicPr/>
                  </pic:nvPicPr>
                  <pic:blipFill>
                    <a:blip r:embed="rId10" cstate="screen">
                      <a:extLst>
                        <a:ext uri="{28A0092B-C50C-407E-A947-70E740481C1C}">
                          <a14:useLocalDpi xmlns:a14="http://schemas.microsoft.com/office/drawing/2010/main"/>
                        </a:ext>
                      </a:extLst>
                    </a:blip>
                    <a:stretch>
                      <a:fillRect/>
                    </a:stretch>
                  </pic:blipFill>
                  <pic:spPr>
                    <a:xfrm>
                      <a:off x="0" y="0"/>
                      <a:ext cx="5270500" cy="6691630"/>
                    </a:xfrm>
                    <a:prstGeom prst="rect">
                      <a:avLst/>
                    </a:prstGeom>
                  </pic:spPr>
                </pic:pic>
              </a:graphicData>
            </a:graphic>
          </wp:inline>
        </w:drawing>
      </w:r>
    </w:p>
    <w:p w14:paraId="09F193C4" w14:textId="77777777" w:rsidR="00883707" w:rsidRDefault="00883707" w:rsidP="00883707">
      <w:pPr>
        <w:jc w:val="both"/>
        <w:rPr>
          <w:rFonts w:ascii="Calibri" w:hAnsi="Calibri"/>
          <w:b/>
        </w:rPr>
      </w:pPr>
    </w:p>
    <w:p w14:paraId="4FEB6522" w14:textId="2E2D5A8B" w:rsidR="00833BCA" w:rsidRDefault="00023A7D" w:rsidP="00883707">
      <w:pPr>
        <w:jc w:val="both"/>
        <w:rPr>
          <w:rFonts w:ascii="Calibri" w:hAnsi="Calibri"/>
        </w:rPr>
      </w:pPr>
      <w:r>
        <w:rPr>
          <w:rFonts w:ascii="Calibri" w:hAnsi="Calibri"/>
          <w:b/>
        </w:rPr>
        <w:t xml:space="preserve">Supplementary </w:t>
      </w:r>
      <w:r w:rsidR="008A2512">
        <w:rPr>
          <w:rFonts w:ascii="Calibri" w:hAnsi="Calibri"/>
          <w:b/>
        </w:rPr>
        <w:t xml:space="preserve">Figure </w:t>
      </w:r>
      <w:r w:rsidR="002F40E1">
        <w:rPr>
          <w:rFonts w:ascii="Calibri" w:hAnsi="Calibri"/>
          <w:b/>
        </w:rPr>
        <w:t>3</w:t>
      </w:r>
      <w:r w:rsidR="00833BCA">
        <w:rPr>
          <w:rFonts w:ascii="Calibri" w:hAnsi="Calibri"/>
          <w:b/>
        </w:rPr>
        <w:t xml:space="preserve">: Overview of sampling time points of Cohort B. </w:t>
      </w:r>
      <w:r w:rsidR="00833BCA">
        <w:rPr>
          <w:rFonts w:ascii="Calibri" w:hAnsi="Calibri"/>
        </w:rPr>
        <w:t>The date of first sample collection (triangle), the date of the onset of rash (red circle) and the date of the second sample collection (inverted triangle) of all children included in Cohort B (n = 90).</w:t>
      </w:r>
    </w:p>
    <w:p w14:paraId="5BFC281D" w14:textId="3616C418" w:rsidR="00FA2ECF" w:rsidRPr="005B1F24" w:rsidRDefault="00FA2ECF" w:rsidP="00883707">
      <w:pPr>
        <w:rPr>
          <w:rFonts w:ascii="Calibri" w:hAnsi="Calibri"/>
        </w:rPr>
      </w:pPr>
      <w:r>
        <w:rPr>
          <w:rFonts w:ascii="Calibri" w:hAnsi="Calibri"/>
        </w:rPr>
        <w:br w:type="page"/>
      </w:r>
    </w:p>
    <w:p w14:paraId="132B7578" w14:textId="77777777" w:rsidR="00FA2ECF" w:rsidRPr="004A6F7D" w:rsidRDefault="00FA2ECF" w:rsidP="00883707">
      <w:pPr>
        <w:jc w:val="both"/>
        <w:rPr>
          <w:rFonts w:ascii="Calibri" w:hAnsi="Calibri"/>
          <w:b/>
        </w:rPr>
      </w:pPr>
      <w:r>
        <w:rPr>
          <w:rFonts w:ascii="Calibri" w:hAnsi="Calibri"/>
          <w:b/>
          <w:noProof/>
          <w:lang w:val="en-US"/>
        </w:rPr>
        <w:lastRenderedPageBreak/>
        <w:drawing>
          <wp:inline distT="0" distB="0" distL="0" distR="0" wp14:anchorId="70FC90B7" wp14:editId="2448C00E">
            <wp:extent cx="5270500" cy="1700530"/>
            <wp:effectExtent l="0" t="0" r="1270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tal IgM IgA IgG.tif"/>
                    <pic:cNvPicPr/>
                  </pic:nvPicPr>
                  <pic:blipFill>
                    <a:blip r:embed="rId11" cstate="screen">
                      <a:extLst>
                        <a:ext uri="{28A0092B-C50C-407E-A947-70E740481C1C}">
                          <a14:useLocalDpi xmlns:a14="http://schemas.microsoft.com/office/drawing/2010/main"/>
                        </a:ext>
                      </a:extLst>
                    </a:blip>
                    <a:stretch>
                      <a:fillRect/>
                    </a:stretch>
                  </pic:blipFill>
                  <pic:spPr>
                    <a:xfrm>
                      <a:off x="0" y="0"/>
                      <a:ext cx="5270500" cy="1700530"/>
                    </a:xfrm>
                    <a:prstGeom prst="rect">
                      <a:avLst/>
                    </a:prstGeom>
                  </pic:spPr>
                </pic:pic>
              </a:graphicData>
            </a:graphic>
          </wp:inline>
        </w:drawing>
      </w:r>
    </w:p>
    <w:p w14:paraId="13BE8F30" w14:textId="77777777" w:rsidR="00883707" w:rsidRDefault="00883707" w:rsidP="00883707">
      <w:pPr>
        <w:jc w:val="both"/>
        <w:rPr>
          <w:rFonts w:ascii="Calibri" w:hAnsi="Calibri"/>
          <w:b/>
        </w:rPr>
      </w:pPr>
    </w:p>
    <w:p w14:paraId="05463219" w14:textId="54BF8863" w:rsidR="00FA2ECF" w:rsidRPr="0043665C" w:rsidRDefault="00FA2ECF" w:rsidP="00883707">
      <w:pPr>
        <w:jc w:val="both"/>
        <w:rPr>
          <w:rFonts w:ascii="Calibri" w:hAnsi="Calibri"/>
        </w:rPr>
      </w:pPr>
      <w:r>
        <w:rPr>
          <w:rFonts w:ascii="Calibri" w:hAnsi="Calibri"/>
          <w:b/>
        </w:rPr>
        <w:t xml:space="preserve">Supplementary </w:t>
      </w:r>
      <w:r w:rsidR="008A2512">
        <w:rPr>
          <w:rFonts w:ascii="Calibri" w:hAnsi="Calibri"/>
          <w:b/>
        </w:rPr>
        <w:t xml:space="preserve">Figure </w:t>
      </w:r>
      <w:r w:rsidR="002F40E1">
        <w:rPr>
          <w:rFonts w:ascii="Calibri" w:hAnsi="Calibri"/>
          <w:b/>
        </w:rPr>
        <w:t>4</w:t>
      </w:r>
      <w:r>
        <w:rPr>
          <w:rFonts w:ascii="Calibri" w:hAnsi="Calibri"/>
          <w:b/>
        </w:rPr>
        <w:t xml:space="preserve">: Concentration of total immunoglobulins before and after measles (n = 42 donors). </w:t>
      </w:r>
      <w:r>
        <w:rPr>
          <w:rFonts w:ascii="Calibri" w:hAnsi="Calibri"/>
        </w:rPr>
        <w:t>Relationships between (A) total IgM, (B) IgA and (C) IgG before and after measles. Each symbol represents one donor.</w:t>
      </w:r>
    </w:p>
    <w:p w14:paraId="378C0F15" w14:textId="77777777" w:rsidR="00FA2ECF" w:rsidRPr="00FA2ECF" w:rsidRDefault="00FA2ECF" w:rsidP="00883707">
      <w:pPr>
        <w:jc w:val="both"/>
        <w:rPr>
          <w:rFonts w:ascii="Calibri" w:hAnsi="Calibri"/>
          <w:b/>
        </w:rPr>
      </w:pPr>
    </w:p>
    <w:p w14:paraId="3CB4CE4F" w14:textId="3E0B750A" w:rsidR="00833BCA" w:rsidRDefault="00833BCA" w:rsidP="00883707">
      <w:pPr>
        <w:rPr>
          <w:rFonts w:asciiTheme="majorHAnsi" w:hAnsiTheme="majorHAnsi"/>
        </w:rPr>
      </w:pPr>
      <w:r>
        <w:rPr>
          <w:rFonts w:asciiTheme="majorHAnsi" w:hAnsiTheme="majorHAnsi"/>
        </w:rPr>
        <w:br w:type="page"/>
      </w:r>
    </w:p>
    <w:p w14:paraId="66C1D784" w14:textId="3C12DF03" w:rsidR="00716425" w:rsidRDefault="00716425" w:rsidP="00883707">
      <w:pPr>
        <w:jc w:val="center"/>
      </w:pPr>
      <w:r>
        <w:rPr>
          <w:noProof/>
          <w:lang w:val="en-US"/>
        </w:rPr>
        <w:lastRenderedPageBreak/>
        <w:drawing>
          <wp:inline distT="0" distB="0" distL="0" distR="0" wp14:anchorId="3B023C60" wp14:editId="3E24BEB2">
            <wp:extent cx="5270500" cy="284226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 G.tif"/>
                    <pic:cNvPicPr/>
                  </pic:nvPicPr>
                  <pic:blipFill>
                    <a:blip r:embed="rId12" cstate="screen">
                      <a:extLst>
                        <a:ext uri="{28A0092B-C50C-407E-A947-70E740481C1C}">
                          <a14:useLocalDpi xmlns:a14="http://schemas.microsoft.com/office/drawing/2010/main"/>
                        </a:ext>
                      </a:extLst>
                    </a:blip>
                    <a:stretch>
                      <a:fillRect/>
                    </a:stretch>
                  </pic:blipFill>
                  <pic:spPr>
                    <a:xfrm>
                      <a:off x="0" y="0"/>
                      <a:ext cx="5270500" cy="2842260"/>
                    </a:xfrm>
                    <a:prstGeom prst="rect">
                      <a:avLst/>
                    </a:prstGeom>
                  </pic:spPr>
                </pic:pic>
              </a:graphicData>
            </a:graphic>
          </wp:inline>
        </w:drawing>
      </w:r>
    </w:p>
    <w:p w14:paraId="3575D8D1" w14:textId="77777777" w:rsidR="00716425" w:rsidRDefault="00716425" w:rsidP="00883707">
      <w:pPr>
        <w:jc w:val="center"/>
      </w:pPr>
    </w:p>
    <w:p w14:paraId="596A0F38" w14:textId="78829C93" w:rsidR="0073435E" w:rsidRPr="0073435E" w:rsidRDefault="0073435E" w:rsidP="00883707">
      <w:pPr>
        <w:jc w:val="both"/>
        <w:rPr>
          <w:rFonts w:ascii="Calibri" w:hAnsi="Calibri"/>
          <w:b/>
          <w:bCs/>
        </w:rPr>
      </w:pPr>
      <w:r w:rsidRPr="0073435E">
        <w:rPr>
          <w:rFonts w:ascii="Calibri" w:hAnsi="Calibri"/>
          <w:b/>
        </w:rPr>
        <w:t>Supplementary</w:t>
      </w:r>
      <w:r w:rsidR="00FA2ECF">
        <w:rPr>
          <w:rFonts w:ascii="Calibri" w:hAnsi="Calibri"/>
          <w:b/>
        </w:rPr>
        <w:t xml:space="preserve"> </w:t>
      </w:r>
      <w:r w:rsidR="008A2512">
        <w:rPr>
          <w:rFonts w:ascii="Calibri" w:hAnsi="Calibri"/>
          <w:b/>
        </w:rPr>
        <w:t xml:space="preserve">Figure </w:t>
      </w:r>
      <w:r w:rsidR="002F40E1">
        <w:rPr>
          <w:rFonts w:ascii="Calibri" w:hAnsi="Calibri"/>
          <w:b/>
        </w:rPr>
        <w:t>5</w:t>
      </w:r>
      <w:r>
        <w:rPr>
          <w:rFonts w:ascii="Calibri" w:hAnsi="Calibri"/>
          <w:b/>
        </w:rPr>
        <w:t xml:space="preserve">: </w:t>
      </w:r>
      <w:r w:rsidRPr="0073435E">
        <w:rPr>
          <w:rFonts w:ascii="Calibri" w:hAnsi="Calibri"/>
          <w:b/>
        </w:rPr>
        <w:t>Comparison of lymphocyte subset frequencies found before and after measles based on unsupervised analyses.</w:t>
      </w:r>
      <w:r w:rsidRPr="0073435E">
        <w:rPr>
          <w:rFonts w:ascii="Lucida Grande" w:hAnsi="Lucida Grande" w:cs="Lucida Grande"/>
          <w:color w:val="000000"/>
        </w:rPr>
        <w:t xml:space="preserve"> </w:t>
      </w:r>
      <w:r w:rsidRPr="0073435E">
        <w:rPr>
          <w:rFonts w:ascii="Calibri" w:hAnsi="Calibri"/>
        </w:rPr>
        <w:t>Flow cytometry results of Cohort B samples were analysed using the unsupervised clustering method Phenograph to provide objective and unbiased separation of phenotypically distinct cell events.</w:t>
      </w:r>
      <w:r>
        <w:rPr>
          <w:rFonts w:ascii="Calibri" w:hAnsi="Calibri"/>
        </w:rPr>
        <w:t xml:space="preserve"> </w:t>
      </w:r>
      <w:r w:rsidRPr="0073435E">
        <w:rPr>
          <w:rFonts w:ascii="Calibri" w:hAnsi="Calibri"/>
        </w:rPr>
        <w:t xml:space="preserve">This analysis was performed in </w:t>
      </w:r>
      <w:r>
        <w:rPr>
          <w:rFonts w:ascii="Calibri" w:hAnsi="Calibri"/>
        </w:rPr>
        <w:t>R using the Rphenograph package</w:t>
      </w:r>
      <w:r w:rsidRPr="0073435E">
        <w:rPr>
          <w:rFonts w:ascii="Calibri" w:hAnsi="Calibri"/>
        </w:rPr>
        <w:t xml:space="preserve"> (Levine JH, </w:t>
      </w:r>
      <w:r w:rsidRPr="0073435E">
        <w:rPr>
          <w:rFonts w:ascii="Calibri" w:hAnsi="Calibri"/>
          <w:i/>
        </w:rPr>
        <w:t>et al</w:t>
      </w:r>
      <w:r w:rsidRPr="0073435E">
        <w:rPr>
          <w:rFonts w:ascii="Calibri" w:hAnsi="Calibri"/>
        </w:rPr>
        <w:t>. Data-Driven Phenotypic Dissection of AML Reveals Progenitor-like Cells that Correlate with Prognosis. Cell 162, 184-197 (2015)).</w:t>
      </w:r>
      <w:r>
        <w:rPr>
          <w:rFonts w:ascii="Calibri" w:hAnsi="Calibri"/>
        </w:rPr>
        <w:t xml:space="preserve"> </w:t>
      </w:r>
      <w:r w:rsidRPr="0073435E">
        <w:rPr>
          <w:rFonts w:ascii="Calibri" w:hAnsi="Calibri"/>
        </w:rPr>
        <w:t>For each sample separately, 25,000 viable single-cell events were selected to be able to compare cluster sizes between samples.</w:t>
      </w:r>
      <w:r>
        <w:rPr>
          <w:rFonts w:ascii="Calibri" w:hAnsi="Calibri"/>
        </w:rPr>
        <w:t xml:space="preserve"> </w:t>
      </w:r>
      <w:r w:rsidRPr="0073435E">
        <w:rPr>
          <w:rFonts w:ascii="Calibri" w:hAnsi="Calibri"/>
        </w:rPr>
        <w:t>These single cell events clustered using Phenograph, and the results were visualised on in two-dimensional t-SNE maps.</w:t>
      </w:r>
      <w:r>
        <w:rPr>
          <w:rFonts w:ascii="Calibri" w:hAnsi="Calibri"/>
        </w:rPr>
        <w:t xml:space="preserve"> </w:t>
      </w:r>
      <w:r w:rsidRPr="0073435E">
        <w:rPr>
          <w:rFonts w:ascii="Calibri" w:hAnsi="Calibri"/>
        </w:rPr>
        <w:t>Representative cells located in the centre of the detected clusters (the cluster centroids, further termed as “centromeres”) were selected from each sample and clustered using Phenograph</w:t>
      </w:r>
      <w:r>
        <w:rPr>
          <w:rFonts w:ascii="Calibri" w:hAnsi="Calibri"/>
        </w:rPr>
        <w:t xml:space="preserve"> </w:t>
      </w:r>
      <w:r w:rsidRPr="0073435E">
        <w:rPr>
          <w:rFonts w:ascii="Calibri" w:hAnsi="Calibri"/>
        </w:rPr>
        <w:t>to generate “metaclusters” that represent cell populations that were present in multiple samples.</w:t>
      </w:r>
      <w:r>
        <w:rPr>
          <w:rFonts w:ascii="Calibri" w:hAnsi="Calibri"/>
        </w:rPr>
        <w:t xml:space="preserve"> </w:t>
      </w:r>
      <w:r w:rsidRPr="0073435E">
        <w:rPr>
          <w:rFonts w:ascii="Calibri" w:hAnsi="Calibri"/>
        </w:rPr>
        <w:t>The primary clustering was performed with k = 12, 15, and 20 in set 1, 2, and 3, respectively, and the metaclustering was performed using k = 30 in all cases.</w:t>
      </w:r>
      <w:r>
        <w:rPr>
          <w:rFonts w:ascii="Calibri" w:hAnsi="Calibri"/>
        </w:rPr>
        <w:t xml:space="preserve"> </w:t>
      </w:r>
      <w:r w:rsidRPr="0073435E">
        <w:rPr>
          <w:rFonts w:ascii="Calibri" w:hAnsi="Calibri"/>
        </w:rPr>
        <w:t>To analyse the output of the Phenograph method, we used the R linear modelling (lm) functionality.</w:t>
      </w:r>
      <w:r w:rsidRPr="0073435E">
        <w:rPr>
          <w:rFonts w:ascii="Lucida Grande" w:hAnsi="Lucida Grande" w:cs="Lucida Grande"/>
          <w:color w:val="000000"/>
        </w:rPr>
        <w:t xml:space="preserve"> </w:t>
      </w:r>
      <w:r w:rsidRPr="0073435E">
        <w:rPr>
          <w:rFonts w:ascii="Calibri" w:hAnsi="Calibri"/>
        </w:rPr>
        <w:t>Cell counts per sample per metacluster were analysed as sqrt(number.of.cells) ~ cluster.size + FACS.analysis.batch + patient + before_after.infection.</w:t>
      </w:r>
      <w:r>
        <w:rPr>
          <w:rFonts w:ascii="Calibri" w:hAnsi="Calibri"/>
        </w:rPr>
        <w:t xml:space="preserve"> </w:t>
      </w:r>
      <w:r w:rsidRPr="0073435E">
        <w:rPr>
          <w:rFonts w:ascii="Calibri" w:hAnsi="Calibri"/>
          <w:b/>
          <w:bCs/>
        </w:rPr>
        <w:t> </w:t>
      </w:r>
      <w:r w:rsidRPr="00331E10">
        <w:rPr>
          <w:rFonts w:ascii="Calibri" w:hAnsi="Calibri"/>
          <w:bCs/>
        </w:rPr>
        <w:t>R citation:</w:t>
      </w:r>
    </w:p>
    <w:p w14:paraId="0A4A37C7" w14:textId="4B906821" w:rsidR="0073435E" w:rsidRPr="0073435E" w:rsidRDefault="0073435E" w:rsidP="00883707">
      <w:pPr>
        <w:jc w:val="both"/>
        <w:rPr>
          <w:rFonts w:ascii="Calibri" w:hAnsi="Calibri"/>
        </w:rPr>
      </w:pPr>
      <w:r w:rsidRPr="0073435E">
        <w:rPr>
          <w:rFonts w:ascii="Calibri" w:hAnsi="Calibri"/>
        </w:rPr>
        <w:t>@Manual{,</w:t>
      </w:r>
    </w:p>
    <w:p w14:paraId="4C120B61" w14:textId="51658DB6" w:rsidR="0073435E" w:rsidRDefault="0073435E" w:rsidP="00883707">
      <w:pPr>
        <w:jc w:val="both"/>
        <w:rPr>
          <w:rFonts w:ascii="Calibri" w:hAnsi="Calibri"/>
        </w:rPr>
      </w:pPr>
      <w:r w:rsidRPr="0073435E">
        <w:rPr>
          <w:rFonts w:ascii="Calibri" w:hAnsi="Calibri"/>
        </w:rPr>
        <w:t>title        = {R: A Language and Environment for Statistical</w:t>
      </w:r>
    </w:p>
    <w:p w14:paraId="047B066D" w14:textId="3300C2DB" w:rsidR="0073435E" w:rsidRDefault="0073435E" w:rsidP="00883707">
      <w:pPr>
        <w:jc w:val="both"/>
        <w:rPr>
          <w:rFonts w:ascii="Calibri" w:hAnsi="Calibri"/>
        </w:rPr>
      </w:pPr>
      <w:r w:rsidRPr="0073435E">
        <w:rPr>
          <w:rFonts w:ascii="Calibri" w:hAnsi="Calibri"/>
        </w:rPr>
        <w:t xml:space="preserve">                  Computing},</w:t>
      </w:r>
    </w:p>
    <w:p w14:paraId="1946BE7B" w14:textId="7B9D01ED" w:rsidR="0073435E" w:rsidRDefault="0073435E" w:rsidP="00883707">
      <w:pPr>
        <w:jc w:val="both"/>
        <w:rPr>
          <w:rFonts w:ascii="Calibri" w:hAnsi="Calibri"/>
        </w:rPr>
      </w:pPr>
      <w:r w:rsidRPr="0073435E">
        <w:rPr>
          <w:rFonts w:ascii="Calibri" w:hAnsi="Calibri"/>
        </w:rPr>
        <w:t xml:space="preserve">  author       = {{R Core Team}},</w:t>
      </w:r>
    </w:p>
    <w:p w14:paraId="3AE4E571" w14:textId="63CF7D9E" w:rsidR="0073435E" w:rsidRDefault="0073435E" w:rsidP="00883707">
      <w:pPr>
        <w:jc w:val="both"/>
        <w:rPr>
          <w:rFonts w:ascii="Calibri" w:hAnsi="Calibri"/>
        </w:rPr>
      </w:pPr>
      <w:r w:rsidRPr="0073435E">
        <w:rPr>
          <w:rFonts w:ascii="Calibri" w:hAnsi="Calibri"/>
        </w:rPr>
        <w:t xml:space="preserve">  organization = {R Foundation for Statistical Computing},</w:t>
      </w:r>
    </w:p>
    <w:p w14:paraId="367704BA" w14:textId="559BD4FE" w:rsidR="0073435E" w:rsidRDefault="00FD469F" w:rsidP="00883707">
      <w:pPr>
        <w:jc w:val="both"/>
        <w:rPr>
          <w:rFonts w:ascii="Calibri" w:hAnsi="Calibri"/>
        </w:rPr>
      </w:pPr>
      <w:r w:rsidRPr="00FD469F">
        <w:rPr>
          <w:rFonts w:ascii="Calibri" w:hAnsi="Calibri"/>
        </w:rPr>
        <w:t xml:space="preserve">  address      = {Vienna, Austria},</w:t>
      </w:r>
    </w:p>
    <w:p w14:paraId="7B1E0C37" w14:textId="4F17F811" w:rsidR="00FD469F" w:rsidRDefault="00FD469F" w:rsidP="00883707">
      <w:pPr>
        <w:jc w:val="both"/>
        <w:rPr>
          <w:rFonts w:ascii="Calibri" w:hAnsi="Calibri"/>
        </w:rPr>
      </w:pPr>
      <w:r w:rsidRPr="00FD469F">
        <w:rPr>
          <w:rFonts w:ascii="Calibri" w:hAnsi="Calibri"/>
        </w:rPr>
        <w:t xml:space="preserve">  year         = 2018,</w:t>
      </w:r>
    </w:p>
    <w:p w14:paraId="0C545565" w14:textId="1C749ECC" w:rsidR="00FD469F" w:rsidRDefault="00FD469F" w:rsidP="00883707">
      <w:pPr>
        <w:jc w:val="both"/>
        <w:rPr>
          <w:rFonts w:ascii="Calibri" w:hAnsi="Calibri"/>
        </w:rPr>
      </w:pPr>
      <w:r w:rsidRPr="00FD469F">
        <w:rPr>
          <w:rFonts w:ascii="Calibri" w:hAnsi="Calibri"/>
        </w:rPr>
        <w:t xml:space="preserve">  url          = {https://www.R-project.org}</w:t>
      </w:r>
    </w:p>
    <w:p w14:paraId="39D65994" w14:textId="5141303B" w:rsidR="00FD469F" w:rsidRDefault="00FD469F" w:rsidP="00883707">
      <w:pPr>
        <w:jc w:val="both"/>
        <w:rPr>
          <w:rFonts w:ascii="Calibri" w:hAnsi="Calibri"/>
        </w:rPr>
      </w:pPr>
      <w:r>
        <w:rPr>
          <w:rFonts w:ascii="Calibri" w:hAnsi="Calibri"/>
        </w:rPr>
        <w:t>}</w:t>
      </w:r>
    </w:p>
    <w:p w14:paraId="22EDFEED" w14:textId="77777777" w:rsidR="00FA2ECF" w:rsidRDefault="00FA2ECF" w:rsidP="00883707">
      <w:pPr>
        <w:rPr>
          <w:rFonts w:ascii="Calibri" w:hAnsi="Calibri"/>
        </w:rPr>
      </w:pPr>
    </w:p>
    <w:p w14:paraId="4BCDCD0D" w14:textId="77777777" w:rsidR="00FA2ECF" w:rsidRDefault="00FA2ECF" w:rsidP="00883707">
      <w:pPr>
        <w:rPr>
          <w:rFonts w:ascii="Calibri" w:hAnsi="Calibri"/>
        </w:rPr>
      </w:pPr>
      <w:r>
        <w:rPr>
          <w:rFonts w:ascii="Calibri" w:hAnsi="Calibri"/>
        </w:rPr>
        <w:br w:type="page"/>
      </w:r>
    </w:p>
    <w:p w14:paraId="6778851E" w14:textId="71A410C5" w:rsidR="00FD469F" w:rsidRDefault="00FD469F" w:rsidP="00883707">
      <w:pPr>
        <w:jc w:val="both"/>
        <w:rPr>
          <w:rFonts w:ascii="Calibri" w:hAnsi="Calibri"/>
        </w:rPr>
      </w:pPr>
      <w:r>
        <w:rPr>
          <w:rFonts w:ascii="Calibri" w:hAnsi="Calibri"/>
          <w:noProof/>
          <w:lang w:val="en-US"/>
        </w:rPr>
        <w:lastRenderedPageBreak/>
        <w:drawing>
          <wp:inline distT="0" distB="0" distL="0" distR="0" wp14:anchorId="3E2447D5" wp14:editId="6617F49F">
            <wp:extent cx="5270500" cy="3497580"/>
            <wp:effectExtent l="0" t="0" r="1270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 G.tif"/>
                    <pic:cNvPicPr/>
                  </pic:nvPicPr>
                  <pic:blipFill>
                    <a:blip r:embed="rId13" cstate="screen">
                      <a:extLst>
                        <a:ext uri="{28A0092B-C50C-407E-A947-70E740481C1C}">
                          <a14:useLocalDpi xmlns:a14="http://schemas.microsoft.com/office/drawing/2010/main"/>
                        </a:ext>
                      </a:extLst>
                    </a:blip>
                    <a:stretch>
                      <a:fillRect/>
                    </a:stretch>
                  </pic:blipFill>
                  <pic:spPr>
                    <a:xfrm>
                      <a:off x="0" y="0"/>
                      <a:ext cx="5270500" cy="3497580"/>
                    </a:xfrm>
                    <a:prstGeom prst="rect">
                      <a:avLst/>
                    </a:prstGeom>
                  </pic:spPr>
                </pic:pic>
              </a:graphicData>
            </a:graphic>
          </wp:inline>
        </w:drawing>
      </w:r>
    </w:p>
    <w:p w14:paraId="1087D4C5" w14:textId="77777777" w:rsidR="00883707" w:rsidRDefault="00883707" w:rsidP="00883707">
      <w:pPr>
        <w:jc w:val="both"/>
        <w:rPr>
          <w:rFonts w:ascii="Calibri" w:hAnsi="Calibri"/>
          <w:b/>
        </w:rPr>
      </w:pPr>
    </w:p>
    <w:p w14:paraId="042C59B3" w14:textId="3CBC8AF0" w:rsidR="00A6123E" w:rsidRDefault="00FD469F" w:rsidP="00883707">
      <w:pPr>
        <w:jc w:val="both"/>
        <w:rPr>
          <w:rFonts w:ascii="Calibri" w:hAnsi="Calibri"/>
        </w:rPr>
      </w:pPr>
      <w:r>
        <w:rPr>
          <w:rFonts w:ascii="Calibri" w:hAnsi="Calibri"/>
          <w:b/>
        </w:rPr>
        <w:t xml:space="preserve">Supplementary </w:t>
      </w:r>
      <w:r w:rsidR="008A2512">
        <w:rPr>
          <w:rFonts w:ascii="Calibri" w:hAnsi="Calibri"/>
          <w:b/>
        </w:rPr>
        <w:t xml:space="preserve">Figure </w:t>
      </w:r>
      <w:r w:rsidR="002F40E1">
        <w:rPr>
          <w:rFonts w:ascii="Calibri" w:hAnsi="Calibri"/>
          <w:b/>
        </w:rPr>
        <w:t>6</w:t>
      </w:r>
      <w:r>
        <w:rPr>
          <w:rFonts w:ascii="Calibri" w:hAnsi="Calibri"/>
          <w:b/>
        </w:rPr>
        <w:t xml:space="preserve">: </w:t>
      </w:r>
      <w:r w:rsidRPr="00FD469F">
        <w:rPr>
          <w:rFonts w:ascii="Calibri" w:hAnsi="Calibri"/>
          <w:b/>
        </w:rPr>
        <w:t>Comparison of lymphocyte subset frequencies before and after measles.</w:t>
      </w:r>
      <w:r>
        <w:rPr>
          <w:rFonts w:ascii="Calibri" w:hAnsi="Calibri"/>
          <w:b/>
        </w:rPr>
        <w:t xml:space="preserve"> </w:t>
      </w:r>
      <w:r w:rsidR="00245892">
        <w:rPr>
          <w:rFonts w:ascii="Calibri" w:hAnsi="Calibri"/>
        </w:rPr>
        <w:t xml:space="preserve">(A) </w:t>
      </w:r>
      <w:r w:rsidR="00A6123E">
        <w:rPr>
          <w:rFonts w:ascii="Calibri" w:hAnsi="Calibri"/>
        </w:rPr>
        <w:t>Percentages of naive and memory and (B) functionally-distinct lymphocyte subsets before and after measles (n = 42 paired samples).</w:t>
      </w:r>
      <w:r w:rsidR="00A6123E" w:rsidRPr="00A6123E">
        <w:rPr>
          <w:rFonts w:asciiTheme="majorHAnsi" w:hAnsiTheme="majorHAnsi"/>
        </w:rPr>
        <w:t xml:space="preserve"> </w:t>
      </w:r>
      <w:r w:rsidR="00A6123E" w:rsidRPr="00A6123E">
        <w:rPr>
          <w:rFonts w:ascii="Calibri" w:hAnsi="Calibri"/>
        </w:rPr>
        <w:t>Th1/17: Th1Th17 cells. CD27</w:t>
      </w:r>
      <w:r w:rsidR="00A6123E" w:rsidRPr="00A6123E">
        <w:rPr>
          <w:rFonts w:ascii="Calibri" w:hAnsi="Calibri"/>
          <w:vertAlign w:val="superscript"/>
        </w:rPr>
        <w:t>+</w:t>
      </w:r>
      <w:r w:rsidR="00A6123E" w:rsidRPr="00A6123E">
        <w:rPr>
          <w:rFonts w:ascii="Calibri" w:hAnsi="Calibri"/>
        </w:rPr>
        <w:t>IgM</w:t>
      </w:r>
      <w:r w:rsidR="00A6123E" w:rsidRPr="00A6123E">
        <w:rPr>
          <w:rFonts w:ascii="Calibri" w:hAnsi="Calibri"/>
          <w:vertAlign w:val="superscript"/>
        </w:rPr>
        <w:t>+</w:t>
      </w:r>
      <w:r w:rsidR="00A6123E" w:rsidRPr="00A6123E">
        <w:rPr>
          <w:rFonts w:ascii="Calibri" w:hAnsi="Calibri"/>
        </w:rPr>
        <w:t>IgD</w:t>
      </w:r>
      <w:r w:rsidR="00A6123E" w:rsidRPr="00A6123E">
        <w:rPr>
          <w:rFonts w:ascii="Calibri" w:hAnsi="Calibri"/>
          <w:vertAlign w:val="superscript"/>
        </w:rPr>
        <w:t>-</w:t>
      </w:r>
      <w:r w:rsidR="00A6123E" w:rsidRPr="00A6123E">
        <w:rPr>
          <w:rFonts w:ascii="Calibri" w:hAnsi="Calibri"/>
        </w:rPr>
        <w:t xml:space="preserve"> B-cells are also known as IgM-only memory B-cells. CD27</w:t>
      </w:r>
      <w:r w:rsidR="00A6123E" w:rsidRPr="00A6123E">
        <w:rPr>
          <w:rFonts w:ascii="Calibri" w:hAnsi="Calibri"/>
          <w:vertAlign w:val="superscript"/>
        </w:rPr>
        <w:t>+</w:t>
      </w:r>
      <w:r w:rsidR="00A6123E" w:rsidRPr="00A6123E">
        <w:rPr>
          <w:rFonts w:ascii="Calibri" w:hAnsi="Calibri"/>
        </w:rPr>
        <w:t>IgM</w:t>
      </w:r>
      <w:r w:rsidR="00A6123E" w:rsidRPr="00A6123E">
        <w:rPr>
          <w:rFonts w:ascii="Calibri" w:hAnsi="Calibri"/>
          <w:vertAlign w:val="superscript"/>
        </w:rPr>
        <w:t>+</w:t>
      </w:r>
      <w:r w:rsidR="00A6123E" w:rsidRPr="00A6123E">
        <w:rPr>
          <w:rFonts w:ascii="Calibri" w:hAnsi="Calibri"/>
        </w:rPr>
        <w:t>IgD</w:t>
      </w:r>
      <w:r w:rsidR="00A6123E" w:rsidRPr="00A6123E">
        <w:rPr>
          <w:rFonts w:ascii="Calibri" w:hAnsi="Calibri"/>
          <w:vertAlign w:val="superscript"/>
        </w:rPr>
        <w:t>+</w:t>
      </w:r>
      <w:r w:rsidR="00A6123E" w:rsidRPr="00A6123E">
        <w:rPr>
          <w:rFonts w:ascii="Calibri" w:hAnsi="Calibri"/>
        </w:rPr>
        <w:t xml:space="preserve"> B-cells are also known as natural effector cells. Green box represents significant decrease. Orange box represents significant increase. </w:t>
      </w:r>
      <w:r w:rsidR="004D53DB" w:rsidRPr="004D53DB">
        <w:rPr>
          <w:rFonts w:ascii="Calibri" w:hAnsi="Calibri"/>
        </w:rPr>
        <w:t xml:space="preserve">Statistical differences in frequencies of lymphocyte subsets before and after measles were analysed by two-tailed paired t-test or Wilcoxon signed-rank test. </w:t>
      </w:r>
      <w:r w:rsidR="00A6123E" w:rsidRPr="00A6123E">
        <w:rPr>
          <w:rFonts w:ascii="Calibri" w:hAnsi="Calibri"/>
        </w:rPr>
        <w:t>*: P &lt; 0.05; **: P &lt; 0.01; ***: P ≤ 0.001</w:t>
      </w:r>
      <w:r w:rsidR="00883707">
        <w:rPr>
          <w:rFonts w:ascii="Calibri" w:hAnsi="Calibri"/>
        </w:rPr>
        <w:t>.</w:t>
      </w:r>
    </w:p>
    <w:p w14:paraId="0FAF796E" w14:textId="77777777" w:rsidR="00A6123E" w:rsidRDefault="00A6123E" w:rsidP="00883707">
      <w:pPr>
        <w:jc w:val="both"/>
        <w:rPr>
          <w:rFonts w:ascii="Calibri" w:hAnsi="Calibri"/>
        </w:rPr>
      </w:pPr>
    </w:p>
    <w:p w14:paraId="59D22230" w14:textId="6D76723D" w:rsidR="00A6123E" w:rsidRDefault="00A6123E" w:rsidP="00883707">
      <w:pPr>
        <w:rPr>
          <w:rFonts w:ascii="Calibri" w:hAnsi="Calibri"/>
        </w:rPr>
      </w:pPr>
      <w:r>
        <w:rPr>
          <w:rFonts w:ascii="Calibri" w:hAnsi="Calibri"/>
        </w:rPr>
        <w:br w:type="page"/>
      </w:r>
    </w:p>
    <w:p w14:paraId="74097017" w14:textId="44A2146B" w:rsidR="00A6123E" w:rsidRDefault="00A6123E" w:rsidP="00883707">
      <w:pPr>
        <w:jc w:val="both"/>
        <w:rPr>
          <w:rFonts w:ascii="Calibri" w:hAnsi="Calibri"/>
        </w:rPr>
      </w:pPr>
      <w:r>
        <w:rPr>
          <w:rFonts w:ascii="Calibri" w:hAnsi="Calibri"/>
          <w:noProof/>
          <w:lang w:val="en-US"/>
        </w:rPr>
        <w:lastRenderedPageBreak/>
        <w:drawing>
          <wp:inline distT="0" distB="0" distL="0" distR="0" wp14:anchorId="18F6298F" wp14:editId="5999E4DE">
            <wp:extent cx="5252720" cy="3787434"/>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mild vs severe.tif"/>
                    <pic:cNvPicPr/>
                  </pic:nvPicPr>
                  <pic:blipFill rotWithShape="1">
                    <a:blip r:embed="rId14" cstate="screen">
                      <a:extLst>
                        <a:ext uri="{28A0092B-C50C-407E-A947-70E740481C1C}">
                          <a14:useLocalDpi xmlns:a14="http://schemas.microsoft.com/office/drawing/2010/main"/>
                        </a:ext>
                      </a:extLst>
                    </a:blip>
                    <a:srcRect r="50072"/>
                    <a:stretch/>
                  </pic:blipFill>
                  <pic:spPr bwMode="auto">
                    <a:xfrm>
                      <a:off x="0" y="0"/>
                      <a:ext cx="5253779" cy="3788197"/>
                    </a:xfrm>
                    <a:prstGeom prst="rect">
                      <a:avLst/>
                    </a:prstGeom>
                    <a:ln>
                      <a:noFill/>
                    </a:ln>
                    <a:extLst>
                      <a:ext uri="{53640926-AAD7-44D8-BBD7-CCE9431645EC}">
                        <a14:shadowObscured xmlns:a14="http://schemas.microsoft.com/office/drawing/2010/main"/>
                      </a:ext>
                    </a:extLst>
                  </pic:spPr>
                </pic:pic>
              </a:graphicData>
            </a:graphic>
          </wp:inline>
        </w:drawing>
      </w:r>
    </w:p>
    <w:p w14:paraId="45FA431C" w14:textId="77777777" w:rsidR="00883707" w:rsidRDefault="00883707" w:rsidP="00883707">
      <w:pPr>
        <w:jc w:val="both"/>
        <w:rPr>
          <w:rFonts w:ascii="Calibri" w:hAnsi="Calibri"/>
          <w:b/>
        </w:rPr>
      </w:pPr>
    </w:p>
    <w:p w14:paraId="291E0BC8" w14:textId="282AF427" w:rsidR="00A6123E" w:rsidRDefault="00A6123E" w:rsidP="00883707">
      <w:pPr>
        <w:jc w:val="both"/>
        <w:rPr>
          <w:rFonts w:ascii="Calibri" w:hAnsi="Calibri"/>
        </w:rPr>
      </w:pPr>
      <w:r>
        <w:rPr>
          <w:rFonts w:ascii="Calibri" w:hAnsi="Calibri"/>
          <w:b/>
        </w:rPr>
        <w:t xml:space="preserve">Supplementary </w:t>
      </w:r>
      <w:r w:rsidR="008A2512">
        <w:rPr>
          <w:rFonts w:ascii="Calibri" w:hAnsi="Calibri"/>
          <w:b/>
        </w:rPr>
        <w:t xml:space="preserve">Figure </w:t>
      </w:r>
      <w:r w:rsidR="002F40E1">
        <w:rPr>
          <w:rFonts w:ascii="Calibri" w:hAnsi="Calibri"/>
          <w:b/>
        </w:rPr>
        <w:t>7</w:t>
      </w:r>
      <w:r>
        <w:rPr>
          <w:rFonts w:ascii="Calibri" w:hAnsi="Calibri"/>
          <w:b/>
        </w:rPr>
        <w:t xml:space="preserve">: </w:t>
      </w:r>
      <w:r w:rsidRPr="00A6123E">
        <w:rPr>
          <w:rFonts w:ascii="Calibri" w:hAnsi="Calibri"/>
          <w:b/>
        </w:rPr>
        <w:t>Comparison of lymphocyte subset frequencies before and after measles in parent-reported mild measles cases.</w:t>
      </w:r>
      <w:r w:rsidRPr="00A6123E">
        <w:rPr>
          <w:rFonts w:ascii="Calibri" w:hAnsi="Calibri"/>
        </w:rPr>
        <w:t xml:space="preserve"> </w:t>
      </w:r>
      <w:r w:rsidR="00245892">
        <w:rPr>
          <w:rFonts w:ascii="Calibri" w:hAnsi="Calibri"/>
        </w:rPr>
        <w:t xml:space="preserve">(A) </w:t>
      </w:r>
      <w:r>
        <w:rPr>
          <w:rFonts w:ascii="Calibri" w:hAnsi="Calibri"/>
        </w:rPr>
        <w:t xml:space="preserve">Percentages of naive and memory and (B) functionally-distinct lymphocyte subsets before and after </w:t>
      </w:r>
      <w:r w:rsidR="00245892">
        <w:rPr>
          <w:rFonts w:ascii="Calibri" w:hAnsi="Calibri"/>
        </w:rPr>
        <w:t xml:space="preserve">mild </w:t>
      </w:r>
      <w:r>
        <w:rPr>
          <w:rFonts w:ascii="Calibri" w:hAnsi="Calibri"/>
        </w:rPr>
        <w:t xml:space="preserve">measles (n = </w:t>
      </w:r>
      <w:r w:rsidR="00331E10" w:rsidRPr="00331E10">
        <w:rPr>
          <w:rFonts w:ascii="Calibri" w:hAnsi="Calibri"/>
        </w:rPr>
        <w:t>18</w:t>
      </w:r>
      <w:r>
        <w:rPr>
          <w:rFonts w:ascii="Calibri" w:hAnsi="Calibri"/>
        </w:rPr>
        <w:t xml:space="preserve"> paired samples). </w:t>
      </w:r>
      <w:r w:rsidRPr="00A6123E">
        <w:rPr>
          <w:rFonts w:ascii="Calibri" w:hAnsi="Calibri"/>
        </w:rPr>
        <w:t>Th1/17: Th1Th17 cells. CD27</w:t>
      </w:r>
      <w:r w:rsidRPr="00A6123E">
        <w:rPr>
          <w:rFonts w:ascii="Calibri" w:hAnsi="Calibri"/>
          <w:vertAlign w:val="superscript"/>
        </w:rPr>
        <w:t>+</w:t>
      </w:r>
      <w:r w:rsidRPr="00A6123E">
        <w:rPr>
          <w:rFonts w:ascii="Calibri" w:hAnsi="Calibri"/>
        </w:rPr>
        <w:t>IgM</w:t>
      </w:r>
      <w:r w:rsidRPr="00A6123E">
        <w:rPr>
          <w:rFonts w:ascii="Calibri" w:hAnsi="Calibri"/>
          <w:vertAlign w:val="superscript"/>
        </w:rPr>
        <w:t>+</w:t>
      </w:r>
      <w:r w:rsidRPr="00A6123E">
        <w:rPr>
          <w:rFonts w:ascii="Calibri" w:hAnsi="Calibri"/>
        </w:rPr>
        <w:t>IgD</w:t>
      </w:r>
      <w:r w:rsidRPr="00A6123E">
        <w:rPr>
          <w:rFonts w:ascii="Calibri" w:hAnsi="Calibri"/>
          <w:vertAlign w:val="superscript"/>
        </w:rPr>
        <w:t>-</w:t>
      </w:r>
      <w:r w:rsidRPr="00A6123E">
        <w:rPr>
          <w:rFonts w:ascii="Calibri" w:hAnsi="Calibri"/>
        </w:rPr>
        <w:t xml:space="preserve"> B-cells are also known as IgM-only memory B-cells. CD27</w:t>
      </w:r>
      <w:r w:rsidRPr="00A6123E">
        <w:rPr>
          <w:rFonts w:ascii="Calibri" w:hAnsi="Calibri"/>
          <w:vertAlign w:val="superscript"/>
        </w:rPr>
        <w:t>+</w:t>
      </w:r>
      <w:r w:rsidRPr="00A6123E">
        <w:rPr>
          <w:rFonts w:ascii="Calibri" w:hAnsi="Calibri"/>
        </w:rPr>
        <w:t>IgM</w:t>
      </w:r>
      <w:r w:rsidRPr="00A6123E">
        <w:rPr>
          <w:rFonts w:ascii="Calibri" w:hAnsi="Calibri"/>
          <w:vertAlign w:val="superscript"/>
        </w:rPr>
        <w:t>+</w:t>
      </w:r>
      <w:r w:rsidRPr="00A6123E">
        <w:rPr>
          <w:rFonts w:ascii="Calibri" w:hAnsi="Calibri"/>
        </w:rPr>
        <w:t>IgD</w:t>
      </w:r>
      <w:r w:rsidRPr="00A6123E">
        <w:rPr>
          <w:rFonts w:ascii="Calibri" w:hAnsi="Calibri"/>
          <w:vertAlign w:val="superscript"/>
        </w:rPr>
        <w:t>+</w:t>
      </w:r>
      <w:r w:rsidRPr="00A6123E">
        <w:rPr>
          <w:rFonts w:ascii="Calibri" w:hAnsi="Calibri"/>
        </w:rPr>
        <w:t xml:space="preserve"> B-cells are also known as natural effector cells. Green box represents significant decrease. Orange box represents significant increase. </w:t>
      </w:r>
      <w:r w:rsidR="004D53DB" w:rsidRPr="004D53DB">
        <w:rPr>
          <w:rFonts w:ascii="Calibri" w:hAnsi="Calibri"/>
        </w:rPr>
        <w:t xml:space="preserve">Statistical differences in frequencies of lymphocyte subsets before and after measles were analysed by two-tailed paired t-test or Wilcoxon signed-rank test. </w:t>
      </w:r>
      <w:r w:rsidRPr="00A6123E">
        <w:rPr>
          <w:rFonts w:ascii="Calibri" w:hAnsi="Calibri"/>
        </w:rPr>
        <w:t>*: P &lt; 0.05; **: P &lt; 0.01; ***: P ≤ 0.001</w:t>
      </w:r>
      <w:r w:rsidR="00883707">
        <w:rPr>
          <w:rFonts w:ascii="Calibri" w:hAnsi="Calibri"/>
        </w:rPr>
        <w:t>.</w:t>
      </w:r>
    </w:p>
    <w:p w14:paraId="696AB4B3" w14:textId="77777777" w:rsidR="00A6123E" w:rsidRDefault="00A6123E" w:rsidP="00883707">
      <w:pPr>
        <w:jc w:val="both"/>
        <w:rPr>
          <w:rFonts w:ascii="Calibri" w:hAnsi="Calibri"/>
        </w:rPr>
      </w:pPr>
    </w:p>
    <w:p w14:paraId="3DA31536" w14:textId="34719ED2" w:rsidR="00A6123E" w:rsidRDefault="00A6123E" w:rsidP="00883707">
      <w:pPr>
        <w:rPr>
          <w:rFonts w:ascii="Calibri" w:hAnsi="Calibri"/>
        </w:rPr>
      </w:pPr>
      <w:r>
        <w:rPr>
          <w:rFonts w:ascii="Calibri" w:hAnsi="Calibri"/>
        </w:rPr>
        <w:br w:type="page"/>
      </w:r>
    </w:p>
    <w:p w14:paraId="05E6AED7" w14:textId="696F3157" w:rsidR="00A6123E" w:rsidRDefault="00A6123E" w:rsidP="00883707">
      <w:pPr>
        <w:jc w:val="both"/>
        <w:rPr>
          <w:rFonts w:ascii="Calibri" w:hAnsi="Calibri"/>
          <w:b/>
        </w:rPr>
      </w:pPr>
      <w:r>
        <w:rPr>
          <w:rFonts w:ascii="Calibri" w:hAnsi="Calibri"/>
          <w:b/>
          <w:noProof/>
          <w:lang w:val="en-US"/>
        </w:rPr>
        <w:lastRenderedPageBreak/>
        <w:drawing>
          <wp:inline distT="0" distB="0" distL="0" distR="0" wp14:anchorId="69C4C32D" wp14:editId="6CF7DB31">
            <wp:extent cx="5367020" cy="388861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mild vs severe.tif"/>
                    <pic:cNvPicPr/>
                  </pic:nvPicPr>
                  <pic:blipFill rotWithShape="1">
                    <a:blip r:embed="rId14" cstate="screen">
                      <a:extLst>
                        <a:ext uri="{28A0092B-C50C-407E-A947-70E740481C1C}">
                          <a14:useLocalDpi xmlns:a14="http://schemas.microsoft.com/office/drawing/2010/main"/>
                        </a:ext>
                      </a:extLst>
                    </a:blip>
                    <a:srcRect l="50313"/>
                    <a:stretch/>
                  </pic:blipFill>
                  <pic:spPr bwMode="auto">
                    <a:xfrm>
                      <a:off x="0" y="0"/>
                      <a:ext cx="5367020" cy="3888617"/>
                    </a:xfrm>
                    <a:prstGeom prst="rect">
                      <a:avLst/>
                    </a:prstGeom>
                    <a:ln>
                      <a:noFill/>
                    </a:ln>
                    <a:extLst>
                      <a:ext uri="{53640926-AAD7-44D8-BBD7-CCE9431645EC}">
                        <a14:shadowObscured xmlns:a14="http://schemas.microsoft.com/office/drawing/2010/main"/>
                      </a:ext>
                    </a:extLst>
                  </pic:spPr>
                </pic:pic>
              </a:graphicData>
            </a:graphic>
          </wp:inline>
        </w:drawing>
      </w:r>
    </w:p>
    <w:p w14:paraId="2CED7632" w14:textId="77777777" w:rsidR="00883707" w:rsidRDefault="00883707" w:rsidP="00883707">
      <w:pPr>
        <w:jc w:val="both"/>
        <w:rPr>
          <w:rFonts w:ascii="Calibri" w:hAnsi="Calibri"/>
          <w:b/>
        </w:rPr>
      </w:pPr>
    </w:p>
    <w:p w14:paraId="6CCCDD17" w14:textId="12E54347" w:rsidR="005B1F24" w:rsidRDefault="00A6123E" w:rsidP="00883707">
      <w:pPr>
        <w:jc w:val="both"/>
        <w:rPr>
          <w:rFonts w:ascii="Calibri" w:hAnsi="Calibri"/>
        </w:rPr>
      </w:pPr>
      <w:r>
        <w:rPr>
          <w:rFonts w:ascii="Calibri" w:hAnsi="Calibri"/>
          <w:b/>
        </w:rPr>
        <w:t xml:space="preserve">Supplementary </w:t>
      </w:r>
      <w:r w:rsidR="008A2512">
        <w:rPr>
          <w:rFonts w:ascii="Calibri" w:hAnsi="Calibri"/>
          <w:b/>
        </w:rPr>
        <w:t xml:space="preserve">Figure </w:t>
      </w:r>
      <w:r w:rsidR="002F40E1">
        <w:rPr>
          <w:rFonts w:ascii="Calibri" w:hAnsi="Calibri"/>
          <w:b/>
        </w:rPr>
        <w:t>8</w:t>
      </w:r>
      <w:r>
        <w:rPr>
          <w:rFonts w:ascii="Calibri" w:hAnsi="Calibri"/>
          <w:b/>
        </w:rPr>
        <w:t xml:space="preserve">: </w:t>
      </w:r>
      <w:r w:rsidRPr="00A6123E">
        <w:rPr>
          <w:rFonts w:ascii="Calibri" w:hAnsi="Calibri"/>
          <w:b/>
        </w:rPr>
        <w:t xml:space="preserve">Comparison of lymphocyte subset frequencies before and after measles in parent-reported </w:t>
      </w:r>
      <w:r w:rsidR="00245892">
        <w:rPr>
          <w:rFonts w:ascii="Calibri" w:hAnsi="Calibri"/>
          <w:b/>
        </w:rPr>
        <w:t>severe</w:t>
      </w:r>
      <w:r w:rsidRPr="00A6123E">
        <w:rPr>
          <w:rFonts w:ascii="Calibri" w:hAnsi="Calibri"/>
          <w:b/>
        </w:rPr>
        <w:t xml:space="preserve"> measles cases.</w:t>
      </w:r>
      <w:r w:rsidRPr="00A6123E">
        <w:rPr>
          <w:rFonts w:ascii="Calibri" w:hAnsi="Calibri"/>
        </w:rPr>
        <w:t xml:space="preserve"> </w:t>
      </w:r>
      <w:r w:rsidR="00245892">
        <w:rPr>
          <w:rFonts w:ascii="Calibri" w:hAnsi="Calibri"/>
        </w:rPr>
        <w:t xml:space="preserve">(A) </w:t>
      </w:r>
      <w:r>
        <w:rPr>
          <w:rFonts w:ascii="Calibri" w:hAnsi="Calibri"/>
        </w:rPr>
        <w:t xml:space="preserve">Percentages of naive and memory and (B) functionally-distinct lymphocyte subsets </w:t>
      </w:r>
      <w:r w:rsidR="00245892">
        <w:rPr>
          <w:rFonts w:ascii="Calibri" w:hAnsi="Calibri"/>
        </w:rPr>
        <w:t xml:space="preserve">before </w:t>
      </w:r>
      <w:r w:rsidR="00076733">
        <w:rPr>
          <w:rFonts w:ascii="Calibri" w:hAnsi="Calibri"/>
        </w:rPr>
        <w:t xml:space="preserve">and after severe measles (n = </w:t>
      </w:r>
      <w:r w:rsidR="00331E10" w:rsidRPr="00331E10">
        <w:rPr>
          <w:rFonts w:ascii="Calibri" w:hAnsi="Calibri"/>
        </w:rPr>
        <w:t>24</w:t>
      </w:r>
      <w:r>
        <w:rPr>
          <w:rFonts w:ascii="Calibri" w:hAnsi="Calibri"/>
        </w:rPr>
        <w:t xml:space="preserve"> paired samples). </w:t>
      </w:r>
      <w:r w:rsidRPr="00A6123E">
        <w:rPr>
          <w:rFonts w:ascii="Calibri" w:hAnsi="Calibri"/>
        </w:rPr>
        <w:t>Th1/17: Th1Th17 cells. CD27</w:t>
      </w:r>
      <w:r w:rsidRPr="00A6123E">
        <w:rPr>
          <w:rFonts w:ascii="Calibri" w:hAnsi="Calibri"/>
          <w:vertAlign w:val="superscript"/>
        </w:rPr>
        <w:t>+</w:t>
      </w:r>
      <w:r w:rsidRPr="00A6123E">
        <w:rPr>
          <w:rFonts w:ascii="Calibri" w:hAnsi="Calibri"/>
        </w:rPr>
        <w:t>IgM</w:t>
      </w:r>
      <w:r w:rsidRPr="00A6123E">
        <w:rPr>
          <w:rFonts w:ascii="Calibri" w:hAnsi="Calibri"/>
          <w:vertAlign w:val="superscript"/>
        </w:rPr>
        <w:t>+</w:t>
      </w:r>
      <w:r w:rsidRPr="00A6123E">
        <w:rPr>
          <w:rFonts w:ascii="Calibri" w:hAnsi="Calibri"/>
        </w:rPr>
        <w:t>IgD</w:t>
      </w:r>
      <w:r w:rsidRPr="00A6123E">
        <w:rPr>
          <w:rFonts w:ascii="Calibri" w:hAnsi="Calibri"/>
          <w:vertAlign w:val="superscript"/>
        </w:rPr>
        <w:t>-</w:t>
      </w:r>
      <w:r w:rsidRPr="00A6123E">
        <w:rPr>
          <w:rFonts w:ascii="Calibri" w:hAnsi="Calibri"/>
        </w:rPr>
        <w:t xml:space="preserve"> B-cells are also known as IgM-only memory B-cells. CD27</w:t>
      </w:r>
      <w:r w:rsidRPr="00A6123E">
        <w:rPr>
          <w:rFonts w:ascii="Calibri" w:hAnsi="Calibri"/>
          <w:vertAlign w:val="superscript"/>
        </w:rPr>
        <w:t>+</w:t>
      </w:r>
      <w:r w:rsidRPr="00A6123E">
        <w:rPr>
          <w:rFonts w:ascii="Calibri" w:hAnsi="Calibri"/>
        </w:rPr>
        <w:t>IgM</w:t>
      </w:r>
      <w:r w:rsidRPr="00A6123E">
        <w:rPr>
          <w:rFonts w:ascii="Calibri" w:hAnsi="Calibri"/>
          <w:vertAlign w:val="superscript"/>
        </w:rPr>
        <w:t>+</w:t>
      </w:r>
      <w:r w:rsidRPr="00A6123E">
        <w:rPr>
          <w:rFonts w:ascii="Calibri" w:hAnsi="Calibri"/>
        </w:rPr>
        <w:t>IgD</w:t>
      </w:r>
      <w:r w:rsidRPr="00A6123E">
        <w:rPr>
          <w:rFonts w:ascii="Calibri" w:hAnsi="Calibri"/>
          <w:vertAlign w:val="superscript"/>
        </w:rPr>
        <w:t>+</w:t>
      </w:r>
      <w:r w:rsidRPr="00A6123E">
        <w:rPr>
          <w:rFonts w:ascii="Calibri" w:hAnsi="Calibri"/>
        </w:rPr>
        <w:t xml:space="preserve"> B-cells are also known as natural effector cells. Green box represents significant decrease. Orange box represents significant increase. </w:t>
      </w:r>
      <w:r w:rsidR="004D53DB" w:rsidRPr="004D53DB">
        <w:rPr>
          <w:rFonts w:ascii="Calibri" w:hAnsi="Calibri"/>
        </w:rPr>
        <w:t xml:space="preserve">Statistical differences in frequencies of lymphocyte subsets before and after measles were analysed by two-tailed paired t-test or Wilcoxon signed-rank test. </w:t>
      </w:r>
      <w:r w:rsidRPr="00A6123E">
        <w:rPr>
          <w:rFonts w:ascii="Calibri" w:hAnsi="Calibri"/>
        </w:rPr>
        <w:t>*: P &lt; 0.05; **: P &lt; 0.01; ***: P ≤ 0.001</w:t>
      </w:r>
      <w:r w:rsidR="00883707">
        <w:rPr>
          <w:rFonts w:ascii="Calibri" w:hAnsi="Calibri"/>
        </w:rPr>
        <w:t>.</w:t>
      </w:r>
    </w:p>
    <w:p w14:paraId="75199C51" w14:textId="728EB972" w:rsidR="006D314B" w:rsidRDefault="006D314B" w:rsidP="00883707">
      <w:pPr>
        <w:rPr>
          <w:rFonts w:ascii="Calibri" w:hAnsi="Calibri"/>
        </w:rPr>
      </w:pPr>
      <w:r>
        <w:rPr>
          <w:rFonts w:ascii="Calibri" w:hAnsi="Calibri"/>
        </w:rPr>
        <w:br w:type="page"/>
      </w:r>
    </w:p>
    <w:p w14:paraId="686D4B83" w14:textId="55B2EF22" w:rsidR="006D314B" w:rsidRDefault="00F670EB" w:rsidP="00883707">
      <w:pPr>
        <w:jc w:val="both"/>
        <w:rPr>
          <w:rFonts w:ascii="Calibri" w:hAnsi="Calibri"/>
        </w:rPr>
      </w:pPr>
      <w:r>
        <w:rPr>
          <w:rFonts w:ascii="Calibri" w:hAnsi="Calibri"/>
          <w:noProof/>
          <w:lang w:val="en-US"/>
        </w:rPr>
        <w:lastRenderedPageBreak/>
        <w:drawing>
          <wp:inline distT="0" distB="0" distL="0" distR="0" wp14:anchorId="4C8CD18E" wp14:editId="428E0F04">
            <wp:extent cx="5270500" cy="4839970"/>
            <wp:effectExtent l="0" t="0" r="12700"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hort A gating strategy.tif"/>
                    <pic:cNvPicPr/>
                  </pic:nvPicPr>
                  <pic:blipFill>
                    <a:blip r:embed="rId15">
                      <a:extLst>
                        <a:ext uri="{28A0092B-C50C-407E-A947-70E740481C1C}">
                          <a14:useLocalDpi xmlns:a14="http://schemas.microsoft.com/office/drawing/2010/main" val="0"/>
                        </a:ext>
                      </a:extLst>
                    </a:blip>
                    <a:stretch>
                      <a:fillRect/>
                    </a:stretch>
                  </pic:blipFill>
                  <pic:spPr>
                    <a:xfrm>
                      <a:off x="0" y="0"/>
                      <a:ext cx="5270500" cy="4839970"/>
                    </a:xfrm>
                    <a:prstGeom prst="rect">
                      <a:avLst/>
                    </a:prstGeom>
                  </pic:spPr>
                </pic:pic>
              </a:graphicData>
            </a:graphic>
          </wp:inline>
        </w:drawing>
      </w:r>
    </w:p>
    <w:p w14:paraId="2CDC1AA8" w14:textId="77777777" w:rsidR="00883707" w:rsidRDefault="00883707" w:rsidP="00883707">
      <w:pPr>
        <w:jc w:val="both"/>
        <w:rPr>
          <w:rFonts w:asciiTheme="majorHAnsi" w:hAnsiTheme="majorHAnsi"/>
          <w:b/>
        </w:rPr>
      </w:pPr>
    </w:p>
    <w:p w14:paraId="512FCE88" w14:textId="59FBE8FB" w:rsidR="00F670EB" w:rsidRPr="00DC05AC" w:rsidRDefault="00F670EB" w:rsidP="00883707">
      <w:pPr>
        <w:jc w:val="both"/>
        <w:rPr>
          <w:rFonts w:asciiTheme="majorHAnsi" w:hAnsiTheme="majorHAnsi"/>
        </w:rPr>
      </w:pPr>
      <w:r w:rsidRPr="00F670EB">
        <w:rPr>
          <w:rFonts w:asciiTheme="majorHAnsi" w:hAnsiTheme="majorHAnsi"/>
          <w:b/>
        </w:rPr>
        <w:t>Supplementary Figure 9: Gating strategy to determine naive and memory lymphocyte subsets in Cohort A samples</w:t>
      </w:r>
      <w:r w:rsidR="005D72AF">
        <w:rPr>
          <w:rFonts w:asciiTheme="majorHAnsi" w:hAnsiTheme="majorHAnsi"/>
          <w:b/>
        </w:rPr>
        <w:t>.</w:t>
      </w:r>
      <w:r w:rsidR="00DC05AC">
        <w:rPr>
          <w:rFonts w:asciiTheme="majorHAnsi" w:hAnsiTheme="majorHAnsi"/>
          <w:b/>
        </w:rPr>
        <w:t xml:space="preserve"> </w:t>
      </w:r>
    </w:p>
    <w:p w14:paraId="6AA6E1B6" w14:textId="50014D7B" w:rsidR="005D72AF" w:rsidRDefault="005D72AF" w:rsidP="00883707">
      <w:pPr>
        <w:rPr>
          <w:rFonts w:asciiTheme="majorHAnsi" w:hAnsiTheme="majorHAnsi"/>
          <w:b/>
        </w:rPr>
      </w:pPr>
      <w:r>
        <w:rPr>
          <w:rFonts w:asciiTheme="majorHAnsi" w:hAnsiTheme="majorHAnsi"/>
          <w:b/>
        </w:rPr>
        <w:br w:type="page"/>
      </w:r>
    </w:p>
    <w:p w14:paraId="5D063502" w14:textId="0F28D959" w:rsidR="005D72AF" w:rsidRPr="00F670EB" w:rsidRDefault="005D72AF" w:rsidP="00883707">
      <w:pPr>
        <w:jc w:val="both"/>
        <w:rPr>
          <w:rFonts w:asciiTheme="majorHAnsi" w:hAnsiTheme="majorHAnsi"/>
          <w:b/>
        </w:rPr>
      </w:pPr>
      <w:r>
        <w:rPr>
          <w:rFonts w:asciiTheme="majorHAnsi" w:hAnsiTheme="majorHAnsi"/>
          <w:b/>
          <w:noProof/>
          <w:lang w:val="en-US"/>
        </w:rPr>
        <w:lastRenderedPageBreak/>
        <w:drawing>
          <wp:inline distT="0" distB="0" distL="0" distR="0" wp14:anchorId="2D26E15B" wp14:editId="5EC0F489">
            <wp:extent cx="5270500" cy="6412865"/>
            <wp:effectExtent l="0" t="0" r="1270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hort B gating strategy T-cells.tif"/>
                    <pic:cNvPicPr/>
                  </pic:nvPicPr>
                  <pic:blipFill>
                    <a:blip r:embed="rId16">
                      <a:extLst>
                        <a:ext uri="{28A0092B-C50C-407E-A947-70E740481C1C}">
                          <a14:useLocalDpi xmlns:a14="http://schemas.microsoft.com/office/drawing/2010/main" val="0"/>
                        </a:ext>
                      </a:extLst>
                    </a:blip>
                    <a:stretch>
                      <a:fillRect/>
                    </a:stretch>
                  </pic:blipFill>
                  <pic:spPr>
                    <a:xfrm>
                      <a:off x="0" y="0"/>
                      <a:ext cx="5270500" cy="6412865"/>
                    </a:xfrm>
                    <a:prstGeom prst="rect">
                      <a:avLst/>
                    </a:prstGeom>
                  </pic:spPr>
                </pic:pic>
              </a:graphicData>
            </a:graphic>
          </wp:inline>
        </w:drawing>
      </w:r>
    </w:p>
    <w:p w14:paraId="12F7653E" w14:textId="77777777" w:rsidR="00883707" w:rsidRDefault="00883707" w:rsidP="00883707">
      <w:pPr>
        <w:jc w:val="both"/>
        <w:rPr>
          <w:rFonts w:asciiTheme="majorHAnsi" w:hAnsiTheme="majorHAnsi"/>
          <w:b/>
        </w:rPr>
      </w:pPr>
    </w:p>
    <w:p w14:paraId="63DE7B6A" w14:textId="7C85F1E2" w:rsidR="005D72AF" w:rsidRPr="005D72AF" w:rsidRDefault="005D72AF" w:rsidP="00883707">
      <w:pPr>
        <w:jc w:val="both"/>
        <w:rPr>
          <w:rFonts w:asciiTheme="majorHAnsi" w:hAnsiTheme="majorHAnsi"/>
          <w:b/>
        </w:rPr>
      </w:pPr>
      <w:r w:rsidRPr="005D72AF">
        <w:rPr>
          <w:rFonts w:asciiTheme="majorHAnsi" w:hAnsiTheme="majorHAnsi"/>
          <w:b/>
        </w:rPr>
        <w:t>Supplementary Figure 10: Gating strategy to determine T-cell subsets in Cohort B samples</w:t>
      </w:r>
      <w:r>
        <w:rPr>
          <w:rFonts w:asciiTheme="majorHAnsi" w:hAnsiTheme="majorHAnsi"/>
          <w:b/>
        </w:rPr>
        <w:t xml:space="preserve">. </w:t>
      </w:r>
      <w:r>
        <w:rPr>
          <w:rFonts w:asciiTheme="majorHAnsi" w:hAnsiTheme="majorHAnsi"/>
        </w:rPr>
        <w:t xml:space="preserve">TCRgd: </w:t>
      </w:r>
      <w:r>
        <w:rPr>
          <w:rFonts w:ascii="Calibri" w:hAnsi="Calibri"/>
        </w:rPr>
        <w:t>γδ</w:t>
      </w:r>
      <w:r>
        <w:rPr>
          <w:rFonts w:asciiTheme="majorHAnsi" w:hAnsiTheme="majorHAnsi"/>
        </w:rPr>
        <w:t xml:space="preserve"> T-cell receptor.</w:t>
      </w:r>
      <w:r w:rsidRPr="005D72AF">
        <w:rPr>
          <w:rFonts w:asciiTheme="majorHAnsi" w:hAnsiTheme="majorHAnsi"/>
          <w:b/>
        </w:rPr>
        <w:t xml:space="preserve"> </w:t>
      </w:r>
    </w:p>
    <w:p w14:paraId="1BAFB79D" w14:textId="77777777" w:rsidR="00883707" w:rsidRDefault="005B1F24" w:rsidP="00883707">
      <w:pPr>
        <w:jc w:val="both"/>
        <w:rPr>
          <w:rFonts w:asciiTheme="majorHAnsi" w:hAnsiTheme="majorHAnsi"/>
          <w:b/>
        </w:rPr>
      </w:pPr>
      <w:r>
        <w:rPr>
          <w:rFonts w:ascii="Calibri" w:hAnsi="Calibri"/>
        </w:rPr>
        <w:br w:type="page"/>
      </w:r>
      <w:r w:rsidR="005D72AF">
        <w:rPr>
          <w:rFonts w:ascii="Calibri" w:hAnsi="Calibri"/>
          <w:noProof/>
          <w:lang w:val="en-US"/>
        </w:rPr>
        <w:lastRenderedPageBreak/>
        <w:drawing>
          <wp:inline distT="0" distB="0" distL="0" distR="0" wp14:anchorId="231B9419" wp14:editId="5E16947F">
            <wp:extent cx="5270500" cy="6412865"/>
            <wp:effectExtent l="0" t="0" r="1270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hort B gating strategy Th-cells.tif"/>
                    <pic:cNvPicPr/>
                  </pic:nvPicPr>
                  <pic:blipFill>
                    <a:blip r:embed="rId17">
                      <a:extLst>
                        <a:ext uri="{28A0092B-C50C-407E-A947-70E740481C1C}">
                          <a14:useLocalDpi xmlns:a14="http://schemas.microsoft.com/office/drawing/2010/main" val="0"/>
                        </a:ext>
                      </a:extLst>
                    </a:blip>
                    <a:stretch>
                      <a:fillRect/>
                    </a:stretch>
                  </pic:blipFill>
                  <pic:spPr>
                    <a:xfrm>
                      <a:off x="0" y="0"/>
                      <a:ext cx="5270500" cy="6412865"/>
                    </a:xfrm>
                    <a:prstGeom prst="rect">
                      <a:avLst/>
                    </a:prstGeom>
                  </pic:spPr>
                </pic:pic>
              </a:graphicData>
            </a:graphic>
          </wp:inline>
        </w:drawing>
      </w:r>
    </w:p>
    <w:p w14:paraId="58C34B14" w14:textId="77777777" w:rsidR="00883707" w:rsidRDefault="00883707" w:rsidP="00883707">
      <w:pPr>
        <w:jc w:val="both"/>
        <w:rPr>
          <w:rFonts w:asciiTheme="majorHAnsi" w:hAnsiTheme="majorHAnsi"/>
          <w:b/>
        </w:rPr>
      </w:pPr>
    </w:p>
    <w:p w14:paraId="3A6EF2EC" w14:textId="3F23BAD5" w:rsidR="005D72AF" w:rsidRDefault="005D72AF" w:rsidP="00883707">
      <w:pPr>
        <w:jc w:val="both"/>
        <w:rPr>
          <w:rFonts w:asciiTheme="majorHAnsi" w:hAnsiTheme="majorHAnsi"/>
          <w:b/>
        </w:rPr>
      </w:pPr>
      <w:r>
        <w:rPr>
          <w:rFonts w:asciiTheme="majorHAnsi" w:hAnsiTheme="majorHAnsi"/>
          <w:b/>
        </w:rPr>
        <w:t>Supplementary Figure 11</w:t>
      </w:r>
      <w:r w:rsidRPr="005D72AF">
        <w:rPr>
          <w:rFonts w:asciiTheme="majorHAnsi" w:hAnsiTheme="majorHAnsi"/>
          <w:b/>
        </w:rPr>
        <w:t>: Gating strategy to determine T</w:t>
      </w:r>
      <w:r w:rsidRPr="005D72AF">
        <w:rPr>
          <w:rFonts w:asciiTheme="majorHAnsi" w:hAnsiTheme="majorHAnsi"/>
          <w:b/>
          <w:bCs/>
          <w:smallCaps/>
        </w:rPr>
        <w:t>h</w:t>
      </w:r>
      <w:r w:rsidRPr="005D72AF">
        <w:rPr>
          <w:rFonts w:asciiTheme="majorHAnsi" w:hAnsiTheme="majorHAnsi"/>
          <w:b/>
        </w:rPr>
        <w:t>-cell subsets in Cohort B samples</w:t>
      </w:r>
      <w:r>
        <w:rPr>
          <w:rFonts w:asciiTheme="majorHAnsi" w:hAnsiTheme="majorHAnsi"/>
          <w:b/>
        </w:rPr>
        <w:t>.</w:t>
      </w:r>
    </w:p>
    <w:p w14:paraId="7871FA48" w14:textId="479B9EE8" w:rsidR="005D72AF" w:rsidRDefault="005D72AF" w:rsidP="00883707">
      <w:pPr>
        <w:rPr>
          <w:rFonts w:asciiTheme="majorHAnsi" w:hAnsiTheme="majorHAnsi"/>
          <w:b/>
        </w:rPr>
      </w:pPr>
      <w:r>
        <w:rPr>
          <w:rFonts w:asciiTheme="majorHAnsi" w:hAnsiTheme="majorHAnsi"/>
          <w:b/>
        </w:rPr>
        <w:br w:type="page"/>
      </w:r>
    </w:p>
    <w:p w14:paraId="382C02C6" w14:textId="6B8E62B9" w:rsidR="005D72AF" w:rsidRDefault="005D72AF" w:rsidP="00883707">
      <w:pPr>
        <w:jc w:val="both"/>
        <w:rPr>
          <w:rFonts w:asciiTheme="majorHAnsi" w:hAnsiTheme="majorHAnsi"/>
        </w:rPr>
      </w:pPr>
      <w:r>
        <w:rPr>
          <w:rFonts w:asciiTheme="majorHAnsi" w:hAnsiTheme="majorHAnsi"/>
          <w:noProof/>
          <w:lang w:val="en-US"/>
        </w:rPr>
        <w:lastRenderedPageBreak/>
        <w:drawing>
          <wp:inline distT="0" distB="0" distL="0" distR="0" wp14:anchorId="506E4C84" wp14:editId="03E37BE4">
            <wp:extent cx="5270500" cy="6406515"/>
            <wp:effectExtent l="0" t="0" r="1270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hort B gating strategy B-cells.tif"/>
                    <pic:cNvPicPr/>
                  </pic:nvPicPr>
                  <pic:blipFill>
                    <a:blip r:embed="rId18">
                      <a:extLst>
                        <a:ext uri="{28A0092B-C50C-407E-A947-70E740481C1C}">
                          <a14:useLocalDpi xmlns:a14="http://schemas.microsoft.com/office/drawing/2010/main" val="0"/>
                        </a:ext>
                      </a:extLst>
                    </a:blip>
                    <a:stretch>
                      <a:fillRect/>
                    </a:stretch>
                  </pic:blipFill>
                  <pic:spPr>
                    <a:xfrm>
                      <a:off x="0" y="0"/>
                      <a:ext cx="5270500" cy="6406515"/>
                    </a:xfrm>
                    <a:prstGeom prst="rect">
                      <a:avLst/>
                    </a:prstGeom>
                  </pic:spPr>
                </pic:pic>
              </a:graphicData>
            </a:graphic>
          </wp:inline>
        </w:drawing>
      </w:r>
    </w:p>
    <w:p w14:paraId="572425F7" w14:textId="77777777" w:rsidR="00883707" w:rsidRDefault="00883707" w:rsidP="00883707">
      <w:pPr>
        <w:jc w:val="both"/>
        <w:rPr>
          <w:rFonts w:asciiTheme="majorHAnsi" w:hAnsiTheme="majorHAnsi"/>
          <w:b/>
        </w:rPr>
      </w:pPr>
    </w:p>
    <w:p w14:paraId="2A4DB273" w14:textId="449EDC23" w:rsidR="005D72AF" w:rsidRPr="005D72AF" w:rsidRDefault="005D72AF" w:rsidP="00883707">
      <w:pPr>
        <w:jc w:val="both"/>
        <w:rPr>
          <w:rFonts w:asciiTheme="majorHAnsi" w:hAnsiTheme="majorHAnsi"/>
          <w:b/>
        </w:rPr>
      </w:pPr>
      <w:r w:rsidRPr="005D72AF">
        <w:rPr>
          <w:rFonts w:asciiTheme="majorHAnsi" w:hAnsiTheme="majorHAnsi"/>
          <w:b/>
        </w:rPr>
        <w:t>Supplementary Figure 12: Gating strategy to determine B-cell subsets in Cohort B samples</w:t>
      </w:r>
      <w:r>
        <w:rPr>
          <w:rFonts w:asciiTheme="majorHAnsi" w:hAnsiTheme="majorHAnsi"/>
          <w:b/>
        </w:rPr>
        <w:t>.</w:t>
      </w:r>
    </w:p>
    <w:p w14:paraId="3AB419C7" w14:textId="77777777" w:rsidR="005D72AF" w:rsidRDefault="005D72AF" w:rsidP="00883707">
      <w:pPr>
        <w:jc w:val="both"/>
        <w:rPr>
          <w:rFonts w:asciiTheme="majorHAnsi" w:hAnsiTheme="majorHAnsi"/>
        </w:rPr>
      </w:pPr>
    </w:p>
    <w:p w14:paraId="2A44C14F" w14:textId="4D6A0C98" w:rsidR="005D72AF" w:rsidRPr="005D72AF" w:rsidRDefault="005D72AF" w:rsidP="00883707">
      <w:pPr>
        <w:jc w:val="both"/>
        <w:rPr>
          <w:rFonts w:asciiTheme="majorHAnsi" w:hAnsiTheme="majorHAnsi"/>
          <w:b/>
        </w:rPr>
      </w:pPr>
      <w:r w:rsidRPr="005D72AF">
        <w:rPr>
          <w:rFonts w:asciiTheme="majorHAnsi" w:hAnsiTheme="majorHAnsi"/>
          <w:b/>
        </w:rPr>
        <w:t xml:space="preserve"> </w:t>
      </w:r>
    </w:p>
    <w:p w14:paraId="64F52DA9" w14:textId="16890F45" w:rsidR="005D72AF" w:rsidRDefault="005D72AF" w:rsidP="00883707">
      <w:pPr>
        <w:rPr>
          <w:rFonts w:ascii="Calibri" w:hAnsi="Calibri"/>
        </w:rPr>
      </w:pPr>
      <w:r>
        <w:rPr>
          <w:rFonts w:ascii="Calibri" w:hAnsi="Calibri"/>
        </w:rPr>
        <w:br w:type="page"/>
      </w:r>
    </w:p>
    <w:p w14:paraId="3CA3599D" w14:textId="4CD56DCF" w:rsidR="005B1F24" w:rsidRDefault="002C6F87" w:rsidP="00883707">
      <w:pPr>
        <w:jc w:val="both"/>
        <w:rPr>
          <w:rFonts w:asciiTheme="majorHAnsi" w:hAnsiTheme="majorHAnsi"/>
        </w:rPr>
      </w:pPr>
      <w:r>
        <w:rPr>
          <w:rFonts w:asciiTheme="majorHAnsi" w:hAnsiTheme="majorHAnsi"/>
          <w:b/>
        </w:rPr>
        <w:lastRenderedPageBreak/>
        <w:t>Supplementary Table 1</w:t>
      </w:r>
      <w:r w:rsidR="005B1F24">
        <w:rPr>
          <w:rFonts w:asciiTheme="majorHAnsi" w:hAnsiTheme="majorHAnsi"/>
          <w:b/>
        </w:rPr>
        <w:t xml:space="preserve">: List of antibodies used in this study. </w:t>
      </w:r>
      <w:r w:rsidR="005B1F24">
        <w:rPr>
          <w:rFonts w:asciiTheme="majorHAnsi" w:hAnsiTheme="majorHAnsi"/>
        </w:rPr>
        <w:t xml:space="preserve">Details </w:t>
      </w:r>
      <w:r w:rsidR="005B1F24" w:rsidRPr="007F46AA">
        <w:rPr>
          <w:rFonts w:asciiTheme="majorHAnsi" w:hAnsiTheme="majorHAnsi"/>
        </w:rPr>
        <w:t xml:space="preserve">of clones and suppliers: Laksono BM, </w:t>
      </w:r>
      <w:r w:rsidR="005B1F24" w:rsidRPr="007F46AA">
        <w:rPr>
          <w:rFonts w:asciiTheme="majorHAnsi" w:hAnsiTheme="majorHAnsi"/>
          <w:i/>
        </w:rPr>
        <w:t>et al</w:t>
      </w:r>
      <w:r w:rsidR="005B1F24" w:rsidRPr="007F46AA">
        <w:rPr>
          <w:rFonts w:asciiTheme="majorHAnsi" w:hAnsiTheme="majorHAnsi"/>
        </w:rPr>
        <w:t>. In vitro measles virus infection of human lymphocyte subsets</w:t>
      </w:r>
      <w:r w:rsidR="005B1F24">
        <w:rPr>
          <w:rFonts w:asciiTheme="majorHAnsi" w:hAnsiTheme="majorHAnsi"/>
        </w:rPr>
        <w:t xml:space="preserve"> </w:t>
      </w:r>
      <w:r w:rsidR="005B1F24" w:rsidRPr="007F46AA">
        <w:rPr>
          <w:rFonts w:asciiTheme="majorHAnsi" w:hAnsiTheme="majorHAnsi"/>
        </w:rPr>
        <w:t>demonstrates high susceptibility and permissiveness of both naive a</w:t>
      </w:r>
      <w:r w:rsidR="005B1F24">
        <w:rPr>
          <w:rFonts w:asciiTheme="majorHAnsi" w:hAnsiTheme="majorHAnsi"/>
        </w:rPr>
        <w:t xml:space="preserve">nd memory B-cells. J Virol 92, 8 </w:t>
      </w:r>
      <w:r w:rsidR="005B1F24" w:rsidRPr="007F46AA">
        <w:rPr>
          <w:rFonts w:asciiTheme="majorHAnsi" w:hAnsiTheme="majorHAnsi"/>
        </w:rPr>
        <w:t>(2018).</w:t>
      </w:r>
    </w:p>
    <w:p w14:paraId="61B1A769" w14:textId="77777777" w:rsidR="005B1F24" w:rsidRPr="007F46AA" w:rsidRDefault="005B1F24" w:rsidP="00883707">
      <w:pPr>
        <w:jc w:val="both"/>
        <w:rPr>
          <w:rFonts w:asciiTheme="majorHAnsi" w:hAnsiTheme="majorHAnsi"/>
        </w:rPr>
      </w:pPr>
    </w:p>
    <w:tbl>
      <w:tblPr>
        <w:tblStyle w:val="TableGrid"/>
        <w:tblW w:w="9442" w:type="dxa"/>
        <w:jc w:val="center"/>
        <w:tblLook w:val="04A0" w:firstRow="1" w:lastRow="0" w:firstColumn="1" w:lastColumn="0" w:noHBand="0" w:noVBand="1"/>
      </w:tblPr>
      <w:tblGrid>
        <w:gridCol w:w="1485"/>
        <w:gridCol w:w="2342"/>
        <w:gridCol w:w="1985"/>
        <w:gridCol w:w="1933"/>
        <w:gridCol w:w="1697"/>
      </w:tblGrid>
      <w:tr w:rsidR="005B1F24" w:rsidRPr="007F46AA" w14:paraId="0F548C5C" w14:textId="77777777" w:rsidTr="00883707">
        <w:trPr>
          <w:jc w:val="center"/>
        </w:trPr>
        <w:tc>
          <w:tcPr>
            <w:tcW w:w="1485" w:type="dxa"/>
            <w:vMerge w:val="restart"/>
            <w:vAlign w:val="center"/>
          </w:tcPr>
          <w:p w14:paraId="77705D01" w14:textId="77777777" w:rsidR="005B1F24" w:rsidRPr="007F46AA" w:rsidRDefault="005B1F24" w:rsidP="00883707">
            <w:pPr>
              <w:jc w:val="center"/>
              <w:rPr>
                <w:rFonts w:ascii="Calibri" w:hAnsi="Calibri"/>
                <w:b/>
                <w:sz w:val="20"/>
                <w:szCs w:val="20"/>
              </w:rPr>
            </w:pPr>
            <w:r w:rsidRPr="007F46AA">
              <w:rPr>
                <w:rFonts w:ascii="Calibri" w:hAnsi="Calibri"/>
                <w:b/>
                <w:sz w:val="20"/>
                <w:szCs w:val="20"/>
              </w:rPr>
              <w:t>Fluorochrome</w:t>
            </w:r>
          </w:p>
        </w:tc>
        <w:tc>
          <w:tcPr>
            <w:tcW w:w="2342" w:type="dxa"/>
            <w:vMerge w:val="restart"/>
            <w:vAlign w:val="center"/>
          </w:tcPr>
          <w:p w14:paraId="2CACE4DA" w14:textId="77777777" w:rsidR="005B1F24" w:rsidRPr="007F46AA" w:rsidRDefault="005B1F24" w:rsidP="00883707">
            <w:pPr>
              <w:jc w:val="center"/>
              <w:rPr>
                <w:rFonts w:ascii="Calibri" w:hAnsi="Calibri"/>
                <w:b/>
                <w:sz w:val="20"/>
                <w:szCs w:val="20"/>
              </w:rPr>
            </w:pPr>
            <w:r w:rsidRPr="007F46AA">
              <w:rPr>
                <w:rFonts w:ascii="Calibri" w:hAnsi="Calibri"/>
                <w:b/>
                <w:sz w:val="20"/>
                <w:szCs w:val="20"/>
              </w:rPr>
              <w:t>Cohort A</w:t>
            </w:r>
            <w:r>
              <w:rPr>
                <w:rFonts w:ascii="Calibri" w:hAnsi="Calibri"/>
                <w:b/>
                <w:sz w:val="20"/>
                <w:szCs w:val="20"/>
              </w:rPr>
              <w:t xml:space="preserve"> </w:t>
            </w:r>
          </w:p>
        </w:tc>
        <w:tc>
          <w:tcPr>
            <w:tcW w:w="5615" w:type="dxa"/>
            <w:gridSpan w:val="3"/>
          </w:tcPr>
          <w:p w14:paraId="7FD451D6" w14:textId="77777777" w:rsidR="005B1F24" w:rsidRPr="007F46AA" w:rsidRDefault="005B1F24" w:rsidP="00883707">
            <w:pPr>
              <w:jc w:val="center"/>
              <w:rPr>
                <w:rFonts w:ascii="Calibri" w:hAnsi="Calibri"/>
                <w:b/>
                <w:sz w:val="20"/>
                <w:szCs w:val="20"/>
              </w:rPr>
            </w:pPr>
            <w:r w:rsidRPr="007F46AA">
              <w:rPr>
                <w:rFonts w:ascii="Calibri" w:hAnsi="Calibri"/>
                <w:b/>
                <w:sz w:val="20"/>
                <w:szCs w:val="20"/>
              </w:rPr>
              <w:t>Cohort B</w:t>
            </w:r>
            <w:r>
              <w:rPr>
                <w:rFonts w:ascii="Calibri" w:hAnsi="Calibri"/>
                <w:b/>
                <w:sz w:val="20"/>
                <w:szCs w:val="20"/>
              </w:rPr>
              <w:t xml:space="preserve"> </w:t>
            </w:r>
          </w:p>
        </w:tc>
      </w:tr>
      <w:tr w:rsidR="005B1F24" w:rsidRPr="007F46AA" w14:paraId="3E40EF57" w14:textId="77777777" w:rsidTr="00883707">
        <w:trPr>
          <w:jc w:val="center"/>
        </w:trPr>
        <w:tc>
          <w:tcPr>
            <w:tcW w:w="1485" w:type="dxa"/>
            <w:vMerge/>
          </w:tcPr>
          <w:p w14:paraId="39996496" w14:textId="77777777" w:rsidR="005B1F24" w:rsidRPr="007F46AA" w:rsidRDefault="005B1F24" w:rsidP="00883707">
            <w:pPr>
              <w:jc w:val="center"/>
              <w:rPr>
                <w:rFonts w:ascii="Calibri" w:hAnsi="Calibri"/>
                <w:b/>
                <w:sz w:val="20"/>
                <w:szCs w:val="20"/>
              </w:rPr>
            </w:pPr>
          </w:p>
        </w:tc>
        <w:tc>
          <w:tcPr>
            <w:tcW w:w="2342" w:type="dxa"/>
            <w:vMerge/>
          </w:tcPr>
          <w:p w14:paraId="4CB4AD0D" w14:textId="77777777" w:rsidR="005B1F24" w:rsidRPr="007F46AA" w:rsidRDefault="005B1F24" w:rsidP="00883707">
            <w:pPr>
              <w:jc w:val="center"/>
              <w:rPr>
                <w:rFonts w:ascii="Calibri" w:hAnsi="Calibri"/>
                <w:b/>
                <w:sz w:val="20"/>
                <w:szCs w:val="20"/>
              </w:rPr>
            </w:pPr>
          </w:p>
        </w:tc>
        <w:tc>
          <w:tcPr>
            <w:tcW w:w="1985" w:type="dxa"/>
          </w:tcPr>
          <w:p w14:paraId="4A5FAE67" w14:textId="77777777" w:rsidR="005B1F24" w:rsidRPr="007F46AA" w:rsidRDefault="005B1F24" w:rsidP="00883707">
            <w:pPr>
              <w:jc w:val="center"/>
              <w:rPr>
                <w:rFonts w:ascii="Calibri" w:hAnsi="Calibri"/>
                <w:b/>
                <w:sz w:val="20"/>
                <w:szCs w:val="20"/>
              </w:rPr>
            </w:pPr>
            <w:r w:rsidRPr="007F46AA">
              <w:rPr>
                <w:rFonts w:ascii="Calibri" w:hAnsi="Calibri"/>
                <w:b/>
                <w:sz w:val="20"/>
                <w:szCs w:val="20"/>
              </w:rPr>
              <w:t>Staining Set 1</w:t>
            </w:r>
          </w:p>
        </w:tc>
        <w:tc>
          <w:tcPr>
            <w:tcW w:w="1933" w:type="dxa"/>
          </w:tcPr>
          <w:p w14:paraId="53B287B9" w14:textId="77777777" w:rsidR="005B1F24" w:rsidRPr="007F46AA" w:rsidRDefault="005B1F24" w:rsidP="00883707">
            <w:pPr>
              <w:jc w:val="center"/>
              <w:rPr>
                <w:rFonts w:ascii="Calibri" w:hAnsi="Calibri"/>
                <w:b/>
                <w:sz w:val="20"/>
                <w:szCs w:val="20"/>
              </w:rPr>
            </w:pPr>
            <w:r w:rsidRPr="007F46AA">
              <w:rPr>
                <w:rFonts w:ascii="Calibri" w:hAnsi="Calibri"/>
                <w:b/>
                <w:sz w:val="20"/>
                <w:szCs w:val="20"/>
              </w:rPr>
              <w:t>Staining Set 2</w:t>
            </w:r>
          </w:p>
        </w:tc>
        <w:tc>
          <w:tcPr>
            <w:tcW w:w="1697" w:type="dxa"/>
          </w:tcPr>
          <w:p w14:paraId="030DAA0A" w14:textId="77777777" w:rsidR="005B1F24" w:rsidRPr="007F46AA" w:rsidRDefault="005B1F24" w:rsidP="00883707">
            <w:pPr>
              <w:jc w:val="center"/>
              <w:rPr>
                <w:rFonts w:ascii="Calibri" w:hAnsi="Calibri"/>
                <w:b/>
                <w:sz w:val="20"/>
                <w:szCs w:val="20"/>
              </w:rPr>
            </w:pPr>
            <w:r w:rsidRPr="007F46AA">
              <w:rPr>
                <w:rFonts w:ascii="Calibri" w:hAnsi="Calibri"/>
                <w:b/>
                <w:sz w:val="20"/>
                <w:szCs w:val="20"/>
              </w:rPr>
              <w:t>Staining Set 3</w:t>
            </w:r>
          </w:p>
        </w:tc>
      </w:tr>
      <w:tr w:rsidR="005B1F24" w:rsidRPr="007F46AA" w14:paraId="790F0626" w14:textId="77777777" w:rsidTr="00883707">
        <w:trPr>
          <w:jc w:val="center"/>
        </w:trPr>
        <w:tc>
          <w:tcPr>
            <w:tcW w:w="1485" w:type="dxa"/>
          </w:tcPr>
          <w:p w14:paraId="5C2AAECE" w14:textId="77777777" w:rsidR="005B1F24" w:rsidRPr="007F46AA" w:rsidRDefault="005B1F24" w:rsidP="00883707">
            <w:pPr>
              <w:jc w:val="center"/>
              <w:rPr>
                <w:rFonts w:ascii="Calibri" w:hAnsi="Calibri"/>
                <w:sz w:val="20"/>
                <w:szCs w:val="20"/>
              </w:rPr>
            </w:pPr>
            <w:r w:rsidRPr="007F46AA">
              <w:rPr>
                <w:rFonts w:ascii="Calibri" w:hAnsi="Calibri"/>
                <w:sz w:val="20"/>
                <w:szCs w:val="20"/>
              </w:rPr>
              <w:t>BV421</w:t>
            </w:r>
          </w:p>
        </w:tc>
        <w:tc>
          <w:tcPr>
            <w:tcW w:w="2342" w:type="dxa"/>
          </w:tcPr>
          <w:p w14:paraId="6C80E947" w14:textId="77777777" w:rsidR="005B1F24" w:rsidRPr="007F46AA" w:rsidRDefault="005B1F24" w:rsidP="00883707">
            <w:pPr>
              <w:jc w:val="center"/>
              <w:rPr>
                <w:rFonts w:ascii="Calibri" w:hAnsi="Calibri"/>
                <w:sz w:val="20"/>
                <w:szCs w:val="20"/>
              </w:rPr>
            </w:pPr>
            <w:r w:rsidRPr="007F46AA">
              <w:rPr>
                <w:rFonts w:ascii="Calibri" w:hAnsi="Calibri"/>
                <w:sz w:val="20"/>
                <w:szCs w:val="20"/>
              </w:rPr>
              <w:t>CD27</w:t>
            </w:r>
            <w:r>
              <w:rPr>
                <w:rFonts w:ascii="Calibri" w:hAnsi="Calibri"/>
                <w:sz w:val="20"/>
                <w:szCs w:val="20"/>
              </w:rPr>
              <w:t xml:space="preserve"> (1:25; BD Biosciences, cat. no. 562513)</w:t>
            </w:r>
          </w:p>
        </w:tc>
        <w:tc>
          <w:tcPr>
            <w:tcW w:w="1985" w:type="dxa"/>
          </w:tcPr>
          <w:p w14:paraId="28823DD5" w14:textId="77777777" w:rsidR="005B1F24" w:rsidRPr="007F46AA" w:rsidRDefault="005B1F24" w:rsidP="00883707">
            <w:pPr>
              <w:jc w:val="center"/>
              <w:rPr>
                <w:rFonts w:ascii="Calibri" w:hAnsi="Calibri"/>
                <w:sz w:val="20"/>
                <w:szCs w:val="20"/>
              </w:rPr>
            </w:pPr>
            <w:r w:rsidRPr="007F46AA">
              <w:rPr>
                <w:rFonts w:ascii="Calibri" w:hAnsi="Calibri"/>
                <w:sz w:val="20"/>
                <w:szCs w:val="20"/>
              </w:rPr>
              <w:t>CD27</w:t>
            </w:r>
            <w:r>
              <w:rPr>
                <w:rFonts w:ascii="Calibri" w:hAnsi="Calibri"/>
                <w:sz w:val="20"/>
                <w:szCs w:val="20"/>
              </w:rPr>
              <w:t xml:space="preserve"> (1:25; BD Biosciences, cat. no. 562513)</w:t>
            </w:r>
          </w:p>
        </w:tc>
        <w:tc>
          <w:tcPr>
            <w:tcW w:w="1933" w:type="dxa"/>
          </w:tcPr>
          <w:p w14:paraId="278AE3BB" w14:textId="77777777" w:rsidR="005B1F24" w:rsidRPr="007F46AA" w:rsidRDefault="005B1F24" w:rsidP="00883707">
            <w:pPr>
              <w:jc w:val="center"/>
              <w:rPr>
                <w:rFonts w:ascii="Calibri" w:hAnsi="Calibri"/>
                <w:sz w:val="20"/>
                <w:szCs w:val="20"/>
              </w:rPr>
            </w:pPr>
            <w:r w:rsidRPr="007F46AA">
              <w:rPr>
                <w:rFonts w:ascii="Calibri" w:hAnsi="Calibri"/>
                <w:sz w:val="20"/>
                <w:szCs w:val="20"/>
              </w:rPr>
              <w:t>CD27</w:t>
            </w:r>
            <w:r>
              <w:rPr>
                <w:rFonts w:ascii="Calibri" w:hAnsi="Calibri"/>
                <w:sz w:val="20"/>
                <w:szCs w:val="20"/>
              </w:rPr>
              <w:t xml:space="preserve"> (1:10; BD Biosciences, cat. no. 562513)</w:t>
            </w:r>
          </w:p>
        </w:tc>
        <w:tc>
          <w:tcPr>
            <w:tcW w:w="1697" w:type="dxa"/>
          </w:tcPr>
          <w:p w14:paraId="164F3E20" w14:textId="77777777" w:rsidR="005B1F24" w:rsidRPr="007F46AA" w:rsidRDefault="005B1F24" w:rsidP="00883707">
            <w:pPr>
              <w:jc w:val="center"/>
              <w:rPr>
                <w:rFonts w:ascii="Calibri" w:hAnsi="Calibri"/>
                <w:sz w:val="20"/>
                <w:szCs w:val="20"/>
              </w:rPr>
            </w:pPr>
            <w:r w:rsidRPr="007F46AA">
              <w:rPr>
                <w:rFonts w:ascii="Calibri" w:hAnsi="Calibri"/>
                <w:sz w:val="20"/>
                <w:szCs w:val="20"/>
              </w:rPr>
              <w:t>CD25</w:t>
            </w:r>
            <w:r>
              <w:rPr>
                <w:rFonts w:ascii="Calibri" w:hAnsi="Calibri"/>
                <w:sz w:val="20"/>
                <w:szCs w:val="20"/>
              </w:rPr>
              <w:t xml:space="preserve"> (1:20; BioLegend, cat. no. 302630)</w:t>
            </w:r>
          </w:p>
        </w:tc>
      </w:tr>
      <w:tr w:rsidR="005B1F24" w:rsidRPr="007F46AA" w14:paraId="4C1429F2" w14:textId="77777777" w:rsidTr="00883707">
        <w:trPr>
          <w:jc w:val="center"/>
        </w:trPr>
        <w:tc>
          <w:tcPr>
            <w:tcW w:w="1485" w:type="dxa"/>
          </w:tcPr>
          <w:p w14:paraId="506BC64E" w14:textId="77777777" w:rsidR="005B1F24" w:rsidRPr="007F46AA" w:rsidRDefault="005B1F24" w:rsidP="00883707">
            <w:pPr>
              <w:jc w:val="center"/>
              <w:rPr>
                <w:rFonts w:ascii="Calibri" w:hAnsi="Calibri"/>
                <w:sz w:val="20"/>
                <w:szCs w:val="20"/>
              </w:rPr>
            </w:pPr>
            <w:r w:rsidRPr="007F46AA">
              <w:rPr>
                <w:rFonts w:ascii="Calibri" w:hAnsi="Calibri"/>
                <w:sz w:val="20"/>
                <w:szCs w:val="20"/>
              </w:rPr>
              <w:t>Aqua</w:t>
            </w:r>
          </w:p>
        </w:tc>
        <w:tc>
          <w:tcPr>
            <w:tcW w:w="2342" w:type="dxa"/>
          </w:tcPr>
          <w:p w14:paraId="51A38AC2" w14:textId="77777777" w:rsidR="005B1F24" w:rsidRPr="007F46AA" w:rsidRDefault="005B1F24" w:rsidP="00883707">
            <w:pPr>
              <w:jc w:val="center"/>
              <w:rPr>
                <w:rFonts w:ascii="Calibri" w:hAnsi="Calibri"/>
                <w:sz w:val="20"/>
                <w:szCs w:val="20"/>
              </w:rPr>
            </w:pPr>
            <w:r w:rsidRPr="007F46AA">
              <w:rPr>
                <w:rFonts w:ascii="Calibri" w:hAnsi="Calibri"/>
                <w:sz w:val="20"/>
                <w:szCs w:val="20"/>
              </w:rPr>
              <w:t>LIVE/DEAD</w:t>
            </w:r>
            <w:r>
              <w:rPr>
                <w:rFonts w:ascii="Calibri" w:hAnsi="Calibri"/>
                <w:sz w:val="20"/>
                <w:szCs w:val="20"/>
              </w:rPr>
              <w:t xml:space="preserve"> (1:50; Life Technologies, cat. no. L34967)</w:t>
            </w:r>
          </w:p>
        </w:tc>
        <w:tc>
          <w:tcPr>
            <w:tcW w:w="1985" w:type="dxa"/>
          </w:tcPr>
          <w:p w14:paraId="0A0F07F3" w14:textId="77777777" w:rsidR="005B1F24" w:rsidRPr="007F46AA" w:rsidRDefault="005B1F24" w:rsidP="00883707">
            <w:pPr>
              <w:jc w:val="center"/>
              <w:rPr>
                <w:rFonts w:ascii="Calibri" w:hAnsi="Calibri"/>
                <w:sz w:val="20"/>
                <w:szCs w:val="20"/>
              </w:rPr>
            </w:pPr>
          </w:p>
        </w:tc>
        <w:tc>
          <w:tcPr>
            <w:tcW w:w="1933" w:type="dxa"/>
          </w:tcPr>
          <w:p w14:paraId="7DB0B616" w14:textId="77777777" w:rsidR="005B1F24" w:rsidRPr="007F46AA" w:rsidRDefault="005B1F24" w:rsidP="00883707">
            <w:pPr>
              <w:jc w:val="center"/>
              <w:rPr>
                <w:rFonts w:ascii="Calibri" w:hAnsi="Calibri"/>
                <w:sz w:val="20"/>
                <w:szCs w:val="20"/>
              </w:rPr>
            </w:pPr>
          </w:p>
        </w:tc>
        <w:tc>
          <w:tcPr>
            <w:tcW w:w="1697" w:type="dxa"/>
          </w:tcPr>
          <w:p w14:paraId="7F466EC3" w14:textId="77777777" w:rsidR="005B1F24" w:rsidRPr="007F46AA" w:rsidRDefault="005B1F24" w:rsidP="00883707">
            <w:pPr>
              <w:jc w:val="center"/>
              <w:rPr>
                <w:rFonts w:ascii="Calibri" w:hAnsi="Calibri"/>
                <w:sz w:val="20"/>
                <w:szCs w:val="20"/>
              </w:rPr>
            </w:pPr>
          </w:p>
        </w:tc>
      </w:tr>
      <w:tr w:rsidR="005B1F24" w:rsidRPr="007F46AA" w14:paraId="39E8127C" w14:textId="77777777" w:rsidTr="00883707">
        <w:trPr>
          <w:jc w:val="center"/>
        </w:trPr>
        <w:tc>
          <w:tcPr>
            <w:tcW w:w="1485" w:type="dxa"/>
          </w:tcPr>
          <w:p w14:paraId="3C9A138A" w14:textId="77777777" w:rsidR="005B1F24" w:rsidRPr="007F46AA" w:rsidRDefault="005B1F24" w:rsidP="00883707">
            <w:pPr>
              <w:jc w:val="center"/>
              <w:rPr>
                <w:rFonts w:ascii="Calibri" w:hAnsi="Calibri"/>
                <w:sz w:val="20"/>
                <w:szCs w:val="20"/>
              </w:rPr>
            </w:pPr>
            <w:r w:rsidRPr="007F46AA">
              <w:rPr>
                <w:rFonts w:ascii="Calibri" w:hAnsi="Calibri"/>
                <w:sz w:val="20"/>
                <w:szCs w:val="20"/>
              </w:rPr>
              <w:t>BV510</w:t>
            </w:r>
          </w:p>
        </w:tc>
        <w:tc>
          <w:tcPr>
            <w:tcW w:w="2342" w:type="dxa"/>
          </w:tcPr>
          <w:p w14:paraId="7DEC5AD0" w14:textId="77777777" w:rsidR="005B1F24" w:rsidRPr="007F46AA" w:rsidRDefault="005B1F24" w:rsidP="00883707">
            <w:pPr>
              <w:jc w:val="center"/>
              <w:rPr>
                <w:rFonts w:ascii="Calibri" w:hAnsi="Calibri"/>
                <w:sz w:val="20"/>
                <w:szCs w:val="20"/>
              </w:rPr>
            </w:pPr>
          </w:p>
        </w:tc>
        <w:tc>
          <w:tcPr>
            <w:tcW w:w="1985" w:type="dxa"/>
          </w:tcPr>
          <w:p w14:paraId="6F64DAEA" w14:textId="77777777" w:rsidR="005B1F24" w:rsidRPr="007F46AA" w:rsidRDefault="005B1F24" w:rsidP="00883707">
            <w:pPr>
              <w:jc w:val="center"/>
              <w:rPr>
                <w:rFonts w:ascii="Calibri" w:hAnsi="Calibri"/>
                <w:sz w:val="20"/>
                <w:szCs w:val="20"/>
              </w:rPr>
            </w:pPr>
            <w:r w:rsidRPr="007F46AA">
              <w:rPr>
                <w:rFonts w:ascii="Calibri" w:hAnsi="Calibri"/>
                <w:sz w:val="20"/>
                <w:szCs w:val="20"/>
              </w:rPr>
              <w:t>IgM</w:t>
            </w:r>
            <w:r>
              <w:rPr>
                <w:rFonts w:ascii="Calibri" w:hAnsi="Calibri"/>
                <w:sz w:val="20"/>
                <w:szCs w:val="20"/>
              </w:rPr>
              <w:t xml:space="preserve"> (1:20; BioLegend, cat. no. 314522)</w:t>
            </w:r>
          </w:p>
        </w:tc>
        <w:tc>
          <w:tcPr>
            <w:tcW w:w="1933" w:type="dxa"/>
          </w:tcPr>
          <w:p w14:paraId="0B2F3EDE" w14:textId="77777777" w:rsidR="005B1F24" w:rsidRPr="007F46AA" w:rsidRDefault="005B1F24" w:rsidP="00883707">
            <w:pPr>
              <w:jc w:val="center"/>
              <w:rPr>
                <w:rFonts w:ascii="Calibri" w:hAnsi="Calibri"/>
                <w:sz w:val="20"/>
                <w:szCs w:val="20"/>
              </w:rPr>
            </w:pPr>
            <w:r w:rsidRPr="007F46AA">
              <w:rPr>
                <w:rFonts w:ascii="Calibri" w:hAnsi="Calibri"/>
                <w:sz w:val="20"/>
                <w:szCs w:val="20"/>
              </w:rPr>
              <w:t>CD4</w:t>
            </w:r>
            <w:r>
              <w:rPr>
                <w:rFonts w:ascii="Calibri" w:hAnsi="Calibri"/>
                <w:sz w:val="20"/>
                <w:szCs w:val="20"/>
              </w:rPr>
              <w:t xml:space="preserve"> (1:30; BioLegend, cat. no. 317444)</w:t>
            </w:r>
          </w:p>
        </w:tc>
        <w:tc>
          <w:tcPr>
            <w:tcW w:w="1697" w:type="dxa"/>
          </w:tcPr>
          <w:p w14:paraId="2E8B87DE" w14:textId="77777777" w:rsidR="005B1F24" w:rsidRPr="007F46AA" w:rsidRDefault="005B1F24" w:rsidP="00883707">
            <w:pPr>
              <w:jc w:val="center"/>
              <w:rPr>
                <w:rFonts w:ascii="Calibri" w:hAnsi="Calibri"/>
                <w:sz w:val="20"/>
                <w:szCs w:val="20"/>
              </w:rPr>
            </w:pPr>
            <w:r w:rsidRPr="007F46AA">
              <w:rPr>
                <w:rFonts w:ascii="Calibri" w:hAnsi="Calibri"/>
                <w:sz w:val="20"/>
                <w:szCs w:val="20"/>
              </w:rPr>
              <w:t>CD4</w:t>
            </w:r>
            <w:r>
              <w:rPr>
                <w:rFonts w:ascii="Calibri" w:hAnsi="Calibri"/>
                <w:sz w:val="20"/>
                <w:szCs w:val="20"/>
              </w:rPr>
              <w:t xml:space="preserve"> (1:30; BioLegend, cat. no. 317444)</w:t>
            </w:r>
          </w:p>
        </w:tc>
      </w:tr>
      <w:tr w:rsidR="005B1F24" w:rsidRPr="007F46AA" w14:paraId="0543360A" w14:textId="77777777" w:rsidTr="00883707">
        <w:trPr>
          <w:jc w:val="center"/>
        </w:trPr>
        <w:tc>
          <w:tcPr>
            <w:tcW w:w="1485" w:type="dxa"/>
          </w:tcPr>
          <w:p w14:paraId="1719F9CA" w14:textId="77777777" w:rsidR="005B1F24" w:rsidRPr="007F46AA" w:rsidRDefault="005B1F24" w:rsidP="00883707">
            <w:pPr>
              <w:jc w:val="center"/>
              <w:rPr>
                <w:rFonts w:ascii="Calibri" w:hAnsi="Calibri"/>
                <w:sz w:val="20"/>
                <w:szCs w:val="20"/>
              </w:rPr>
            </w:pPr>
            <w:r w:rsidRPr="007F46AA">
              <w:rPr>
                <w:rFonts w:ascii="Calibri" w:hAnsi="Calibri"/>
                <w:sz w:val="20"/>
                <w:szCs w:val="20"/>
              </w:rPr>
              <w:t>BV605</w:t>
            </w:r>
          </w:p>
        </w:tc>
        <w:tc>
          <w:tcPr>
            <w:tcW w:w="2342" w:type="dxa"/>
          </w:tcPr>
          <w:p w14:paraId="5A906C95" w14:textId="77777777" w:rsidR="005B1F24" w:rsidRPr="007F46AA" w:rsidRDefault="005B1F24" w:rsidP="00883707">
            <w:pPr>
              <w:jc w:val="center"/>
              <w:rPr>
                <w:rFonts w:ascii="Calibri" w:hAnsi="Calibri"/>
                <w:sz w:val="20"/>
                <w:szCs w:val="20"/>
              </w:rPr>
            </w:pPr>
            <w:r w:rsidRPr="007F46AA">
              <w:rPr>
                <w:rFonts w:ascii="Calibri" w:hAnsi="Calibri"/>
                <w:sz w:val="20"/>
                <w:szCs w:val="20"/>
              </w:rPr>
              <w:t>CD45RO</w:t>
            </w:r>
            <w:r>
              <w:rPr>
                <w:rFonts w:ascii="Calibri" w:hAnsi="Calibri"/>
                <w:sz w:val="20"/>
                <w:szCs w:val="20"/>
              </w:rPr>
              <w:t xml:space="preserve"> (1:250; BioLegend, cat. no. 304238)</w:t>
            </w:r>
          </w:p>
        </w:tc>
        <w:tc>
          <w:tcPr>
            <w:tcW w:w="1985" w:type="dxa"/>
          </w:tcPr>
          <w:p w14:paraId="71A284CA" w14:textId="77777777" w:rsidR="005B1F24" w:rsidRPr="007F46AA" w:rsidRDefault="005B1F24" w:rsidP="00883707">
            <w:pPr>
              <w:jc w:val="center"/>
              <w:rPr>
                <w:rFonts w:ascii="Calibri" w:hAnsi="Calibri"/>
                <w:sz w:val="20"/>
                <w:szCs w:val="20"/>
              </w:rPr>
            </w:pPr>
            <w:r w:rsidRPr="007F46AA">
              <w:rPr>
                <w:rFonts w:ascii="Calibri" w:hAnsi="Calibri"/>
                <w:sz w:val="20"/>
                <w:szCs w:val="20"/>
              </w:rPr>
              <w:t>CD38</w:t>
            </w:r>
            <w:r>
              <w:rPr>
                <w:rFonts w:ascii="Calibri" w:hAnsi="Calibri"/>
                <w:sz w:val="20"/>
                <w:szCs w:val="20"/>
              </w:rPr>
              <w:t xml:space="preserve"> (1:30; BioLegend, cat. no. 303532)</w:t>
            </w:r>
          </w:p>
        </w:tc>
        <w:tc>
          <w:tcPr>
            <w:tcW w:w="1933" w:type="dxa"/>
          </w:tcPr>
          <w:p w14:paraId="02CD3279" w14:textId="77777777" w:rsidR="005B1F24" w:rsidRPr="007F46AA" w:rsidRDefault="005B1F24" w:rsidP="00883707">
            <w:pPr>
              <w:jc w:val="center"/>
              <w:rPr>
                <w:rFonts w:ascii="Calibri" w:hAnsi="Calibri"/>
                <w:sz w:val="20"/>
                <w:szCs w:val="20"/>
              </w:rPr>
            </w:pPr>
            <w:r w:rsidRPr="007F46AA">
              <w:rPr>
                <w:rFonts w:ascii="Calibri" w:hAnsi="Calibri"/>
                <w:sz w:val="20"/>
                <w:szCs w:val="20"/>
              </w:rPr>
              <w:t>CD45RA</w:t>
            </w:r>
            <w:r>
              <w:rPr>
                <w:rFonts w:ascii="Calibri" w:hAnsi="Calibri"/>
                <w:sz w:val="20"/>
                <w:szCs w:val="20"/>
              </w:rPr>
              <w:t xml:space="preserve"> (1:250; BioLegend, cat. no. 304134)</w:t>
            </w:r>
          </w:p>
        </w:tc>
        <w:tc>
          <w:tcPr>
            <w:tcW w:w="1697" w:type="dxa"/>
          </w:tcPr>
          <w:p w14:paraId="1515ED74" w14:textId="77777777" w:rsidR="005B1F24" w:rsidRPr="007F46AA" w:rsidRDefault="005B1F24" w:rsidP="00883707">
            <w:pPr>
              <w:jc w:val="center"/>
              <w:rPr>
                <w:rFonts w:ascii="Calibri" w:hAnsi="Calibri"/>
                <w:sz w:val="20"/>
                <w:szCs w:val="20"/>
              </w:rPr>
            </w:pPr>
            <w:r w:rsidRPr="007F46AA">
              <w:rPr>
                <w:rFonts w:ascii="Calibri" w:hAnsi="Calibri"/>
                <w:sz w:val="20"/>
                <w:szCs w:val="20"/>
              </w:rPr>
              <w:t>CD45RA</w:t>
            </w:r>
            <w:r>
              <w:rPr>
                <w:rFonts w:ascii="Calibri" w:hAnsi="Calibri"/>
                <w:sz w:val="20"/>
                <w:szCs w:val="20"/>
              </w:rPr>
              <w:t xml:space="preserve"> (1:10; BioLegend, cat. no. 304134)</w:t>
            </w:r>
          </w:p>
        </w:tc>
      </w:tr>
      <w:tr w:rsidR="005B1F24" w:rsidRPr="007F46AA" w14:paraId="544DD185" w14:textId="77777777" w:rsidTr="00883707">
        <w:trPr>
          <w:jc w:val="center"/>
        </w:trPr>
        <w:tc>
          <w:tcPr>
            <w:tcW w:w="1485" w:type="dxa"/>
          </w:tcPr>
          <w:p w14:paraId="7E7CDF44" w14:textId="77777777" w:rsidR="005B1F24" w:rsidRPr="007F46AA" w:rsidRDefault="005B1F24" w:rsidP="00883707">
            <w:pPr>
              <w:jc w:val="center"/>
              <w:rPr>
                <w:rFonts w:ascii="Calibri" w:hAnsi="Calibri"/>
                <w:sz w:val="20"/>
                <w:szCs w:val="20"/>
              </w:rPr>
            </w:pPr>
            <w:r w:rsidRPr="007F46AA">
              <w:rPr>
                <w:rFonts w:ascii="Calibri" w:hAnsi="Calibri"/>
                <w:sz w:val="20"/>
                <w:szCs w:val="20"/>
              </w:rPr>
              <w:t>BV711</w:t>
            </w:r>
          </w:p>
        </w:tc>
        <w:tc>
          <w:tcPr>
            <w:tcW w:w="2342" w:type="dxa"/>
          </w:tcPr>
          <w:p w14:paraId="178E3867" w14:textId="77777777" w:rsidR="005B1F24" w:rsidRPr="007F46AA" w:rsidRDefault="005B1F24" w:rsidP="00883707">
            <w:pPr>
              <w:jc w:val="center"/>
              <w:rPr>
                <w:rFonts w:ascii="Calibri" w:hAnsi="Calibri"/>
                <w:sz w:val="20"/>
                <w:szCs w:val="20"/>
              </w:rPr>
            </w:pPr>
            <w:r w:rsidRPr="007F46AA">
              <w:rPr>
                <w:rFonts w:ascii="Calibri" w:hAnsi="Calibri"/>
                <w:sz w:val="20"/>
                <w:szCs w:val="20"/>
              </w:rPr>
              <w:t>Isotype</w:t>
            </w:r>
            <w:r>
              <w:rPr>
                <w:rFonts w:ascii="Calibri" w:hAnsi="Calibri"/>
                <w:sz w:val="20"/>
                <w:szCs w:val="20"/>
              </w:rPr>
              <w:t xml:space="preserve"> (1:50; BioLegend, cat. no. 400354)</w:t>
            </w:r>
          </w:p>
        </w:tc>
        <w:tc>
          <w:tcPr>
            <w:tcW w:w="1985" w:type="dxa"/>
          </w:tcPr>
          <w:p w14:paraId="46169545" w14:textId="77777777" w:rsidR="005B1F24" w:rsidRPr="007F46AA" w:rsidRDefault="005B1F24" w:rsidP="00883707">
            <w:pPr>
              <w:jc w:val="center"/>
              <w:rPr>
                <w:rFonts w:ascii="Calibri" w:hAnsi="Calibri"/>
                <w:sz w:val="20"/>
                <w:szCs w:val="20"/>
              </w:rPr>
            </w:pPr>
          </w:p>
        </w:tc>
        <w:tc>
          <w:tcPr>
            <w:tcW w:w="1933" w:type="dxa"/>
          </w:tcPr>
          <w:p w14:paraId="6B694757" w14:textId="77777777" w:rsidR="005B1F24" w:rsidRPr="007F46AA" w:rsidRDefault="005B1F24" w:rsidP="00883707">
            <w:pPr>
              <w:jc w:val="center"/>
              <w:rPr>
                <w:rFonts w:ascii="Calibri" w:hAnsi="Calibri"/>
                <w:sz w:val="20"/>
                <w:szCs w:val="20"/>
              </w:rPr>
            </w:pPr>
          </w:p>
        </w:tc>
        <w:tc>
          <w:tcPr>
            <w:tcW w:w="1697" w:type="dxa"/>
          </w:tcPr>
          <w:p w14:paraId="40E2B530" w14:textId="77777777" w:rsidR="005B1F24" w:rsidRPr="007F46AA" w:rsidRDefault="005B1F24" w:rsidP="00883707">
            <w:pPr>
              <w:jc w:val="center"/>
              <w:rPr>
                <w:rFonts w:ascii="Calibri" w:hAnsi="Calibri"/>
                <w:sz w:val="20"/>
                <w:szCs w:val="20"/>
              </w:rPr>
            </w:pPr>
            <w:r w:rsidRPr="007F46AA">
              <w:rPr>
                <w:rFonts w:ascii="Calibri" w:hAnsi="Calibri"/>
                <w:sz w:val="20"/>
                <w:szCs w:val="20"/>
              </w:rPr>
              <w:t>CXCR3</w:t>
            </w:r>
            <w:r>
              <w:rPr>
                <w:rFonts w:ascii="Calibri" w:hAnsi="Calibri"/>
                <w:sz w:val="20"/>
                <w:szCs w:val="20"/>
              </w:rPr>
              <w:t xml:space="preserve"> (1:10; BD Biosciences, cat. no. 563156)</w:t>
            </w:r>
          </w:p>
        </w:tc>
      </w:tr>
      <w:tr w:rsidR="005B1F24" w:rsidRPr="007F46AA" w14:paraId="79F535FD" w14:textId="77777777" w:rsidTr="00883707">
        <w:trPr>
          <w:jc w:val="center"/>
        </w:trPr>
        <w:tc>
          <w:tcPr>
            <w:tcW w:w="1485" w:type="dxa"/>
          </w:tcPr>
          <w:p w14:paraId="486BC869" w14:textId="77777777" w:rsidR="005B1F24" w:rsidRPr="007F46AA" w:rsidRDefault="005B1F24" w:rsidP="00883707">
            <w:pPr>
              <w:jc w:val="center"/>
              <w:rPr>
                <w:rFonts w:ascii="Calibri" w:hAnsi="Calibri"/>
                <w:sz w:val="20"/>
                <w:szCs w:val="20"/>
              </w:rPr>
            </w:pPr>
            <w:r w:rsidRPr="007F46AA">
              <w:rPr>
                <w:rFonts w:ascii="Calibri" w:hAnsi="Calibri"/>
                <w:sz w:val="20"/>
                <w:szCs w:val="20"/>
              </w:rPr>
              <w:t>FITC</w:t>
            </w:r>
          </w:p>
        </w:tc>
        <w:tc>
          <w:tcPr>
            <w:tcW w:w="2342" w:type="dxa"/>
          </w:tcPr>
          <w:p w14:paraId="69F44FF7" w14:textId="77777777" w:rsidR="005B1F24" w:rsidRPr="007F46AA" w:rsidRDefault="005B1F24" w:rsidP="00883707">
            <w:pPr>
              <w:jc w:val="center"/>
              <w:rPr>
                <w:rFonts w:ascii="Calibri" w:hAnsi="Calibri"/>
                <w:sz w:val="20"/>
                <w:szCs w:val="20"/>
              </w:rPr>
            </w:pPr>
            <w:r w:rsidRPr="007F46AA">
              <w:rPr>
                <w:rFonts w:ascii="Calibri" w:hAnsi="Calibri"/>
                <w:sz w:val="20"/>
                <w:szCs w:val="20"/>
              </w:rPr>
              <w:t>MV nucleoprotein</w:t>
            </w:r>
            <w:r>
              <w:rPr>
                <w:rFonts w:ascii="Calibri" w:hAnsi="Calibri"/>
                <w:sz w:val="20"/>
                <w:szCs w:val="20"/>
              </w:rPr>
              <w:t xml:space="preserve"> (1:250; Merck Millipore, cat. no. MAB8906F)</w:t>
            </w:r>
          </w:p>
        </w:tc>
        <w:tc>
          <w:tcPr>
            <w:tcW w:w="1985" w:type="dxa"/>
          </w:tcPr>
          <w:p w14:paraId="5CAC9F2E" w14:textId="77777777" w:rsidR="005B1F24" w:rsidRPr="007F46AA" w:rsidRDefault="005B1F24" w:rsidP="00883707">
            <w:pPr>
              <w:jc w:val="center"/>
              <w:rPr>
                <w:rFonts w:ascii="Calibri" w:hAnsi="Calibri"/>
                <w:sz w:val="20"/>
                <w:szCs w:val="20"/>
              </w:rPr>
            </w:pPr>
            <w:r w:rsidRPr="007F46AA">
              <w:rPr>
                <w:rFonts w:ascii="Calibri" w:hAnsi="Calibri"/>
                <w:sz w:val="20"/>
                <w:szCs w:val="20"/>
              </w:rPr>
              <w:t>Viability dye 520</w:t>
            </w:r>
            <w:r>
              <w:rPr>
                <w:rFonts w:ascii="Calibri" w:hAnsi="Calibri"/>
                <w:sz w:val="20"/>
                <w:szCs w:val="20"/>
              </w:rPr>
              <w:t xml:space="preserve"> (1:1,000; BD Biosciences, cat. no. 564407)</w:t>
            </w:r>
          </w:p>
        </w:tc>
        <w:tc>
          <w:tcPr>
            <w:tcW w:w="1933" w:type="dxa"/>
          </w:tcPr>
          <w:p w14:paraId="6563897E" w14:textId="77777777" w:rsidR="005B1F24" w:rsidRPr="007F46AA" w:rsidRDefault="005B1F24" w:rsidP="00883707">
            <w:pPr>
              <w:jc w:val="center"/>
              <w:rPr>
                <w:rFonts w:ascii="Calibri" w:hAnsi="Calibri"/>
                <w:sz w:val="20"/>
                <w:szCs w:val="20"/>
              </w:rPr>
            </w:pPr>
            <w:r w:rsidRPr="007F46AA">
              <w:rPr>
                <w:rFonts w:ascii="Calibri" w:hAnsi="Calibri"/>
                <w:sz w:val="20"/>
                <w:szCs w:val="20"/>
              </w:rPr>
              <w:t>Viability dye 520</w:t>
            </w:r>
            <w:r>
              <w:rPr>
                <w:rFonts w:ascii="Calibri" w:hAnsi="Calibri"/>
                <w:sz w:val="20"/>
                <w:szCs w:val="20"/>
              </w:rPr>
              <w:t xml:space="preserve"> (1:1,000; BD Biosciences, cat. no. 564407)</w:t>
            </w:r>
          </w:p>
        </w:tc>
        <w:tc>
          <w:tcPr>
            <w:tcW w:w="1697" w:type="dxa"/>
          </w:tcPr>
          <w:p w14:paraId="369E8230" w14:textId="77777777" w:rsidR="005B1F24" w:rsidRPr="007F46AA" w:rsidRDefault="005B1F24" w:rsidP="00883707">
            <w:pPr>
              <w:jc w:val="center"/>
              <w:rPr>
                <w:rFonts w:ascii="Calibri" w:hAnsi="Calibri"/>
                <w:sz w:val="20"/>
                <w:szCs w:val="20"/>
              </w:rPr>
            </w:pPr>
            <w:r w:rsidRPr="007F46AA">
              <w:rPr>
                <w:rFonts w:ascii="Calibri" w:hAnsi="Calibri"/>
                <w:sz w:val="20"/>
                <w:szCs w:val="20"/>
              </w:rPr>
              <w:t>Viability dye 520</w:t>
            </w:r>
            <w:r>
              <w:rPr>
                <w:rFonts w:ascii="Calibri" w:hAnsi="Calibri"/>
                <w:sz w:val="20"/>
                <w:szCs w:val="20"/>
              </w:rPr>
              <w:t xml:space="preserve"> (1:1,000; BD Biosciences, cat. no. 564407)</w:t>
            </w:r>
          </w:p>
        </w:tc>
      </w:tr>
      <w:tr w:rsidR="005B1F24" w:rsidRPr="007F46AA" w14:paraId="67AC0B68" w14:textId="77777777" w:rsidTr="00883707">
        <w:trPr>
          <w:jc w:val="center"/>
        </w:trPr>
        <w:tc>
          <w:tcPr>
            <w:tcW w:w="1485" w:type="dxa"/>
          </w:tcPr>
          <w:p w14:paraId="4F2520D9" w14:textId="77777777" w:rsidR="005B1F24" w:rsidRPr="007F46AA" w:rsidRDefault="005B1F24" w:rsidP="00883707">
            <w:pPr>
              <w:jc w:val="center"/>
              <w:rPr>
                <w:rFonts w:ascii="Calibri" w:hAnsi="Calibri"/>
                <w:sz w:val="20"/>
                <w:szCs w:val="20"/>
              </w:rPr>
            </w:pPr>
            <w:r w:rsidRPr="007F46AA">
              <w:rPr>
                <w:rFonts w:ascii="Calibri" w:hAnsi="Calibri"/>
                <w:sz w:val="20"/>
                <w:szCs w:val="20"/>
              </w:rPr>
              <w:t>PerCP-Cy5.5</w:t>
            </w:r>
          </w:p>
        </w:tc>
        <w:tc>
          <w:tcPr>
            <w:tcW w:w="2342" w:type="dxa"/>
          </w:tcPr>
          <w:p w14:paraId="5E69FB13" w14:textId="77777777" w:rsidR="005B1F24" w:rsidRPr="007F46AA" w:rsidRDefault="005B1F24" w:rsidP="00883707">
            <w:pPr>
              <w:jc w:val="center"/>
              <w:rPr>
                <w:rFonts w:ascii="Calibri" w:hAnsi="Calibri"/>
                <w:sz w:val="20"/>
                <w:szCs w:val="20"/>
              </w:rPr>
            </w:pPr>
            <w:r w:rsidRPr="007F46AA">
              <w:rPr>
                <w:rFonts w:ascii="Calibri" w:hAnsi="Calibri"/>
                <w:sz w:val="20"/>
                <w:szCs w:val="20"/>
              </w:rPr>
              <w:t>IgD</w:t>
            </w:r>
            <w:r>
              <w:rPr>
                <w:rFonts w:ascii="Calibri" w:hAnsi="Calibri"/>
                <w:sz w:val="20"/>
                <w:szCs w:val="20"/>
              </w:rPr>
              <w:t xml:space="preserve"> (1:10; BioLegend, cat. no. 348208)</w:t>
            </w:r>
          </w:p>
        </w:tc>
        <w:tc>
          <w:tcPr>
            <w:tcW w:w="1985" w:type="dxa"/>
          </w:tcPr>
          <w:p w14:paraId="22D1E45E" w14:textId="77777777" w:rsidR="005B1F24" w:rsidRPr="007F46AA" w:rsidRDefault="005B1F24" w:rsidP="00883707">
            <w:pPr>
              <w:jc w:val="center"/>
              <w:rPr>
                <w:rFonts w:ascii="Calibri" w:hAnsi="Calibri"/>
                <w:sz w:val="20"/>
                <w:szCs w:val="20"/>
              </w:rPr>
            </w:pPr>
            <w:r w:rsidRPr="007F46AA">
              <w:rPr>
                <w:rFonts w:ascii="Calibri" w:hAnsi="Calibri"/>
                <w:sz w:val="20"/>
                <w:szCs w:val="20"/>
              </w:rPr>
              <w:t>IgD</w:t>
            </w:r>
            <w:r>
              <w:rPr>
                <w:rFonts w:ascii="Calibri" w:hAnsi="Calibri"/>
                <w:sz w:val="20"/>
                <w:szCs w:val="20"/>
              </w:rPr>
              <w:t xml:space="preserve"> (1:10; BioLegend, cat. no. 348208)</w:t>
            </w:r>
          </w:p>
        </w:tc>
        <w:tc>
          <w:tcPr>
            <w:tcW w:w="1933" w:type="dxa"/>
          </w:tcPr>
          <w:p w14:paraId="6932A32B" w14:textId="77777777" w:rsidR="005B1F24" w:rsidRPr="007F46AA" w:rsidRDefault="005B1F24" w:rsidP="00883707">
            <w:pPr>
              <w:jc w:val="center"/>
              <w:rPr>
                <w:rFonts w:ascii="Calibri" w:hAnsi="Calibri"/>
                <w:sz w:val="20"/>
                <w:szCs w:val="20"/>
              </w:rPr>
            </w:pPr>
            <w:r w:rsidRPr="007F46AA">
              <w:rPr>
                <w:rFonts w:ascii="Calibri" w:hAnsi="Calibri"/>
                <w:sz w:val="20"/>
                <w:szCs w:val="20"/>
              </w:rPr>
              <w:t>CD28</w:t>
            </w:r>
            <w:r>
              <w:rPr>
                <w:rFonts w:ascii="Calibri" w:hAnsi="Calibri"/>
                <w:sz w:val="20"/>
                <w:szCs w:val="20"/>
              </w:rPr>
              <w:t xml:space="preserve"> (1:35; BioLegend, cat. no. 302922)</w:t>
            </w:r>
          </w:p>
        </w:tc>
        <w:tc>
          <w:tcPr>
            <w:tcW w:w="1697" w:type="dxa"/>
          </w:tcPr>
          <w:p w14:paraId="56AA8B3A" w14:textId="77777777" w:rsidR="005B1F24" w:rsidRPr="007F46AA" w:rsidRDefault="005B1F24" w:rsidP="00883707">
            <w:pPr>
              <w:jc w:val="center"/>
              <w:rPr>
                <w:rFonts w:ascii="Calibri" w:hAnsi="Calibri"/>
                <w:sz w:val="20"/>
                <w:szCs w:val="20"/>
              </w:rPr>
            </w:pPr>
            <w:r w:rsidRPr="007F46AA">
              <w:rPr>
                <w:rFonts w:ascii="Calibri" w:hAnsi="Calibri"/>
                <w:sz w:val="20"/>
                <w:szCs w:val="20"/>
              </w:rPr>
              <w:t>CCR6</w:t>
            </w:r>
            <w:r>
              <w:rPr>
                <w:rFonts w:ascii="Calibri" w:hAnsi="Calibri"/>
                <w:sz w:val="20"/>
                <w:szCs w:val="20"/>
              </w:rPr>
              <w:t xml:space="preserve"> (1:20; BioLegend, cat. no. 353406)</w:t>
            </w:r>
          </w:p>
        </w:tc>
      </w:tr>
      <w:tr w:rsidR="005B1F24" w:rsidRPr="007F46AA" w14:paraId="03595318" w14:textId="77777777" w:rsidTr="00883707">
        <w:trPr>
          <w:jc w:val="center"/>
        </w:trPr>
        <w:tc>
          <w:tcPr>
            <w:tcW w:w="1485" w:type="dxa"/>
          </w:tcPr>
          <w:p w14:paraId="4E3E7EBB" w14:textId="77777777" w:rsidR="005B1F24" w:rsidRPr="007F46AA" w:rsidRDefault="005B1F24" w:rsidP="00883707">
            <w:pPr>
              <w:jc w:val="center"/>
              <w:rPr>
                <w:rFonts w:ascii="Calibri" w:hAnsi="Calibri"/>
                <w:sz w:val="20"/>
                <w:szCs w:val="20"/>
              </w:rPr>
            </w:pPr>
            <w:r w:rsidRPr="007F46AA">
              <w:rPr>
                <w:rFonts w:ascii="Calibri" w:hAnsi="Calibri"/>
                <w:sz w:val="20"/>
                <w:szCs w:val="20"/>
              </w:rPr>
              <w:t>PE</w:t>
            </w:r>
          </w:p>
        </w:tc>
        <w:tc>
          <w:tcPr>
            <w:tcW w:w="2342" w:type="dxa"/>
          </w:tcPr>
          <w:p w14:paraId="4E909FA1" w14:textId="77777777" w:rsidR="005B1F24" w:rsidRPr="007F46AA" w:rsidRDefault="005B1F24" w:rsidP="00883707">
            <w:pPr>
              <w:jc w:val="center"/>
              <w:rPr>
                <w:rFonts w:ascii="Calibri" w:hAnsi="Calibri"/>
                <w:sz w:val="20"/>
                <w:szCs w:val="20"/>
              </w:rPr>
            </w:pPr>
            <w:r w:rsidRPr="007F46AA">
              <w:rPr>
                <w:rFonts w:ascii="Calibri" w:hAnsi="Calibri"/>
                <w:sz w:val="20"/>
                <w:szCs w:val="20"/>
              </w:rPr>
              <w:t>CD3</w:t>
            </w:r>
            <w:r>
              <w:rPr>
                <w:rFonts w:ascii="Calibri" w:hAnsi="Calibri"/>
                <w:sz w:val="20"/>
                <w:szCs w:val="20"/>
              </w:rPr>
              <w:t xml:space="preserve"> (1:10; BD Biosciences, cat. no. 345765)</w:t>
            </w:r>
          </w:p>
        </w:tc>
        <w:tc>
          <w:tcPr>
            <w:tcW w:w="1985" w:type="dxa"/>
          </w:tcPr>
          <w:p w14:paraId="1D48B935" w14:textId="77777777" w:rsidR="005B1F24" w:rsidRPr="007F46AA" w:rsidRDefault="005B1F24" w:rsidP="00883707">
            <w:pPr>
              <w:jc w:val="center"/>
              <w:rPr>
                <w:rFonts w:ascii="Calibri" w:hAnsi="Calibri"/>
                <w:sz w:val="20"/>
                <w:szCs w:val="20"/>
              </w:rPr>
            </w:pPr>
            <w:r w:rsidRPr="007F46AA">
              <w:rPr>
                <w:rFonts w:ascii="Calibri" w:hAnsi="Calibri"/>
                <w:sz w:val="20"/>
                <w:szCs w:val="20"/>
              </w:rPr>
              <w:t>IgA</w:t>
            </w:r>
            <w:r>
              <w:rPr>
                <w:rFonts w:ascii="Calibri" w:hAnsi="Calibri"/>
                <w:sz w:val="20"/>
                <w:szCs w:val="20"/>
              </w:rPr>
              <w:t xml:space="preserve"> (1:10, Miltenyi Biotec, cat. no. 130-093-128)</w:t>
            </w:r>
          </w:p>
        </w:tc>
        <w:tc>
          <w:tcPr>
            <w:tcW w:w="1933" w:type="dxa"/>
          </w:tcPr>
          <w:p w14:paraId="09F5F84E" w14:textId="77777777" w:rsidR="005B1F24" w:rsidRPr="007F46AA" w:rsidRDefault="005B1F24" w:rsidP="00883707">
            <w:pPr>
              <w:jc w:val="center"/>
              <w:rPr>
                <w:rFonts w:ascii="Calibri" w:hAnsi="Calibri"/>
                <w:sz w:val="20"/>
                <w:szCs w:val="20"/>
              </w:rPr>
            </w:pPr>
            <w:r w:rsidRPr="007F46AA">
              <w:rPr>
                <w:rFonts w:ascii="Calibri" w:hAnsi="Calibri"/>
                <w:sz w:val="20"/>
                <w:szCs w:val="20"/>
              </w:rPr>
              <w:t>CD3</w:t>
            </w:r>
            <w:r>
              <w:rPr>
                <w:rFonts w:ascii="Calibri" w:hAnsi="Calibri"/>
                <w:sz w:val="20"/>
                <w:szCs w:val="20"/>
              </w:rPr>
              <w:t xml:space="preserve"> (1:10; BD Biosciences, cat. no. 345765)</w:t>
            </w:r>
          </w:p>
        </w:tc>
        <w:tc>
          <w:tcPr>
            <w:tcW w:w="1697" w:type="dxa"/>
          </w:tcPr>
          <w:p w14:paraId="3C4377D7" w14:textId="77777777" w:rsidR="005B1F24" w:rsidRPr="007F46AA" w:rsidRDefault="005B1F24" w:rsidP="00883707">
            <w:pPr>
              <w:jc w:val="center"/>
              <w:rPr>
                <w:rFonts w:ascii="Calibri" w:hAnsi="Calibri"/>
                <w:sz w:val="20"/>
                <w:szCs w:val="20"/>
              </w:rPr>
            </w:pPr>
            <w:r w:rsidRPr="007F46AA">
              <w:rPr>
                <w:rFonts w:ascii="Calibri" w:hAnsi="Calibri"/>
                <w:sz w:val="20"/>
                <w:szCs w:val="20"/>
              </w:rPr>
              <w:t>CD3</w:t>
            </w:r>
            <w:r>
              <w:rPr>
                <w:rFonts w:ascii="Calibri" w:hAnsi="Calibri"/>
                <w:sz w:val="20"/>
                <w:szCs w:val="20"/>
              </w:rPr>
              <w:t xml:space="preserve"> (1:40; BD Biosciences, cat. no. 345765)</w:t>
            </w:r>
          </w:p>
        </w:tc>
      </w:tr>
      <w:tr w:rsidR="005B1F24" w:rsidRPr="007F46AA" w14:paraId="4C72986A" w14:textId="77777777" w:rsidTr="00883707">
        <w:trPr>
          <w:jc w:val="center"/>
        </w:trPr>
        <w:tc>
          <w:tcPr>
            <w:tcW w:w="1485" w:type="dxa"/>
          </w:tcPr>
          <w:p w14:paraId="14D566FC" w14:textId="77777777" w:rsidR="005B1F24" w:rsidRPr="007F46AA" w:rsidRDefault="005B1F24" w:rsidP="00883707">
            <w:pPr>
              <w:jc w:val="center"/>
              <w:rPr>
                <w:rFonts w:ascii="Calibri" w:hAnsi="Calibri"/>
                <w:sz w:val="20"/>
                <w:szCs w:val="20"/>
              </w:rPr>
            </w:pPr>
            <w:r w:rsidRPr="007F46AA">
              <w:rPr>
                <w:rFonts w:ascii="Calibri" w:hAnsi="Calibri"/>
                <w:sz w:val="20"/>
                <w:szCs w:val="20"/>
              </w:rPr>
              <w:t>PE-CF594</w:t>
            </w:r>
          </w:p>
        </w:tc>
        <w:tc>
          <w:tcPr>
            <w:tcW w:w="2342" w:type="dxa"/>
          </w:tcPr>
          <w:p w14:paraId="59DC8BEA" w14:textId="77777777" w:rsidR="005B1F24" w:rsidRPr="007F46AA" w:rsidRDefault="005B1F24" w:rsidP="00883707">
            <w:pPr>
              <w:jc w:val="center"/>
              <w:rPr>
                <w:rFonts w:ascii="Calibri" w:hAnsi="Calibri"/>
                <w:sz w:val="20"/>
                <w:szCs w:val="20"/>
              </w:rPr>
            </w:pPr>
            <w:r w:rsidRPr="007F46AA">
              <w:rPr>
                <w:rFonts w:ascii="Calibri" w:hAnsi="Calibri"/>
                <w:sz w:val="20"/>
                <w:szCs w:val="20"/>
              </w:rPr>
              <w:t>CCR7</w:t>
            </w:r>
            <w:r>
              <w:rPr>
                <w:rFonts w:ascii="Calibri" w:hAnsi="Calibri"/>
                <w:sz w:val="20"/>
                <w:szCs w:val="20"/>
              </w:rPr>
              <w:t xml:space="preserve"> (1:20; BD Biosciences, cat. no. 562381)</w:t>
            </w:r>
          </w:p>
        </w:tc>
        <w:tc>
          <w:tcPr>
            <w:tcW w:w="1985" w:type="dxa"/>
          </w:tcPr>
          <w:p w14:paraId="7CF07CF3" w14:textId="77777777" w:rsidR="005B1F24" w:rsidRPr="007F46AA" w:rsidRDefault="005B1F24" w:rsidP="00883707">
            <w:pPr>
              <w:jc w:val="center"/>
              <w:rPr>
                <w:rFonts w:ascii="Calibri" w:hAnsi="Calibri"/>
                <w:sz w:val="20"/>
                <w:szCs w:val="20"/>
              </w:rPr>
            </w:pPr>
            <w:r w:rsidRPr="007F46AA">
              <w:rPr>
                <w:rFonts w:ascii="Calibri" w:hAnsi="Calibri"/>
                <w:sz w:val="20"/>
                <w:szCs w:val="20"/>
              </w:rPr>
              <w:t>IgG</w:t>
            </w:r>
            <w:r>
              <w:rPr>
                <w:rFonts w:ascii="Calibri" w:hAnsi="Calibri"/>
                <w:sz w:val="20"/>
                <w:szCs w:val="20"/>
              </w:rPr>
              <w:t xml:space="preserve"> (1:50; BD Biosciences, cat. no. 562538)</w:t>
            </w:r>
          </w:p>
        </w:tc>
        <w:tc>
          <w:tcPr>
            <w:tcW w:w="1933" w:type="dxa"/>
          </w:tcPr>
          <w:p w14:paraId="30F67A87" w14:textId="77777777" w:rsidR="005B1F24" w:rsidRPr="007F46AA" w:rsidRDefault="005B1F24" w:rsidP="00883707">
            <w:pPr>
              <w:jc w:val="center"/>
              <w:rPr>
                <w:rFonts w:ascii="Calibri" w:hAnsi="Calibri"/>
                <w:sz w:val="20"/>
                <w:szCs w:val="20"/>
              </w:rPr>
            </w:pPr>
            <w:r w:rsidRPr="007F46AA">
              <w:rPr>
                <w:rFonts w:ascii="Calibri" w:hAnsi="Calibri"/>
                <w:sz w:val="20"/>
                <w:szCs w:val="20"/>
              </w:rPr>
              <w:t>CCR7</w:t>
            </w:r>
            <w:r>
              <w:rPr>
                <w:rFonts w:ascii="Calibri" w:hAnsi="Calibri"/>
                <w:sz w:val="20"/>
                <w:szCs w:val="20"/>
              </w:rPr>
              <w:t>(1:20; BD Biosciences, cat. no. 562381)</w:t>
            </w:r>
          </w:p>
        </w:tc>
        <w:tc>
          <w:tcPr>
            <w:tcW w:w="1697" w:type="dxa"/>
          </w:tcPr>
          <w:p w14:paraId="7AC75772" w14:textId="77777777" w:rsidR="005B1F24" w:rsidRPr="007F46AA" w:rsidRDefault="005B1F24" w:rsidP="00883707">
            <w:pPr>
              <w:jc w:val="center"/>
              <w:rPr>
                <w:rFonts w:ascii="Calibri" w:hAnsi="Calibri"/>
                <w:sz w:val="20"/>
                <w:szCs w:val="20"/>
              </w:rPr>
            </w:pPr>
          </w:p>
        </w:tc>
      </w:tr>
      <w:tr w:rsidR="005B1F24" w:rsidRPr="007F46AA" w14:paraId="316E35C9" w14:textId="77777777" w:rsidTr="00883707">
        <w:trPr>
          <w:jc w:val="center"/>
        </w:trPr>
        <w:tc>
          <w:tcPr>
            <w:tcW w:w="1485" w:type="dxa"/>
          </w:tcPr>
          <w:p w14:paraId="634DF8D7" w14:textId="77777777" w:rsidR="005B1F24" w:rsidRPr="007F46AA" w:rsidRDefault="005B1F24" w:rsidP="00883707">
            <w:pPr>
              <w:jc w:val="center"/>
              <w:rPr>
                <w:rFonts w:ascii="Calibri" w:hAnsi="Calibri"/>
                <w:sz w:val="20"/>
                <w:szCs w:val="20"/>
              </w:rPr>
            </w:pPr>
            <w:r w:rsidRPr="007F46AA">
              <w:rPr>
                <w:rFonts w:ascii="Calibri" w:hAnsi="Calibri"/>
                <w:sz w:val="20"/>
                <w:szCs w:val="20"/>
              </w:rPr>
              <w:t>PE-Cy7</w:t>
            </w:r>
          </w:p>
        </w:tc>
        <w:tc>
          <w:tcPr>
            <w:tcW w:w="2342" w:type="dxa"/>
          </w:tcPr>
          <w:p w14:paraId="4150443F" w14:textId="77777777" w:rsidR="005B1F24" w:rsidRPr="007F46AA" w:rsidRDefault="005B1F24" w:rsidP="00883707">
            <w:pPr>
              <w:jc w:val="center"/>
              <w:rPr>
                <w:rFonts w:ascii="Calibri" w:hAnsi="Calibri"/>
                <w:sz w:val="20"/>
                <w:szCs w:val="20"/>
              </w:rPr>
            </w:pPr>
            <w:r w:rsidRPr="007F46AA">
              <w:rPr>
                <w:rFonts w:ascii="Calibri" w:hAnsi="Calibri"/>
                <w:sz w:val="20"/>
                <w:szCs w:val="20"/>
              </w:rPr>
              <w:t>CD19</w:t>
            </w:r>
            <w:r>
              <w:rPr>
                <w:rFonts w:ascii="Calibri" w:hAnsi="Calibri"/>
                <w:sz w:val="20"/>
                <w:szCs w:val="20"/>
              </w:rPr>
              <w:t xml:space="preserve"> (1:10; Beckman Coulter, cat. no. IM3628)</w:t>
            </w:r>
          </w:p>
        </w:tc>
        <w:tc>
          <w:tcPr>
            <w:tcW w:w="1985" w:type="dxa"/>
          </w:tcPr>
          <w:p w14:paraId="3F56ED31" w14:textId="77777777" w:rsidR="005B1F24" w:rsidRPr="007F46AA" w:rsidRDefault="005B1F24" w:rsidP="00883707">
            <w:pPr>
              <w:jc w:val="center"/>
              <w:rPr>
                <w:rFonts w:ascii="Calibri" w:hAnsi="Calibri"/>
                <w:sz w:val="20"/>
                <w:szCs w:val="20"/>
              </w:rPr>
            </w:pPr>
            <w:r w:rsidRPr="007F46AA">
              <w:rPr>
                <w:rFonts w:ascii="Calibri" w:hAnsi="Calibri"/>
                <w:sz w:val="20"/>
                <w:szCs w:val="20"/>
              </w:rPr>
              <w:t>CD19</w:t>
            </w:r>
            <w:r>
              <w:rPr>
                <w:rFonts w:ascii="Calibri" w:hAnsi="Calibri"/>
                <w:sz w:val="20"/>
                <w:szCs w:val="20"/>
              </w:rPr>
              <w:t xml:space="preserve"> (1:10; Beckman Coulter, cat. no. IM3628)</w:t>
            </w:r>
          </w:p>
        </w:tc>
        <w:tc>
          <w:tcPr>
            <w:tcW w:w="1933" w:type="dxa"/>
          </w:tcPr>
          <w:p w14:paraId="04D65582" w14:textId="77777777" w:rsidR="005B1F24" w:rsidRPr="007F46AA" w:rsidRDefault="005B1F24" w:rsidP="00883707">
            <w:pPr>
              <w:jc w:val="center"/>
              <w:rPr>
                <w:rFonts w:ascii="Calibri" w:hAnsi="Calibri"/>
                <w:sz w:val="20"/>
                <w:szCs w:val="20"/>
              </w:rPr>
            </w:pPr>
            <w:r w:rsidRPr="007F46AA">
              <w:rPr>
                <w:rFonts w:ascii="Calibri" w:hAnsi="Calibri"/>
                <w:sz w:val="20"/>
                <w:szCs w:val="20"/>
              </w:rPr>
              <w:t>TCRγδ</w:t>
            </w:r>
            <w:r>
              <w:rPr>
                <w:rFonts w:ascii="Calibri" w:hAnsi="Calibri"/>
                <w:sz w:val="20"/>
                <w:szCs w:val="20"/>
              </w:rPr>
              <w:t xml:space="preserve"> (1:50; BD Biosciences, cat. no. 655410)</w:t>
            </w:r>
          </w:p>
        </w:tc>
        <w:tc>
          <w:tcPr>
            <w:tcW w:w="1697" w:type="dxa"/>
          </w:tcPr>
          <w:p w14:paraId="2D9B1480" w14:textId="77777777" w:rsidR="005B1F24" w:rsidRPr="007F46AA" w:rsidRDefault="005B1F24" w:rsidP="00883707">
            <w:pPr>
              <w:jc w:val="center"/>
              <w:rPr>
                <w:rFonts w:ascii="Calibri" w:hAnsi="Calibri"/>
                <w:sz w:val="20"/>
                <w:szCs w:val="20"/>
              </w:rPr>
            </w:pPr>
            <w:r w:rsidRPr="007F46AA">
              <w:rPr>
                <w:rFonts w:ascii="Calibri" w:hAnsi="Calibri"/>
                <w:sz w:val="20"/>
                <w:szCs w:val="20"/>
              </w:rPr>
              <w:t>CCR4</w:t>
            </w:r>
            <w:r>
              <w:rPr>
                <w:rFonts w:ascii="Calibri" w:hAnsi="Calibri"/>
                <w:sz w:val="20"/>
                <w:szCs w:val="20"/>
              </w:rPr>
              <w:t xml:space="preserve"> (1:10; BioLegend, cat. no. 359410)</w:t>
            </w:r>
          </w:p>
        </w:tc>
      </w:tr>
      <w:tr w:rsidR="005B1F24" w:rsidRPr="007F46AA" w14:paraId="636C3E53" w14:textId="77777777" w:rsidTr="00883707">
        <w:trPr>
          <w:jc w:val="center"/>
        </w:trPr>
        <w:tc>
          <w:tcPr>
            <w:tcW w:w="1485" w:type="dxa"/>
          </w:tcPr>
          <w:p w14:paraId="6C123E34" w14:textId="77777777" w:rsidR="005B1F24" w:rsidRPr="007F46AA" w:rsidRDefault="005B1F24" w:rsidP="00883707">
            <w:pPr>
              <w:jc w:val="center"/>
              <w:rPr>
                <w:rFonts w:ascii="Calibri" w:hAnsi="Calibri"/>
                <w:sz w:val="20"/>
                <w:szCs w:val="20"/>
              </w:rPr>
            </w:pPr>
            <w:r w:rsidRPr="007F46AA">
              <w:rPr>
                <w:rFonts w:ascii="Calibri" w:hAnsi="Calibri"/>
                <w:sz w:val="20"/>
                <w:szCs w:val="20"/>
              </w:rPr>
              <w:t>APC</w:t>
            </w:r>
          </w:p>
        </w:tc>
        <w:tc>
          <w:tcPr>
            <w:tcW w:w="2342" w:type="dxa"/>
          </w:tcPr>
          <w:p w14:paraId="12E93719" w14:textId="77777777" w:rsidR="005B1F24" w:rsidRPr="007F46AA" w:rsidRDefault="005B1F24" w:rsidP="00883707">
            <w:pPr>
              <w:jc w:val="center"/>
              <w:rPr>
                <w:rFonts w:ascii="Calibri" w:hAnsi="Calibri"/>
                <w:sz w:val="20"/>
                <w:szCs w:val="20"/>
              </w:rPr>
            </w:pPr>
            <w:r w:rsidRPr="007F46AA">
              <w:rPr>
                <w:rFonts w:ascii="Calibri" w:hAnsi="Calibri"/>
                <w:sz w:val="20"/>
                <w:szCs w:val="20"/>
              </w:rPr>
              <w:t>CD4</w:t>
            </w:r>
            <w:r>
              <w:rPr>
                <w:rFonts w:ascii="Calibri" w:hAnsi="Calibri"/>
                <w:sz w:val="20"/>
                <w:szCs w:val="20"/>
              </w:rPr>
              <w:t xml:space="preserve"> (1:10; BD Biosciences, cat. no. 555349)</w:t>
            </w:r>
          </w:p>
        </w:tc>
        <w:tc>
          <w:tcPr>
            <w:tcW w:w="1985" w:type="dxa"/>
          </w:tcPr>
          <w:p w14:paraId="17F36445" w14:textId="77777777" w:rsidR="005B1F24" w:rsidRPr="007F46AA" w:rsidRDefault="005B1F24" w:rsidP="00883707">
            <w:pPr>
              <w:jc w:val="center"/>
              <w:rPr>
                <w:rFonts w:ascii="Calibri" w:hAnsi="Calibri"/>
                <w:sz w:val="20"/>
                <w:szCs w:val="20"/>
              </w:rPr>
            </w:pPr>
            <w:r w:rsidRPr="007F46AA">
              <w:rPr>
                <w:rFonts w:ascii="Calibri" w:hAnsi="Calibri"/>
                <w:sz w:val="20"/>
                <w:szCs w:val="20"/>
              </w:rPr>
              <w:t>CD21</w:t>
            </w:r>
            <w:r>
              <w:rPr>
                <w:rFonts w:ascii="Calibri" w:hAnsi="Calibri"/>
                <w:sz w:val="20"/>
                <w:szCs w:val="20"/>
              </w:rPr>
              <w:t xml:space="preserve"> (1:10; BD Biosciences, cat. no. 559867)</w:t>
            </w:r>
          </w:p>
        </w:tc>
        <w:tc>
          <w:tcPr>
            <w:tcW w:w="1933" w:type="dxa"/>
          </w:tcPr>
          <w:p w14:paraId="6F5A68A8" w14:textId="77777777" w:rsidR="005B1F24" w:rsidRPr="007F46AA" w:rsidRDefault="005B1F24" w:rsidP="00883707">
            <w:pPr>
              <w:jc w:val="center"/>
              <w:rPr>
                <w:rFonts w:ascii="Calibri" w:hAnsi="Calibri"/>
                <w:sz w:val="20"/>
                <w:szCs w:val="20"/>
              </w:rPr>
            </w:pPr>
            <w:r w:rsidRPr="007F46AA">
              <w:rPr>
                <w:rFonts w:ascii="Calibri" w:hAnsi="Calibri"/>
                <w:sz w:val="20"/>
                <w:szCs w:val="20"/>
              </w:rPr>
              <w:t>CXCR5</w:t>
            </w:r>
            <w:r>
              <w:rPr>
                <w:rFonts w:ascii="Calibri" w:hAnsi="Calibri"/>
                <w:sz w:val="20"/>
                <w:szCs w:val="20"/>
              </w:rPr>
              <w:t xml:space="preserve"> (1:5; R&amp;D Systems, cat. no. FAB190A-100)</w:t>
            </w:r>
          </w:p>
        </w:tc>
        <w:tc>
          <w:tcPr>
            <w:tcW w:w="1697" w:type="dxa"/>
          </w:tcPr>
          <w:p w14:paraId="7A6DDAB5" w14:textId="77777777" w:rsidR="005B1F24" w:rsidRPr="007F46AA" w:rsidRDefault="005B1F24" w:rsidP="00883707">
            <w:pPr>
              <w:jc w:val="center"/>
              <w:rPr>
                <w:rFonts w:ascii="Calibri" w:hAnsi="Calibri"/>
                <w:sz w:val="20"/>
                <w:szCs w:val="20"/>
              </w:rPr>
            </w:pPr>
            <w:r w:rsidRPr="007F46AA">
              <w:rPr>
                <w:rFonts w:ascii="Calibri" w:hAnsi="Calibri"/>
                <w:sz w:val="20"/>
                <w:szCs w:val="20"/>
              </w:rPr>
              <w:t>CD127</w:t>
            </w:r>
            <w:r>
              <w:rPr>
                <w:rFonts w:ascii="Calibri" w:hAnsi="Calibri"/>
                <w:sz w:val="20"/>
                <w:szCs w:val="20"/>
              </w:rPr>
              <w:t xml:space="preserve"> (1:20; BioLegend, cat. no. 351316)</w:t>
            </w:r>
          </w:p>
        </w:tc>
      </w:tr>
      <w:tr w:rsidR="005B1F24" w:rsidRPr="007F46AA" w14:paraId="73B9FD5E" w14:textId="77777777" w:rsidTr="00883707">
        <w:trPr>
          <w:jc w:val="center"/>
        </w:trPr>
        <w:tc>
          <w:tcPr>
            <w:tcW w:w="1485" w:type="dxa"/>
          </w:tcPr>
          <w:p w14:paraId="4A9FD7A2" w14:textId="77777777" w:rsidR="005B1F24" w:rsidRPr="007F46AA" w:rsidRDefault="005B1F24" w:rsidP="00883707">
            <w:pPr>
              <w:jc w:val="center"/>
              <w:rPr>
                <w:rFonts w:ascii="Calibri" w:hAnsi="Calibri"/>
                <w:sz w:val="20"/>
                <w:szCs w:val="20"/>
              </w:rPr>
            </w:pPr>
            <w:r w:rsidRPr="007F46AA">
              <w:rPr>
                <w:rFonts w:ascii="Calibri" w:hAnsi="Calibri"/>
                <w:sz w:val="20"/>
                <w:szCs w:val="20"/>
              </w:rPr>
              <w:t>APC-H7</w:t>
            </w:r>
          </w:p>
        </w:tc>
        <w:tc>
          <w:tcPr>
            <w:tcW w:w="2342" w:type="dxa"/>
          </w:tcPr>
          <w:p w14:paraId="712047C0" w14:textId="77777777" w:rsidR="005B1F24" w:rsidRPr="007F46AA" w:rsidRDefault="005B1F24" w:rsidP="00883707">
            <w:pPr>
              <w:jc w:val="center"/>
              <w:rPr>
                <w:rFonts w:ascii="Calibri" w:hAnsi="Calibri"/>
                <w:sz w:val="20"/>
                <w:szCs w:val="20"/>
              </w:rPr>
            </w:pPr>
            <w:r w:rsidRPr="007F46AA">
              <w:rPr>
                <w:rFonts w:ascii="Calibri" w:hAnsi="Calibri"/>
                <w:sz w:val="20"/>
                <w:szCs w:val="20"/>
              </w:rPr>
              <w:t>CD8</w:t>
            </w:r>
            <w:r>
              <w:rPr>
                <w:rFonts w:ascii="Calibri" w:hAnsi="Calibri"/>
                <w:sz w:val="20"/>
                <w:szCs w:val="20"/>
              </w:rPr>
              <w:t xml:space="preserve"> (1:10; BD Biosciences, cat. no. 641400)</w:t>
            </w:r>
          </w:p>
        </w:tc>
        <w:tc>
          <w:tcPr>
            <w:tcW w:w="1985" w:type="dxa"/>
          </w:tcPr>
          <w:p w14:paraId="7E6D9226" w14:textId="77777777" w:rsidR="005B1F24" w:rsidRPr="007F46AA" w:rsidRDefault="005B1F24" w:rsidP="00883707">
            <w:pPr>
              <w:jc w:val="center"/>
              <w:rPr>
                <w:rFonts w:ascii="Calibri" w:hAnsi="Calibri"/>
                <w:sz w:val="20"/>
                <w:szCs w:val="20"/>
              </w:rPr>
            </w:pPr>
            <w:r w:rsidRPr="007F46AA">
              <w:rPr>
                <w:rFonts w:ascii="Calibri" w:hAnsi="Calibri"/>
                <w:sz w:val="20"/>
                <w:szCs w:val="20"/>
              </w:rPr>
              <w:t>CD24</w:t>
            </w:r>
            <w:r>
              <w:rPr>
                <w:rFonts w:ascii="Calibri" w:hAnsi="Calibri"/>
                <w:sz w:val="20"/>
                <w:szCs w:val="20"/>
              </w:rPr>
              <w:t xml:space="preserve"> (1:10; Beckman Coulter, cat. no. PN B10738)</w:t>
            </w:r>
          </w:p>
        </w:tc>
        <w:tc>
          <w:tcPr>
            <w:tcW w:w="1933" w:type="dxa"/>
          </w:tcPr>
          <w:p w14:paraId="4C8CB051" w14:textId="77777777" w:rsidR="005B1F24" w:rsidRPr="007F46AA" w:rsidRDefault="005B1F24" w:rsidP="00883707">
            <w:pPr>
              <w:jc w:val="center"/>
              <w:rPr>
                <w:rFonts w:ascii="Calibri" w:hAnsi="Calibri"/>
                <w:sz w:val="20"/>
                <w:szCs w:val="20"/>
              </w:rPr>
            </w:pPr>
            <w:r w:rsidRPr="007F46AA">
              <w:rPr>
                <w:rFonts w:ascii="Calibri" w:hAnsi="Calibri"/>
                <w:sz w:val="20"/>
                <w:szCs w:val="20"/>
              </w:rPr>
              <w:t>CD8</w:t>
            </w:r>
            <w:r>
              <w:rPr>
                <w:rFonts w:ascii="Calibri" w:hAnsi="Calibri"/>
                <w:sz w:val="20"/>
                <w:szCs w:val="20"/>
              </w:rPr>
              <w:t xml:space="preserve"> (1:20; BD Biosciences, cat. no. 641400)</w:t>
            </w:r>
          </w:p>
        </w:tc>
        <w:tc>
          <w:tcPr>
            <w:tcW w:w="1697" w:type="dxa"/>
          </w:tcPr>
          <w:p w14:paraId="4C54FEA6" w14:textId="77777777" w:rsidR="005B1F24" w:rsidRPr="007F46AA" w:rsidRDefault="005B1F24" w:rsidP="00883707">
            <w:pPr>
              <w:jc w:val="center"/>
              <w:rPr>
                <w:rFonts w:ascii="Calibri" w:hAnsi="Calibri"/>
                <w:sz w:val="20"/>
                <w:szCs w:val="20"/>
              </w:rPr>
            </w:pPr>
            <w:r w:rsidRPr="007F46AA">
              <w:rPr>
                <w:rFonts w:ascii="Calibri" w:hAnsi="Calibri"/>
                <w:sz w:val="20"/>
                <w:szCs w:val="20"/>
              </w:rPr>
              <w:t>CD8</w:t>
            </w:r>
            <w:r>
              <w:rPr>
                <w:rFonts w:ascii="Calibri" w:hAnsi="Calibri"/>
                <w:sz w:val="20"/>
                <w:szCs w:val="20"/>
              </w:rPr>
              <w:t xml:space="preserve"> (1:10; BD Biosciences, cat. no. 641400)</w:t>
            </w:r>
          </w:p>
        </w:tc>
      </w:tr>
    </w:tbl>
    <w:p w14:paraId="38ACAFFB" w14:textId="77777777" w:rsidR="00A6123E" w:rsidRDefault="00A6123E" w:rsidP="00883707">
      <w:pPr>
        <w:jc w:val="both"/>
        <w:rPr>
          <w:rFonts w:ascii="Calibri" w:hAnsi="Calibri"/>
        </w:rPr>
      </w:pPr>
    </w:p>
    <w:p w14:paraId="513A67F7" w14:textId="1ABA73B2" w:rsidR="001E6EAB" w:rsidRPr="00A6123E" w:rsidRDefault="001E6EAB" w:rsidP="00883707">
      <w:pPr>
        <w:rPr>
          <w:rFonts w:ascii="Calibri" w:hAnsi="Calibri"/>
          <w:b/>
        </w:rPr>
      </w:pPr>
    </w:p>
    <w:sectPr w:rsidR="001E6EAB" w:rsidRPr="00A6123E" w:rsidSect="006D4494">
      <w:footerReference w:type="even" r:id="rId19"/>
      <w:footerReference w:type="default" r:id="rId20"/>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E8367D" w14:textId="77777777" w:rsidR="00D753C0" w:rsidRDefault="00D753C0" w:rsidP="00FA2ECF">
      <w:r>
        <w:separator/>
      </w:r>
    </w:p>
  </w:endnote>
  <w:endnote w:type="continuationSeparator" w:id="0">
    <w:p w14:paraId="34D88734" w14:textId="77777777" w:rsidR="00D753C0" w:rsidRDefault="00D753C0" w:rsidP="00FA2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swiss"/>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034961205"/>
      <w:docPartObj>
        <w:docPartGallery w:val="Page Numbers (Bottom of Page)"/>
        <w:docPartUnique/>
      </w:docPartObj>
    </w:sdtPr>
    <w:sdtEndPr>
      <w:rPr>
        <w:rStyle w:val="PageNumber"/>
      </w:rPr>
    </w:sdtEndPr>
    <w:sdtContent>
      <w:p w14:paraId="14C761F2" w14:textId="221C78FC" w:rsidR="00F670EB" w:rsidRDefault="00F670EB" w:rsidP="00F54C9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DF763A" w14:textId="77777777" w:rsidR="00F670EB" w:rsidRDefault="00F670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Fonts w:ascii="Calibri" w:hAnsi="Calibri" w:cs="Calibri"/>
      </w:rPr>
      <w:id w:val="-2098090777"/>
      <w:docPartObj>
        <w:docPartGallery w:val="Page Numbers (Bottom of Page)"/>
        <w:docPartUnique/>
      </w:docPartObj>
    </w:sdtPr>
    <w:sdtEndPr>
      <w:rPr>
        <w:rStyle w:val="PageNumber"/>
      </w:rPr>
    </w:sdtEndPr>
    <w:sdtContent>
      <w:p w14:paraId="025AB5C4" w14:textId="1DFE4F4A" w:rsidR="00F670EB" w:rsidRPr="000F1D7A" w:rsidRDefault="00F670EB" w:rsidP="00F54C9B">
        <w:pPr>
          <w:pStyle w:val="Footer"/>
          <w:framePr w:wrap="none" w:vAnchor="text" w:hAnchor="margin" w:xAlign="center" w:y="1"/>
          <w:rPr>
            <w:rStyle w:val="PageNumber"/>
            <w:rFonts w:ascii="Calibri" w:hAnsi="Calibri" w:cs="Calibri"/>
          </w:rPr>
        </w:pPr>
        <w:r w:rsidRPr="000F1D7A">
          <w:rPr>
            <w:rStyle w:val="PageNumber"/>
            <w:rFonts w:ascii="Calibri" w:hAnsi="Calibri" w:cs="Calibri"/>
          </w:rPr>
          <w:fldChar w:fldCharType="begin"/>
        </w:r>
        <w:r w:rsidRPr="000F1D7A">
          <w:rPr>
            <w:rStyle w:val="PageNumber"/>
            <w:rFonts w:ascii="Calibri" w:hAnsi="Calibri" w:cs="Calibri"/>
          </w:rPr>
          <w:instrText xml:space="preserve"> PAGE </w:instrText>
        </w:r>
        <w:r w:rsidRPr="000F1D7A">
          <w:rPr>
            <w:rStyle w:val="PageNumber"/>
            <w:rFonts w:ascii="Calibri" w:hAnsi="Calibri" w:cs="Calibri"/>
          </w:rPr>
          <w:fldChar w:fldCharType="separate"/>
        </w:r>
        <w:r w:rsidR="00F51125">
          <w:rPr>
            <w:rStyle w:val="PageNumber"/>
            <w:rFonts w:ascii="Calibri" w:hAnsi="Calibri" w:cs="Calibri"/>
            <w:noProof/>
          </w:rPr>
          <w:t>2</w:t>
        </w:r>
        <w:r w:rsidRPr="000F1D7A">
          <w:rPr>
            <w:rStyle w:val="PageNumber"/>
            <w:rFonts w:ascii="Calibri" w:hAnsi="Calibri" w:cs="Calibri"/>
          </w:rPr>
          <w:fldChar w:fldCharType="end"/>
        </w:r>
      </w:p>
    </w:sdtContent>
  </w:sdt>
  <w:p w14:paraId="497AAD64" w14:textId="77777777" w:rsidR="00F670EB" w:rsidRPr="000F1D7A" w:rsidRDefault="00F670EB">
    <w:pPr>
      <w:pStyle w:val="Footer"/>
      <w:rPr>
        <w:rFonts w:ascii="Calibri" w:hAnsi="Calibri" w:cs="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86CFF5" w14:textId="77777777" w:rsidR="00D753C0" w:rsidRDefault="00D753C0" w:rsidP="00FA2ECF">
      <w:r>
        <w:separator/>
      </w:r>
    </w:p>
  </w:footnote>
  <w:footnote w:type="continuationSeparator" w:id="0">
    <w:p w14:paraId="30E116A9" w14:textId="77777777" w:rsidR="00D753C0" w:rsidRDefault="00D753C0" w:rsidP="00FA2E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C11C23"/>
    <w:multiLevelType w:val="hybridMultilevel"/>
    <w:tmpl w:val="1D083A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0F6"/>
    <w:rsid w:val="00023A7D"/>
    <w:rsid w:val="00066191"/>
    <w:rsid w:val="00076733"/>
    <w:rsid w:val="000A11E5"/>
    <w:rsid w:val="000F1D7A"/>
    <w:rsid w:val="00163F19"/>
    <w:rsid w:val="0018031F"/>
    <w:rsid w:val="001E6EAB"/>
    <w:rsid w:val="00224B71"/>
    <w:rsid w:val="00245892"/>
    <w:rsid w:val="00267E9C"/>
    <w:rsid w:val="002A4E25"/>
    <w:rsid w:val="002C3F8C"/>
    <w:rsid w:val="002C6F87"/>
    <w:rsid w:val="002F40E1"/>
    <w:rsid w:val="00305584"/>
    <w:rsid w:val="0032004E"/>
    <w:rsid w:val="00331E10"/>
    <w:rsid w:val="0038014C"/>
    <w:rsid w:val="00386334"/>
    <w:rsid w:val="003C7470"/>
    <w:rsid w:val="003D72D5"/>
    <w:rsid w:val="00434952"/>
    <w:rsid w:val="0043665C"/>
    <w:rsid w:val="004816FF"/>
    <w:rsid w:val="004A6F7D"/>
    <w:rsid w:val="004D53DB"/>
    <w:rsid w:val="005150BA"/>
    <w:rsid w:val="00551AED"/>
    <w:rsid w:val="005B1F24"/>
    <w:rsid w:val="005C3BFF"/>
    <w:rsid w:val="005D72AF"/>
    <w:rsid w:val="0060549F"/>
    <w:rsid w:val="006D314B"/>
    <w:rsid w:val="006D4494"/>
    <w:rsid w:val="00714214"/>
    <w:rsid w:val="00716425"/>
    <w:rsid w:val="0073435E"/>
    <w:rsid w:val="00747742"/>
    <w:rsid w:val="00761509"/>
    <w:rsid w:val="0077483E"/>
    <w:rsid w:val="007A0FA2"/>
    <w:rsid w:val="007F46AA"/>
    <w:rsid w:val="008055E3"/>
    <w:rsid w:val="00833BCA"/>
    <w:rsid w:val="00873654"/>
    <w:rsid w:val="00883707"/>
    <w:rsid w:val="008A2512"/>
    <w:rsid w:val="00916855"/>
    <w:rsid w:val="00A420F6"/>
    <w:rsid w:val="00A42AE6"/>
    <w:rsid w:val="00A6123E"/>
    <w:rsid w:val="00BC238F"/>
    <w:rsid w:val="00C64467"/>
    <w:rsid w:val="00C71FAC"/>
    <w:rsid w:val="00D0666B"/>
    <w:rsid w:val="00D35A93"/>
    <w:rsid w:val="00D64FAA"/>
    <w:rsid w:val="00D651E5"/>
    <w:rsid w:val="00D753C0"/>
    <w:rsid w:val="00D81BA0"/>
    <w:rsid w:val="00DC05AC"/>
    <w:rsid w:val="00DD31F0"/>
    <w:rsid w:val="00E148A0"/>
    <w:rsid w:val="00E86EEA"/>
    <w:rsid w:val="00F51125"/>
    <w:rsid w:val="00F54C9B"/>
    <w:rsid w:val="00F670EB"/>
    <w:rsid w:val="00F94E88"/>
    <w:rsid w:val="00FA1BED"/>
    <w:rsid w:val="00FA2ECF"/>
    <w:rsid w:val="00FB3C81"/>
    <w:rsid w:val="00FB45E9"/>
    <w:rsid w:val="00FD40B0"/>
    <w:rsid w:val="00FD46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C18A3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0F6"/>
    <w:rPr>
      <w:rFonts w:ascii="Cambria" w:eastAsia="MS Mincho" w:hAnsi="Cambria"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1BA0"/>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D81BA0"/>
    <w:rPr>
      <w:rFonts w:ascii="Lucida Grande" w:hAnsi="Lucida Grande" w:cs="Lucida Grande"/>
      <w:sz w:val="18"/>
      <w:szCs w:val="18"/>
      <w:lang w:val="en-GB"/>
    </w:rPr>
  </w:style>
  <w:style w:type="table" w:styleId="TableGrid">
    <w:name w:val="Table Grid"/>
    <w:basedOn w:val="TableNormal"/>
    <w:uiPriority w:val="59"/>
    <w:rsid w:val="007F46AA"/>
    <w:rPr>
      <w:rFonts w:ascii="Cambria" w:eastAsia="MS Mincho" w:hAnsi="Cambria"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76733"/>
    <w:rPr>
      <w:sz w:val="18"/>
      <w:szCs w:val="18"/>
    </w:rPr>
  </w:style>
  <w:style w:type="paragraph" w:styleId="CommentText">
    <w:name w:val="annotation text"/>
    <w:basedOn w:val="Normal"/>
    <w:link w:val="CommentTextChar"/>
    <w:uiPriority w:val="99"/>
    <w:semiHidden/>
    <w:unhideWhenUsed/>
    <w:rsid w:val="00076733"/>
  </w:style>
  <w:style w:type="character" w:customStyle="1" w:styleId="CommentTextChar">
    <w:name w:val="Comment Text Char"/>
    <w:basedOn w:val="DefaultParagraphFont"/>
    <w:link w:val="CommentText"/>
    <w:uiPriority w:val="99"/>
    <w:semiHidden/>
    <w:rsid w:val="00076733"/>
    <w:rPr>
      <w:rFonts w:ascii="Cambria" w:eastAsia="MS Mincho" w:hAnsi="Cambria" w:cs="Times New Roman"/>
      <w:lang w:val="en-GB"/>
    </w:rPr>
  </w:style>
  <w:style w:type="paragraph" w:styleId="CommentSubject">
    <w:name w:val="annotation subject"/>
    <w:basedOn w:val="CommentText"/>
    <w:next w:val="CommentText"/>
    <w:link w:val="CommentSubjectChar"/>
    <w:uiPriority w:val="99"/>
    <w:semiHidden/>
    <w:unhideWhenUsed/>
    <w:rsid w:val="00076733"/>
    <w:rPr>
      <w:b/>
      <w:bCs/>
      <w:sz w:val="20"/>
      <w:szCs w:val="20"/>
    </w:rPr>
  </w:style>
  <w:style w:type="character" w:customStyle="1" w:styleId="CommentSubjectChar">
    <w:name w:val="Comment Subject Char"/>
    <w:basedOn w:val="CommentTextChar"/>
    <w:link w:val="CommentSubject"/>
    <w:uiPriority w:val="99"/>
    <w:semiHidden/>
    <w:rsid w:val="00076733"/>
    <w:rPr>
      <w:rFonts w:ascii="Cambria" w:eastAsia="MS Mincho" w:hAnsi="Cambria" w:cs="Times New Roman"/>
      <w:b/>
      <w:bCs/>
      <w:sz w:val="20"/>
      <w:szCs w:val="20"/>
      <w:lang w:val="en-GB"/>
    </w:rPr>
  </w:style>
  <w:style w:type="paragraph" w:styleId="Footer">
    <w:name w:val="footer"/>
    <w:basedOn w:val="Normal"/>
    <w:link w:val="FooterChar"/>
    <w:uiPriority w:val="99"/>
    <w:unhideWhenUsed/>
    <w:rsid w:val="00FA2ECF"/>
    <w:pPr>
      <w:tabs>
        <w:tab w:val="center" w:pos="4680"/>
        <w:tab w:val="right" w:pos="9360"/>
      </w:tabs>
    </w:pPr>
  </w:style>
  <w:style w:type="character" w:customStyle="1" w:styleId="FooterChar">
    <w:name w:val="Footer Char"/>
    <w:basedOn w:val="DefaultParagraphFont"/>
    <w:link w:val="Footer"/>
    <w:uiPriority w:val="99"/>
    <w:rsid w:val="00FA2ECF"/>
    <w:rPr>
      <w:rFonts w:ascii="Cambria" w:eastAsia="MS Mincho" w:hAnsi="Cambria" w:cs="Times New Roman"/>
      <w:lang w:val="en-GB"/>
    </w:rPr>
  </w:style>
  <w:style w:type="character" w:styleId="PageNumber">
    <w:name w:val="page number"/>
    <w:basedOn w:val="DefaultParagraphFont"/>
    <w:uiPriority w:val="99"/>
    <w:semiHidden/>
    <w:unhideWhenUsed/>
    <w:rsid w:val="00FA2ECF"/>
  </w:style>
  <w:style w:type="paragraph" w:styleId="Header">
    <w:name w:val="header"/>
    <w:basedOn w:val="Normal"/>
    <w:link w:val="HeaderChar"/>
    <w:uiPriority w:val="99"/>
    <w:unhideWhenUsed/>
    <w:rsid w:val="000F1D7A"/>
    <w:pPr>
      <w:tabs>
        <w:tab w:val="center" w:pos="4680"/>
        <w:tab w:val="right" w:pos="9360"/>
      </w:tabs>
    </w:pPr>
  </w:style>
  <w:style w:type="character" w:customStyle="1" w:styleId="HeaderChar">
    <w:name w:val="Header Char"/>
    <w:basedOn w:val="DefaultParagraphFont"/>
    <w:link w:val="Header"/>
    <w:uiPriority w:val="99"/>
    <w:rsid w:val="000F1D7A"/>
    <w:rPr>
      <w:rFonts w:ascii="Cambria" w:eastAsia="MS Mincho" w:hAnsi="Cambria" w:cs="Times New Roman"/>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0F6"/>
    <w:rPr>
      <w:rFonts w:ascii="Cambria" w:eastAsia="MS Mincho" w:hAnsi="Cambria"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1BA0"/>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D81BA0"/>
    <w:rPr>
      <w:rFonts w:ascii="Lucida Grande" w:hAnsi="Lucida Grande" w:cs="Lucida Grande"/>
      <w:sz w:val="18"/>
      <w:szCs w:val="18"/>
      <w:lang w:val="en-GB"/>
    </w:rPr>
  </w:style>
  <w:style w:type="table" w:styleId="TableGrid">
    <w:name w:val="Table Grid"/>
    <w:basedOn w:val="TableNormal"/>
    <w:uiPriority w:val="59"/>
    <w:rsid w:val="007F46AA"/>
    <w:rPr>
      <w:rFonts w:ascii="Cambria" w:eastAsia="MS Mincho" w:hAnsi="Cambria"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76733"/>
    <w:rPr>
      <w:sz w:val="18"/>
      <w:szCs w:val="18"/>
    </w:rPr>
  </w:style>
  <w:style w:type="paragraph" w:styleId="CommentText">
    <w:name w:val="annotation text"/>
    <w:basedOn w:val="Normal"/>
    <w:link w:val="CommentTextChar"/>
    <w:uiPriority w:val="99"/>
    <w:semiHidden/>
    <w:unhideWhenUsed/>
    <w:rsid w:val="00076733"/>
  </w:style>
  <w:style w:type="character" w:customStyle="1" w:styleId="CommentTextChar">
    <w:name w:val="Comment Text Char"/>
    <w:basedOn w:val="DefaultParagraphFont"/>
    <w:link w:val="CommentText"/>
    <w:uiPriority w:val="99"/>
    <w:semiHidden/>
    <w:rsid w:val="00076733"/>
    <w:rPr>
      <w:rFonts w:ascii="Cambria" w:eastAsia="MS Mincho" w:hAnsi="Cambria" w:cs="Times New Roman"/>
      <w:lang w:val="en-GB"/>
    </w:rPr>
  </w:style>
  <w:style w:type="paragraph" w:styleId="CommentSubject">
    <w:name w:val="annotation subject"/>
    <w:basedOn w:val="CommentText"/>
    <w:next w:val="CommentText"/>
    <w:link w:val="CommentSubjectChar"/>
    <w:uiPriority w:val="99"/>
    <w:semiHidden/>
    <w:unhideWhenUsed/>
    <w:rsid w:val="00076733"/>
    <w:rPr>
      <w:b/>
      <w:bCs/>
      <w:sz w:val="20"/>
      <w:szCs w:val="20"/>
    </w:rPr>
  </w:style>
  <w:style w:type="character" w:customStyle="1" w:styleId="CommentSubjectChar">
    <w:name w:val="Comment Subject Char"/>
    <w:basedOn w:val="CommentTextChar"/>
    <w:link w:val="CommentSubject"/>
    <w:uiPriority w:val="99"/>
    <w:semiHidden/>
    <w:rsid w:val="00076733"/>
    <w:rPr>
      <w:rFonts w:ascii="Cambria" w:eastAsia="MS Mincho" w:hAnsi="Cambria" w:cs="Times New Roman"/>
      <w:b/>
      <w:bCs/>
      <w:sz w:val="20"/>
      <w:szCs w:val="20"/>
      <w:lang w:val="en-GB"/>
    </w:rPr>
  </w:style>
  <w:style w:type="paragraph" w:styleId="Footer">
    <w:name w:val="footer"/>
    <w:basedOn w:val="Normal"/>
    <w:link w:val="FooterChar"/>
    <w:uiPriority w:val="99"/>
    <w:unhideWhenUsed/>
    <w:rsid w:val="00FA2ECF"/>
    <w:pPr>
      <w:tabs>
        <w:tab w:val="center" w:pos="4680"/>
        <w:tab w:val="right" w:pos="9360"/>
      </w:tabs>
    </w:pPr>
  </w:style>
  <w:style w:type="character" w:customStyle="1" w:styleId="FooterChar">
    <w:name w:val="Footer Char"/>
    <w:basedOn w:val="DefaultParagraphFont"/>
    <w:link w:val="Footer"/>
    <w:uiPriority w:val="99"/>
    <w:rsid w:val="00FA2ECF"/>
    <w:rPr>
      <w:rFonts w:ascii="Cambria" w:eastAsia="MS Mincho" w:hAnsi="Cambria" w:cs="Times New Roman"/>
      <w:lang w:val="en-GB"/>
    </w:rPr>
  </w:style>
  <w:style w:type="character" w:styleId="PageNumber">
    <w:name w:val="page number"/>
    <w:basedOn w:val="DefaultParagraphFont"/>
    <w:uiPriority w:val="99"/>
    <w:semiHidden/>
    <w:unhideWhenUsed/>
    <w:rsid w:val="00FA2ECF"/>
  </w:style>
  <w:style w:type="paragraph" w:styleId="Header">
    <w:name w:val="header"/>
    <w:basedOn w:val="Normal"/>
    <w:link w:val="HeaderChar"/>
    <w:uiPriority w:val="99"/>
    <w:unhideWhenUsed/>
    <w:rsid w:val="000F1D7A"/>
    <w:pPr>
      <w:tabs>
        <w:tab w:val="center" w:pos="4680"/>
        <w:tab w:val="right" w:pos="9360"/>
      </w:tabs>
    </w:pPr>
  </w:style>
  <w:style w:type="character" w:customStyle="1" w:styleId="HeaderChar">
    <w:name w:val="Header Char"/>
    <w:basedOn w:val="DefaultParagraphFont"/>
    <w:link w:val="Header"/>
    <w:uiPriority w:val="99"/>
    <w:rsid w:val="000F1D7A"/>
    <w:rPr>
      <w:rFonts w:ascii="Cambria" w:eastAsia="MS Mincho" w:hAnsi="Cambria"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681220">
      <w:bodyDiv w:val="1"/>
      <w:marLeft w:val="0"/>
      <w:marRight w:val="0"/>
      <w:marTop w:val="0"/>
      <w:marBottom w:val="0"/>
      <w:divBdr>
        <w:top w:val="none" w:sz="0" w:space="0" w:color="auto"/>
        <w:left w:val="none" w:sz="0" w:space="0" w:color="auto"/>
        <w:bottom w:val="none" w:sz="0" w:space="0" w:color="auto"/>
        <w:right w:val="none" w:sz="0" w:space="0" w:color="auto"/>
      </w:divBdr>
    </w:div>
    <w:div w:id="550113208">
      <w:bodyDiv w:val="1"/>
      <w:marLeft w:val="0"/>
      <w:marRight w:val="0"/>
      <w:marTop w:val="0"/>
      <w:marBottom w:val="0"/>
      <w:divBdr>
        <w:top w:val="none" w:sz="0" w:space="0" w:color="auto"/>
        <w:left w:val="none" w:sz="0" w:space="0" w:color="auto"/>
        <w:bottom w:val="none" w:sz="0" w:space="0" w:color="auto"/>
        <w:right w:val="none" w:sz="0" w:space="0" w:color="auto"/>
      </w:divBdr>
    </w:div>
    <w:div w:id="694039878">
      <w:bodyDiv w:val="1"/>
      <w:marLeft w:val="0"/>
      <w:marRight w:val="0"/>
      <w:marTop w:val="0"/>
      <w:marBottom w:val="0"/>
      <w:divBdr>
        <w:top w:val="none" w:sz="0" w:space="0" w:color="auto"/>
        <w:left w:val="none" w:sz="0" w:space="0" w:color="auto"/>
        <w:bottom w:val="none" w:sz="0" w:space="0" w:color="auto"/>
        <w:right w:val="none" w:sz="0" w:space="0" w:color="auto"/>
      </w:divBdr>
    </w:div>
    <w:div w:id="1492140089">
      <w:bodyDiv w:val="1"/>
      <w:marLeft w:val="0"/>
      <w:marRight w:val="0"/>
      <w:marTop w:val="0"/>
      <w:marBottom w:val="0"/>
      <w:divBdr>
        <w:top w:val="none" w:sz="0" w:space="0" w:color="auto"/>
        <w:left w:val="none" w:sz="0" w:space="0" w:color="auto"/>
        <w:bottom w:val="none" w:sz="0" w:space="0" w:color="auto"/>
        <w:right w:val="none" w:sz="0" w:space="0" w:color="auto"/>
      </w:divBdr>
    </w:div>
    <w:div w:id="19421002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Relationship Id="rId18" Type="http://schemas.openxmlformats.org/officeDocument/2006/relationships/image" Target="media/image11.tif"/><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Relationship Id="rId2" Type="http://schemas.openxmlformats.org/officeDocument/2006/relationships/styles" Target="styles.xml"/><Relationship Id="rId16" Type="http://schemas.openxmlformats.org/officeDocument/2006/relationships/image" Target="media/image9.tif"/><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Relationship Id="rId10" Type="http://schemas.openxmlformats.org/officeDocument/2006/relationships/image" Target="media/image3.tif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image" Target="media/image7.ti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1445</Words>
  <Characters>8241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9667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Brigitta Marcella Laksono</dc:creator>
  <cp:lastModifiedBy>Martinez-Vesga, Javier, Springer Nature GmbH</cp:lastModifiedBy>
  <cp:revision>2</cp:revision>
  <cp:lastPrinted>2018-09-20T15:30:00Z</cp:lastPrinted>
  <dcterms:created xsi:type="dcterms:W3CDTF">2018-11-06T13:25:00Z</dcterms:created>
  <dcterms:modified xsi:type="dcterms:W3CDTF">2018-11-06T13:25:00Z</dcterms:modified>
</cp:coreProperties>
</file>