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BA16C" w14:textId="77777777" w:rsidR="00FA00C6" w:rsidRDefault="00FA00C6" w:rsidP="00FA00C6">
      <w:pPr>
        <w:rPr>
          <w:b/>
        </w:rPr>
      </w:pPr>
      <w:r>
        <w:rPr>
          <w:b/>
        </w:rPr>
        <w:t>Description of Additional Supplementary Files</w:t>
      </w:r>
    </w:p>
    <w:p w14:paraId="5D9C5405" w14:textId="77777777" w:rsidR="00FA00C6" w:rsidRDefault="00FA00C6" w:rsidP="00094967">
      <w:pPr>
        <w:rPr>
          <w:b/>
        </w:rPr>
      </w:pPr>
    </w:p>
    <w:p w14:paraId="51502EF7" w14:textId="77777777" w:rsidR="000C23EB" w:rsidRDefault="00094967" w:rsidP="00094967">
      <w:r w:rsidRPr="00094967">
        <w:rPr>
          <w:b/>
        </w:rPr>
        <w:t>Supplementary Data 1: Clinical details for the human</w:t>
      </w:r>
      <w:r>
        <w:rPr>
          <w:b/>
        </w:rPr>
        <w:t>, canine and equine</w:t>
      </w:r>
      <w:r w:rsidRPr="00094967">
        <w:rPr>
          <w:b/>
        </w:rPr>
        <w:t xml:space="preserve"> samples sequenced in this study</w:t>
      </w:r>
      <w:r w:rsidRPr="00041ECE">
        <w:t xml:space="preserve">. </w:t>
      </w:r>
      <w:r>
        <w:t>Each primary tumor</w:t>
      </w:r>
      <w:r w:rsidR="0007702E">
        <w:t xml:space="preserve"> sample</w:t>
      </w:r>
      <w:r>
        <w:t xml:space="preserve"> is grouped with its match</w:t>
      </w:r>
      <w:r w:rsidR="0007702E">
        <w:t>ed normal sample, and metastases</w:t>
      </w:r>
      <w:r>
        <w:t xml:space="preserve"> </w:t>
      </w:r>
      <w:r w:rsidR="0007702E">
        <w:t>and/or recurrences</w:t>
      </w:r>
      <w:r>
        <w:t xml:space="preserve"> from the same patient, if available. If a metastatic or recurrent tumor was compared to a different matched normal</w:t>
      </w:r>
      <w:r w:rsidR="0007702E">
        <w:t xml:space="preserve"> sample than the primary tumor (</w:t>
      </w:r>
      <w:r w:rsidR="0007702E" w:rsidRPr="0007702E">
        <w:rPr>
          <w:i/>
        </w:rPr>
        <w:t>e</w:t>
      </w:r>
      <w:r w:rsidR="0007702E">
        <w:rPr>
          <w:i/>
        </w:rPr>
        <w:t>.</w:t>
      </w:r>
      <w:r w:rsidR="0007702E" w:rsidRPr="0007702E">
        <w:rPr>
          <w:i/>
        </w:rPr>
        <w:t>g</w:t>
      </w:r>
      <w:r w:rsidR="0007702E">
        <w:rPr>
          <w:i/>
        </w:rPr>
        <w:t>.</w:t>
      </w:r>
      <w:r w:rsidR="0007702E">
        <w:t>: cores were taken from adjacent normal tissue for both the primary and metastasis)</w:t>
      </w:r>
      <w:r>
        <w:t xml:space="preserve">, the normal sample is listed below it. </w:t>
      </w:r>
      <w:r w:rsidR="00CA60C0">
        <w:t>“</w:t>
      </w:r>
      <w:r>
        <w:t>Tissue/site</w:t>
      </w:r>
      <w:r w:rsidR="00CA60C0">
        <w:t>”</w:t>
      </w:r>
      <w:r>
        <w:t xml:space="preserve"> is the location from which the each sample was obtained. These are the original annotations from pathologists. Primary tumors were grouped in</w:t>
      </w:r>
      <w:r w:rsidR="00CA60C0">
        <w:t>to broader categories by site (“Primary tumor site”</w:t>
      </w:r>
      <w:r>
        <w:t xml:space="preserve">). All tumors from </w:t>
      </w:r>
      <w:r w:rsidR="0007702E">
        <w:t>the (sino)nasal cavity/sinus were</w:t>
      </w:r>
      <w:r>
        <w:t xml:space="preserve"> from the nasal mucosa. </w:t>
      </w:r>
      <w:r w:rsidR="00CA60C0">
        <w:t>The categories in the “Primary tumor site”</w:t>
      </w:r>
      <w:r>
        <w:t xml:space="preserve"> column were used to group primary tumors </w:t>
      </w:r>
      <w:r w:rsidR="0007702E">
        <w:t>for</w:t>
      </w:r>
      <w:r>
        <w:t xml:space="preserve"> Figures 1 and 2. </w:t>
      </w:r>
      <w:r w:rsidR="000C23EB">
        <w:t>The human m</w:t>
      </w:r>
      <w:r>
        <w:t xml:space="preserve">etastases to lymph nodes </w:t>
      </w:r>
      <w:r w:rsidR="0007702E">
        <w:t>were</w:t>
      </w:r>
      <w:r>
        <w:t xml:space="preserve"> all locoregional </w:t>
      </w:r>
      <w:r w:rsidR="0090301E">
        <w:t>metastases</w:t>
      </w:r>
      <w:r>
        <w:t xml:space="preserve">. Recurrences </w:t>
      </w:r>
      <w:r w:rsidR="0007702E">
        <w:t>were</w:t>
      </w:r>
      <w:r>
        <w:t xml:space="preserve"> all locoregional.</w:t>
      </w:r>
      <w:r w:rsidR="0007702E">
        <w:t xml:space="preserve"> For</w:t>
      </w:r>
      <w:r w:rsidR="00041ECE">
        <w:t xml:space="preserve"> each equine germline sample, exon 2 of the </w:t>
      </w:r>
      <w:r w:rsidR="00041ECE" w:rsidRPr="00CA60C0">
        <w:rPr>
          <w:i/>
        </w:rPr>
        <w:t>ASIP</w:t>
      </w:r>
      <w:r w:rsidR="00041ECE">
        <w:t xml:space="preserve"> gene was examined for a polymorphic 11 bp deletion which is associated with increased incidence</w:t>
      </w:r>
      <w:r w:rsidR="00EC17E9">
        <w:t>s</w:t>
      </w:r>
      <w:r w:rsidR="00041ECE">
        <w:t xml:space="preserve"> of melanoma in grey horses. WT: wild type (no deletion); Het: heterozygous for the deletion; Hom: homozygous for the deletion. </w:t>
      </w:r>
    </w:p>
    <w:p w14:paraId="0C2689D5" w14:textId="31BC8E5F" w:rsidR="00094967" w:rsidRDefault="003815B3" w:rsidP="00E86AFB">
      <w:r>
        <w:rPr>
          <w:b/>
        </w:rPr>
        <w:t>Supplementary Data</w:t>
      </w:r>
      <w:r w:rsidR="00F23992">
        <w:rPr>
          <w:b/>
        </w:rPr>
        <w:t xml:space="preserve"> 2</w:t>
      </w:r>
      <w:r w:rsidR="00094967" w:rsidRPr="00F23992">
        <w:rPr>
          <w:b/>
        </w:rPr>
        <w:t xml:space="preserve">: </w:t>
      </w:r>
      <w:r w:rsidR="00F23992" w:rsidRPr="00F23992">
        <w:rPr>
          <w:b/>
        </w:rPr>
        <w:t>Somatic mutations in human</w:t>
      </w:r>
      <w:r w:rsidR="0028645C">
        <w:rPr>
          <w:b/>
        </w:rPr>
        <w:t xml:space="preserve"> mucosal</w:t>
      </w:r>
      <w:r w:rsidR="00F23992" w:rsidRPr="00F23992">
        <w:rPr>
          <w:b/>
        </w:rPr>
        <w:t xml:space="preserve">, canine </w:t>
      </w:r>
      <w:r w:rsidR="0028645C">
        <w:rPr>
          <w:b/>
        </w:rPr>
        <w:t xml:space="preserve">oral </w:t>
      </w:r>
      <w:r w:rsidR="00F23992" w:rsidRPr="00F23992">
        <w:rPr>
          <w:b/>
        </w:rPr>
        <w:t xml:space="preserve">and equine melanoma. </w:t>
      </w:r>
      <w:r w:rsidR="00F23992">
        <w:t xml:space="preserve">Shown are SNVs, MNVs and indels identified in coding regions and splice sites, in canonical transcripts </w:t>
      </w:r>
      <w:r w:rsidR="0090301E">
        <w:t>as defined in Ensembl v89 (human</w:t>
      </w:r>
      <w:r w:rsidR="00F23992">
        <w:t>) and Ensembl v91 (canine and equine).</w:t>
      </w:r>
      <w:r w:rsidR="0090301E">
        <w:t xml:space="preserve"> Listed are</w:t>
      </w:r>
      <w:r w:rsidR="00F23992">
        <w:rPr>
          <w:b/>
        </w:rPr>
        <w:t xml:space="preserve"> </w:t>
      </w:r>
      <w:r w:rsidR="0090301E">
        <w:t>s</w:t>
      </w:r>
      <w:r w:rsidR="00094967">
        <w:t>omatic mutati</w:t>
      </w:r>
      <w:r w:rsidR="00041ECE">
        <w:t xml:space="preserve">ons in 46 primary, 5 recurrent, </w:t>
      </w:r>
      <w:r w:rsidR="00094967">
        <w:t>and 8 meta</w:t>
      </w:r>
      <w:r w:rsidR="00041ECE">
        <w:t>static human mucosal melanomas</w:t>
      </w:r>
      <w:r w:rsidR="0090301E">
        <w:t xml:space="preserve">; </w:t>
      </w:r>
      <w:r w:rsidR="00094967">
        <w:t>65 primary and 6</w:t>
      </w:r>
      <w:r w:rsidR="00041ECE">
        <w:t xml:space="preserve"> </w:t>
      </w:r>
      <w:r w:rsidR="00094967">
        <w:t>metastatic canine oral melanomas</w:t>
      </w:r>
      <w:r w:rsidR="0090301E">
        <w:t xml:space="preserve">; </w:t>
      </w:r>
      <w:r w:rsidR="00094967">
        <w:t>28 primary equine</w:t>
      </w:r>
      <w:r w:rsidR="00041ECE">
        <w:t xml:space="preserve"> </w:t>
      </w:r>
      <w:r w:rsidR="00094967">
        <w:t>melanomas from mucos</w:t>
      </w:r>
      <w:r w:rsidR="0090301E">
        <w:t xml:space="preserve">al-like and mucocutaneous sites; and </w:t>
      </w:r>
      <w:r w:rsidR="0090301E" w:rsidRPr="0090301E">
        <w:t>34 primary equine melanomas from cutaneous and other non-mucosal-like and non-mucocutaneous sites</w:t>
      </w:r>
      <w:r w:rsidR="0090301E">
        <w:t>.</w:t>
      </w:r>
      <w:r w:rsidR="00041ECE">
        <w:t xml:space="preserve"> </w:t>
      </w:r>
      <w:r w:rsidR="00094967">
        <w:t>No SNVs or indels were found in</w:t>
      </w:r>
      <w:r w:rsidR="0090301E">
        <w:t xml:space="preserve"> equine samples</w:t>
      </w:r>
      <w:r w:rsidR="00094967">
        <w:t xml:space="preserve"> HD0024a and HD0076a.</w:t>
      </w:r>
      <w:r w:rsidR="00896546">
        <w:t xml:space="preserve"> </w:t>
      </w:r>
      <w:r w:rsidR="00E86AFB">
        <w:t xml:space="preserve">Coordinates are relative to </w:t>
      </w:r>
      <w:r w:rsidR="0090301E">
        <w:t xml:space="preserve">the GRCh38 (human), CanFam3.1 (canine) and </w:t>
      </w:r>
      <w:r w:rsidR="00E86AFB">
        <w:t>EquCab2.0</w:t>
      </w:r>
      <w:r w:rsidR="0090301E">
        <w:t xml:space="preserve"> (equine) reference genomes</w:t>
      </w:r>
      <w:r w:rsidR="00E86AFB">
        <w:t>.</w:t>
      </w:r>
    </w:p>
    <w:p w14:paraId="3D826A86" w14:textId="77777777" w:rsidR="00094967" w:rsidRDefault="003815B3" w:rsidP="00094967">
      <w:r>
        <w:rPr>
          <w:b/>
        </w:rPr>
        <w:t>Supplementary Data</w:t>
      </w:r>
      <w:r w:rsidR="00D01AD5">
        <w:rPr>
          <w:b/>
        </w:rPr>
        <w:t xml:space="preserve"> 3</w:t>
      </w:r>
      <w:r w:rsidR="00094967" w:rsidRPr="00640A76">
        <w:rPr>
          <w:b/>
        </w:rPr>
        <w:t>: Orthology relationships between human, canine and equine genes</w:t>
      </w:r>
      <w:r w:rsidR="005F0D9E" w:rsidRPr="00640A76">
        <w:rPr>
          <w:b/>
        </w:rPr>
        <w:t>.</w:t>
      </w:r>
      <w:r w:rsidR="005F0D9E">
        <w:t xml:space="preserve"> Listed are o</w:t>
      </w:r>
      <w:r w:rsidR="00094967">
        <w:t>rthology relationships between human and dog, and human and</w:t>
      </w:r>
      <w:r w:rsidR="00041ECE">
        <w:t xml:space="preserve"> horse, as predicted by Ensembl </w:t>
      </w:r>
      <w:r w:rsidR="00094967">
        <w:t>Compara for Ensembl</w:t>
      </w:r>
      <w:r w:rsidR="0083455B">
        <w:t xml:space="preserve"> release v91, for Figures 1, 2 and 5. </w:t>
      </w:r>
      <w:r w:rsidR="00094967">
        <w:t xml:space="preserve">Canine </w:t>
      </w:r>
      <w:r w:rsidR="00094967" w:rsidRPr="005F0D9E">
        <w:rPr>
          <w:i/>
        </w:rPr>
        <w:t>MAP2K2</w:t>
      </w:r>
      <w:r w:rsidR="00094967">
        <w:t xml:space="preserve"> has been assigned as orthologs to human ENSG00000126934 (</w:t>
      </w:r>
      <w:r w:rsidR="00094967" w:rsidRPr="001535EA">
        <w:rPr>
          <w:i/>
        </w:rPr>
        <w:t>MAP2K2</w:t>
      </w:r>
      <w:r w:rsidR="00094967">
        <w:t>) and ENSG00000230626; however the similarity score (96.75%), genome order conservation (GOC) score and whole genome alignment coverage score all higher with ENSG00000126934 (</w:t>
      </w:r>
      <w:r w:rsidR="00094967" w:rsidRPr="001535EA">
        <w:rPr>
          <w:i/>
        </w:rPr>
        <w:t>MAP2K2</w:t>
      </w:r>
      <w:r w:rsidR="00094967">
        <w:t>)</w:t>
      </w:r>
      <w:r w:rsidR="002501C0">
        <w:t>.</w:t>
      </w:r>
      <w:r w:rsidR="005F0D9E">
        <w:t xml:space="preserve"> </w:t>
      </w:r>
      <w:r w:rsidR="00094967">
        <w:t xml:space="preserve">The orthology relationship of equine </w:t>
      </w:r>
      <w:r w:rsidR="00094967" w:rsidRPr="005F0D9E">
        <w:rPr>
          <w:i/>
        </w:rPr>
        <w:t>DNAH5</w:t>
      </w:r>
      <w:r w:rsidR="00094967">
        <w:t xml:space="preserve"> is shown relative to canine </w:t>
      </w:r>
      <w:r w:rsidR="00094967" w:rsidRPr="009C74D6">
        <w:rPr>
          <w:i/>
        </w:rPr>
        <w:t>DNAH5</w:t>
      </w:r>
      <w:r w:rsidR="00094967">
        <w:t xml:space="preserve">; no relationship is listed for human and dog or human and equine </w:t>
      </w:r>
      <w:r w:rsidR="00094967" w:rsidRPr="001535EA">
        <w:rPr>
          <w:i/>
        </w:rPr>
        <w:t>DNAH5</w:t>
      </w:r>
      <w:r w:rsidR="00094967">
        <w:t xml:space="preserve"> in Ensembl v91</w:t>
      </w:r>
      <w:r w:rsidR="002501C0">
        <w:t>.</w:t>
      </w:r>
      <w:r w:rsidR="0083455B">
        <w:t xml:space="preserve"> </w:t>
      </w:r>
      <w:r w:rsidR="00094967">
        <w:t>Canine and equine genes that have not been assigned a gene symbol or ortholog were not included in Figure</w:t>
      </w:r>
      <w:r w:rsidR="005F0D9E">
        <w:t>s 1,</w:t>
      </w:r>
      <w:r w:rsidR="00F300CB">
        <w:t xml:space="preserve"> </w:t>
      </w:r>
      <w:r w:rsidR="005F0D9E">
        <w:t>2 or</w:t>
      </w:r>
      <w:r w:rsidR="00094967">
        <w:t xml:space="preserve"> 5.</w:t>
      </w:r>
    </w:p>
    <w:p w14:paraId="4F3D6EB8" w14:textId="77777777" w:rsidR="0083455B" w:rsidRDefault="003815B3" w:rsidP="00094967">
      <w:r>
        <w:rPr>
          <w:b/>
        </w:rPr>
        <w:t>Supplementary Data</w:t>
      </w:r>
      <w:r w:rsidR="00D01AD5">
        <w:rPr>
          <w:b/>
        </w:rPr>
        <w:t xml:space="preserve"> 4</w:t>
      </w:r>
      <w:r w:rsidR="00094967" w:rsidRPr="00913CE8">
        <w:rPr>
          <w:b/>
        </w:rPr>
        <w:t xml:space="preserve">: </w:t>
      </w:r>
      <w:r w:rsidR="005F0D9E" w:rsidRPr="00913CE8">
        <w:rPr>
          <w:b/>
        </w:rPr>
        <w:t xml:space="preserve">Cross-species comparison of large recurrent </w:t>
      </w:r>
      <w:r w:rsidR="00D16741" w:rsidRPr="00913CE8">
        <w:rPr>
          <w:b/>
        </w:rPr>
        <w:t xml:space="preserve">DNA </w:t>
      </w:r>
      <w:r w:rsidR="005F0D9E" w:rsidRPr="00913CE8">
        <w:rPr>
          <w:b/>
        </w:rPr>
        <w:t>copy number aberrations.</w:t>
      </w:r>
      <w:r w:rsidR="0083455B">
        <w:t xml:space="preserve"> </w:t>
      </w:r>
      <w:r w:rsidR="00094967">
        <w:t xml:space="preserve">Syntenic regions with recurrent </w:t>
      </w:r>
      <w:r w:rsidR="00D16741">
        <w:t xml:space="preserve">somatic </w:t>
      </w:r>
      <w:r w:rsidR="00094967">
        <w:t>copy number gain or loss across chromosome arms or whole chromosome</w:t>
      </w:r>
      <w:r w:rsidR="006219A0">
        <w:t>s</w:t>
      </w:r>
      <w:r w:rsidR="00041ECE">
        <w:t xml:space="preserve">. </w:t>
      </w:r>
      <w:r w:rsidR="00094967">
        <w:t xml:space="preserve">Coordinates are relative to </w:t>
      </w:r>
      <w:r w:rsidR="00E363D9">
        <w:t xml:space="preserve">the </w:t>
      </w:r>
      <w:r w:rsidR="00094967">
        <w:t>reference genomes GRCh38</w:t>
      </w:r>
      <w:r w:rsidR="0026145B">
        <w:t xml:space="preserve"> (human)</w:t>
      </w:r>
      <w:r w:rsidR="00094967">
        <w:t xml:space="preserve">, CanFam3.1 </w:t>
      </w:r>
      <w:r w:rsidR="0026145B">
        <w:t xml:space="preserve">(canine) </w:t>
      </w:r>
      <w:r w:rsidR="00094967">
        <w:t>and EquCab2.</w:t>
      </w:r>
      <w:r w:rsidR="00333E1C">
        <w:t>0</w:t>
      </w:r>
      <w:r w:rsidR="0026145B">
        <w:t xml:space="preserve"> (equine)</w:t>
      </w:r>
      <w:r w:rsidR="00333E1C">
        <w:t>.</w:t>
      </w:r>
      <w:r w:rsidR="00094967">
        <w:t xml:space="preserve"> Syntenic regions were obtained from the Ensembl Compara database.</w:t>
      </w:r>
      <w:r w:rsidR="00041ECE">
        <w:t xml:space="preserve"> </w:t>
      </w:r>
      <w:r w:rsidR="00094967">
        <w:t>The minimum copy number frequency required for</w:t>
      </w:r>
      <w:r w:rsidR="00FE24E0">
        <w:t xml:space="preserve"> interspecies comparison was 0.20</w:t>
      </w:r>
      <w:r w:rsidR="00094967">
        <w:t>.</w:t>
      </w:r>
      <w:r w:rsidR="00041ECE">
        <w:t xml:space="preserve"> </w:t>
      </w:r>
      <w:r w:rsidR="00094967">
        <w:t>For each chromosome arm (human) or chromosome (canine and equine)</w:t>
      </w:r>
      <w:r w:rsidR="0083455B">
        <w:t>,</w:t>
      </w:r>
      <w:r w:rsidR="00094967">
        <w:t xml:space="preserve"> the median frequency of copy number gain (or loss) was calculated from 1Mb windows.</w:t>
      </w:r>
      <w:r w:rsidR="00041ECE">
        <w:t xml:space="preserve"> </w:t>
      </w:r>
      <w:r w:rsidR="0083455B">
        <w:t>Samples included in this</w:t>
      </w:r>
      <w:r w:rsidR="00094967">
        <w:t xml:space="preserve"> anal</w:t>
      </w:r>
      <w:r w:rsidR="0083455B">
        <w:t>ysis are also l</w:t>
      </w:r>
      <w:r w:rsidR="004E0DBF">
        <w:t>isted</w:t>
      </w:r>
      <w:r w:rsidR="0083455B">
        <w:t>.</w:t>
      </w:r>
      <w:r w:rsidR="004E0DBF">
        <w:t xml:space="preserve"> </w:t>
      </w:r>
      <w:r w:rsidR="0083455B">
        <w:t>As described in the Methods, some samples with excessive noise were excluded from</w:t>
      </w:r>
      <w:r w:rsidR="004E0DBF">
        <w:t xml:space="preserve"> somatic copy number calling with Sequenza, and subsequent downstream analysis with GISTIC 2.0 and/or STAC. </w:t>
      </w:r>
    </w:p>
    <w:p w14:paraId="02CD7319" w14:textId="77777777" w:rsidR="00094967" w:rsidRDefault="003815B3" w:rsidP="00094967">
      <w:r>
        <w:rPr>
          <w:b/>
        </w:rPr>
        <w:lastRenderedPageBreak/>
        <w:t>Supplementary Data</w:t>
      </w:r>
      <w:r w:rsidR="00D01AD5">
        <w:rPr>
          <w:b/>
        </w:rPr>
        <w:t xml:space="preserve"> 5</w:t>
      </w:r>
      <w:r w:rsidR="00094967" w:rsidRPr="00913CE8">
        <w:rPr>
          <w:b/>
        </w:rPr>
        <w:t>: Cancer Gene Census genes located in significantly amplified and deleted regions in human mucosal melanoma</w:t>
      </w:r>
      <w:r w:rsidR="00041ECE">
        <w:t xml:space="preserve">. </w:t>
      </w:r>
      <w:r w:rsidR="00094967">
        <w:t>Shown are peaks f</w:t>
      </w:r>
      <w:r w:rsidR="00D24B86">
        <w:t>rom GISTIC 2.0 “region limits”</w:t>
      </w:r>
      <w:r w:rsidR="00041ECE">
        <w:t xml:space="preserve"> </w:t>
      </w:r>
      <w:r w:rsidR="00D24B86">
        <w:t>and “wide peaks”</w:t>
      </w:r>
      <w:r w:rsidR="00094967">
        <w:t>, and genes within these regions that are found in the Cancer Gene Census catalog. Defini</w:t>
      </w:r>
      <w:r w:rsidR="00041ECE">
        <w:t xml:space="preserve">tions from GISTIC 2.0 are as follows: </w:t>
      </w:r>
      <w:r w:rsidR="00094967">
        <w:t>Region Limits: boundaries of the entire significant region of amplification or deletion</w:t>
      </w:r>
      <w:r w:rsidR="00041ECE">
        <w:t xml:space="preserve">; </w:t>
      </w:r>
      <w:r w:rsidR="00094967">
        <w:t>Wide Peak Limits:  most likely to contain the targeted genes</w:t>
      </w:r>
      <w:r w:rsidR="00041ECE">
        <w:t xml:space="preserve">; </w:t>
      </w:r>
      <w:r w:rsidR="00094967" w:rsidRPr="007C1E35">
        <w:rPr>
          <w:i/>
        </w:rPr>
        <w:t>q</w:t>
      </w:r>
      <w:r w:rsidR="00094967">
        <w:t xml:space="preserve">-values: the </w:t>
      </w:r>
      <w:r w:rsidR="00094967" w:rsidRPr="007C1E35">
        <w:rPr>
          <w:i/>
        </w:rPr>
        <w:t>q</w:t>
      </w:r>
      <w:r w:rsidR="00094967">
        <w:t>-value of the peak region</w:t>
      </w:r>
      <w:r w:rsidR="00041ECE">
        <w:t xml:space="preserve">; Residual </w:t>
      </w:r>
      <w:r w:rsidR="00041ECE" w:rsidRPr="007C1E35">
        <w:rPr>
          <w:i/>
        </w:rPr>
        <w:t>q</w:t>
      </w:r>
      <w:r w:rsidR="00041ECE">
        <w:t>-values: t</w:t>
      </w:r>
      <w:r w:rsidR="00094967">
        <w:t xml:space="preserve">he </w:t>
      </w:r>
      <w:r w:rsidR="00094967" w:rsidRPr="007C1E35">
        <w:rPr>
          <w:i/>
        </w:rPr>
        <w:t>q</w:t>
      </w:r>
      <w:r w:rsidR="00094967">
        <w:t>-value of the peak region</w:t>
      </w:r>
      <w:r w:rsidR="00D24B86">
        <w:t xml:space="preserve"> after removing (“peeling off”</w:t>
      </w:r>
      <w:r w:rsidR="00C16F80">
        <w:t xml:space="preserve">) </w:t>
      </w:r>
      <w:r w:rsidR="00094967">
        <w:t>amplifications or deletions that overlap other, more sign</w:t>
      </w:r>
      <w:r w:rsidR="00E05A68">
        <w:t>i</w:t>
      </w:r>
      <w:r w:rsidR="00094967">
        <w:t xml:space="preserve">ficant peak </w:t>
      </w:r>
      <w:r w:rsidR="00041ECE">
        <w:t xml:space="preserve">regions in the same chromosome. </w:t>
      </w:r>
      <w:r w:rsidR="00094967">
        <w:t>Green: gene</w:t>
      </w:r>
      <w:r w:rsidR="00CE64F7">
        <w:t xml:space="preserve"> is</w:t>
      </w:r>
      <w:r w:rsidR="00094967">
        <w:t xml:space="preserve"> within wide peak limits only</w:t>
      </w:r>
      <w:r w:rsidR="00041ECE">
        <w:t xml:space="preserve">; </w:t>
      </w:r>
      <w:r w:rsidR="00094967">
        <w:t xml:space="preserve">Blue: gene </w:t>
      </w:r>
      <w:r w:rsidR="00CE64F7">
        <w:t xml:space="preserve">is </w:t>
      </w:r>
      <w:r w:rsidR="00094967">
        <w:t>within region limits only</w:t>
      </w:r>
      <w:r w:rsidR="00041ECE">
        <w:t xml:space="preserve">; </w:t>
      </w:r>
      <w:r w:rsidR="00094967">
        <w:t xml:space="preserve">Black: gene </w:t>
      </w:r>
      <w:r w:rsidR="00CE64F7">
        <w:t xml:space="preserve">is </w:t>
      </w:r>
      <w:r w:rsidR="00094967">
        <w:t>within b</w:t>
      </w:r>
      <w:r w:rsidR="00041ECE">
        <w:t xml:space="preserve">oth wide peak and region limits. </w:t>
      </w:r>
      <w:r w:rsidR="00094967">
        <w:t xml:space="preserve">Shown are </w:t>
      </w:r>
      <w:r w:rsidR="008207BA">
        <w:t xml:space="preserve">all </w:t>
      </w:r>
      <w:r w:rsidR="00094967">
        <w:t>results with res</w:t>
      </w:r>
      <w:r w:rsidR="00C16F80">
        <w:t xml:space="preserve">idual </w:t>
      </w:r>
      <w:r w:rsidR="008207BA">
        <w:rPr>
          <w:i/>
        </w:rPr>
        <w:t>q</w:t>
      </w:r>
      <w:r w:rsidR="00094967">
        <w:t xml:space="preserve">-value &lt; 0.2. Regions in red had </w:t>
      </w:r>
      <w:r w:rsidR="00094967" w:rsidRPr="007C1E35">
        <w:rPr>
          <w:i/>
        </w:rPr>
        <w:t>q</w:t>
      </w:r>
      <w:r w:rsidR="00643740">
        <w:t>-values &gt;</w:t>
      </w:r>
      <w:r w:rsidR="00094967">
        <w:t xml:space="preserve"> 0.05 and were not considered significant.</w:t>
      </w:r>
    </w:p>
    <w:p w14:paraId="1EC528ED" w14:textId="77777777" w:rsidR="00094967" w:rsidRDefault="003815B3" w:rsidP="00094967">
      <w:r>
        <w:rPr>
          <w:b/>
        </w:rPr>
        <w:t>Supplementary Data</w:t>
      </w:r>
      <w:r w:rsidR="00D01AD5">
        <w:rPr>
          <w:b/>
        </w:rPr>
        <w:t xml:space="preserve"> 6</w:t>
      </w:r>
      <w:r w:rsidR="00C16F80" w:rsidRPr="00C16F80">
        <w:rPr>
          <w:b/>
        </w:rPr>
        <w:t>:</w:t>
      </w:r>
      <w:r w:rsidR="00094967" w:rsidRPr="00C16F80">
        <w:rPr>
          <w:b/>
        </w:rPr>
        <w:t xml:space="preserve"> Significant DNA copy</w:t>
      </w:r>
      <w:r w:rsidR="00C16F80">
        <w:rPr>
          <w:b/>
        </w:rPr>
        <w:t xml:space="preserve"> number</w:t>
      </w:r>
      <w:r w:rsidR="00094967" w:rsidRPr="00C16F80">
        <w:rPr>
          <w:b/>
        </w:rPr>
        <w:t xml:space="preserve"> aberrations from STAC analysis</w:t>
      </w:r>
      <w:r w:rsidR="00C16F80" w:rsidRPr="00C16F80">
        <w:rPr>
          <w:b/>
        </w:rPr>
        <w:t>.</w:t>
      </w:r>
      <w:r w:rsidR="00C16F80">
        <w:t xml:space="preserve"> </w:t>
      </w:r>
      <w:r w:rsidR="00516F21">
        <w:t>Listed are c</w:t>
      </w:r>
      <w:r w:rsidR="00C16F80">
        <w:t>opy number aberrations in human mucosal melanoma, canine oral melanoma, and equine melanoma from mucosal-like and mucocutaneous sites</w:t>
      </w:r>
      <w:r w:rsidR="00094967">
        <w:t>.</w:t>
      </w:r>
      <w:r w:rsidR="00041ECE">
        <w:t xml:space="preserve"> </w:t>
      </w:r>
      <w:r w:rsidR="00094967">
        <w:t>Copy number amplification or deletion frequencies in 1Mb regions (STAC "lo</w:t>
      </w:r>
      <w:r w:rsidR="00643740">
        <w:t>cations") were used for analysis</w:t>
      </w:r>
      <w:r w:rsidR="00094967">
        <w:t xml:space="preserve"> by STAC. Locations with a frequency </w:t>
      </w:r>
      <w:r w:rsidR="00094967" w:rsidRPr="00C16F80">
        <w:rPr>
          <w:i/>
        </w:rPr>
        <w:t>P</w:t>
      </w:r>
      <w:r w:rsidR="00402951">
        <w:t>-v</w:t>
      </w:r>
      <w:r w:rsidR="00094967">
        <w:t>alue &lt; 0.05</w:t>
      </w:r>
      <w:r w:rsidR="00041ECE">
        <w:t xml:space="preserve"> </w:t>
      </w:r>
      <w:r w:rsidR="00094967">
        <w:t xml:space="preserve">and/or a footprint </w:t>
      </w:r>
      <w:r w:rsidR="00094967" w:rsidRPr="00C16F80">
        <w:rPr>
          <w:i/>
        </w:rPr>
        <w:t>P</w:t>
      </w:r>
      <w:r w:rsidR="00094967">
        <w:t>-value &lt;0.05 and a location frequency of at least 0.2 were considered sign</w:t>
      </w:r>
      <w:r w:rsidR="00041ECE">
        <w:t>i</w:t>
      </w:r>
      <w:r w:rsidR="00094967">
        <w:t>ficant (see Methods).</w:t>
      </w:r>
      <w:r w:rsidR="00041ECE">
        <w:t xml:space="preserve"> </w:t>
      </w:r>
      <w:r w:rsidR="00094967">
        <w:t>Cancer Gene Census genes with whole or partial overlap with each location are shown.</w:t>
      </w:r>
      <w:r w:rsidR="00041ECE">
        <w:t xml:space="preserve"> </w:t>
      </w:r>
      <w:r w:rsidR="00094967">
        <w:t xml:space="preserve">Adjacent significant locations were merged to determine region boundaries. Regions less than half a chromosome arm </w:t>
      </w:r>
      <w:r w:rsidR="00C16F80">
        <w:t xml:space="preserve">(human) or chromosome (canine and equine) </w:t>
      </w:r>
      <w:r w:rsidR="00094967">
        <w:t>in size were used for comparison of focal aberrations.</w:t>
      </w:r>
      <w:bookmarkStart w:id="0" w:name="_GoBack"/>
      <w:bookmarkEnd w:id="0"/>
    </w:p>
    <w:sectPr w:rsidR="000949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60BD0" w14:textId="77777777" w:rsidR="004B3FB0" w:rsidRDefault="004B3FB0" w:rsidP="00157B7C">
      <w:pPr>
        <w:spacing w:after="0" w:line="240" w:lineRule="auto"/>
      </w:pPr>
      <w:r>
        <w:separator/>
      </w:r>
    </w:p>
  </w:endnote>
  <w:endnote w:type="continuationSeparator" w:id="0">
    <w:p w14:paraId="6B3B4952" w14:textId="77777777" w:rsidR="004B3FB0" w:rsidRDefault="004B3FB0" w:rsidP="0015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189A8" w14:textId="77777777" w:rsidR="00CF3961" w:rsidRDefault="00CF39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9898A" w14:textId="77777777" w:rsidR="00CF3961" w:rsidRDefault="00CF39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B20C8" w14:textId="77777777" w:rsidR="00CF3961" w:rsidRDefault="00CF3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D63A5" w14:textId="77777777" w:rsidR="004B3FB0" w:rsidRDefault="004B3FB0" w:rsidP="00157B7C">
      <w:pPr>
        <w:spacing w:after="0" w:line="240" w:lineRule="auto"/>
      </w:pPr>
      <w:r>
        <w:separator/>
      </w:r>
    </w:p>
  </w:footnote>
  <w:footnote w:type="continuationSeparator" w:id="0">
    <w:p w14:paraId="72CA3E1E" w14:textId="77777777" w:rsidR="004B3FB0" w:rsidRDefault="004B3FB0" w:rsidP="00157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7B5A1" w14:textId="77777777" w:rsidR="00CF3961" w:rsidRDefault="00CF39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284E4" w14:textId="77777777" w:rsidR="00CF3961" w:rsidRDefault="00CF39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1D4E5" w14:textId="77777777" w:rsidR="00CF3961" w:rsidRDefault="00CF39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67"/>
    <w:rsid w:val="00041ECE"/>
    <w:rsid w:val="00043F2F"/>
    <w:rsid w:val="0007702E"/>
    <w:rsid w:val="00094967"/>
    <w:rsid w:val="000A349B"/>
    <w:rsid w:val="000B6D25"/>
    <w:rsid w:val="000C23EB"/>
    <w:rsid w:val="000D3FF6"/>
    <w:rsid w:val="001535EA"/>
    <w:rsid w:val="00157B7C"/>
    <w:rsid w:val="001C0015"/>
    <w:rsid w:val="002501C0"/>
    <w:rsid w:val="0026145B"/>
    <w:rsid w:val="0028645C"/>
    <w:rsid w:val="00333E1C"/>
    <w:rsid w:val="003815B3"/>
    <w:rsid w:val="003C1911"/>
    <w:rsid w:val="00402951"/>
    <w:rsid w:val="004B3FB0"/>
    <w:rsid w:val="004E0DBF"/>
    <w:rsid w:val="00516F21"/>
    <w:rsid w:val="0055039F"/>
    <w:rsid w:val="005F0D9E"/>
    <w:rsid w:val="006219A0"/>
    <w:rsid w:val="00630619"/>
    <w:rsid w:val="00640A76"/>
    <w:rsid w:val="00643740"/>
    <w:rsid w:val="00793A4D"/>
    <w:rsid w:val="007C1E35"/>
    <w:rsid w:val="007E1696"/>
    <w:rsid w:val="008044D5"/>
    <w:rsid w:val="008207BA"/>
    <w:rsid w:val="0083455B"/>
    <w:rsid w:val="00872852"/>
    <w:rsid w:val="008929F4"/>
    <w:rsid w:val="00896546"/>
    <w:rsid w:val="008B2DBC"/>
    <w:rsid w:val="008F0EBA"/>
    <w:rsid w:val="0090301E"/>
    <w:rsid w:val="00913CE8"/>
    <w:rsid w:val="00921BE0"/>
    <w:rsid w:val="009C74D6"/>
    <w:rsid w:val="00B113DB"/>
    <w:rsid w:val="00B1740B"/>
    <w:rsid w:val="00B72838"/>
    <w:rsid w:val="00B825CA"/>
    <w:rsid w:val="00C16F80"/>
    <w:rsid w:val="00CA60C0"/>
    <w:rsid w:val="00CE64F7"/>
    <w:rsid w:val="00CF3961"/>
    <w:rsid w:val="00D01AD5"/>
    <w:rsid w:val="00D16741"/>
    <w:rsid w:val="00D24B86"/>
    <w:rsid w:val="00D52782"/>
    <w:rsid w:val="00E05A68"/>
    <w:rsid w:val="00E363D9"/>
    <w:rsid w:val="00E86AFB"/>
    <w:rsid w:val="00EC17E9"/>
    <w:rsid w:val="00F23992"/>
    <w:rsid w:val="00F300CB"/>
    <w:rsid w:val="00FA00C6"/>
    <w:rsid w:val="00FE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87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21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B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B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B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B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B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7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B7C"/>
  </w:style>
  <w:style w:type="paragraph" w:styleId="Footer">
    <w:name w:val="footer"/>
    <w:basedOn w:val="Normal"/>
    <w:link w:val="FooterChar"/>
    <w:uiPriority w:val="99"/>
    <w:unhideWhenUsed/>
    <w:rsid w:val="00157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7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2019-01-03T18:13:00Z</dcterms:created>
  <dcterms:modified xsi:type="dcterms:W3CDTF">2019-01-03T18:13:00Z</dcterms:modified>
</cp:coreProperties>
</file>