
<file path=[Content_Types].xml><?xml version="1.0" encoding="utf-8"?>
<Types xmlns="http://schemas.openxmlformats.org/package/2006/content-types">
  <Default Extension="rels" ContentType="application/vnd.openxmlformats-package.relationships+xml"/>
  <Default Extension="xml" ContentType="application/xml"/>
  <Default Extension="tif" ContentType="image/tiff"/>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D1CA76" w14:textId="77777777" w:rsidR="000772D6" w:rsidRPr="000772D6" w:rsidRDefault="000772D6" w:rsidP="000772D6">
      <w:pPr>
        <w:spacing w:line="360" w:lineRule="auto"/>
        <w:jc w:val="center"/>
        <w:rPr>
          <w:b/>
          <w:bCs/>
          <w:szCs w:val="24"/>
        </w:rPr>
      </w:pPr>
      <w:bookmarkStart w:id="0" w:name="_GoBack"/>
      <w:r w:rsidRPr="000772D6">
        <w:rPr>
          <w:b/>
          <w:szCs w:val="24"/>
        </w:rPr>
        <w:t>Phosphorylation-deficient G-protein-biased μ-opioid receptors improve analgesia and diminish tolerance but worsen opioid side effects</w:t>
      </w:r>
    </w:p>
    <w:bookmarkEnd w:id="0"/>
    <w:p w14:paraId="73C0B236" w14:textId="77777777" w:rsidR="005B42AC" w:rsidRPr="005B42AC" w:rsidRDefault="005B42AC" w:rsidP="005B42AC">
      <w:pPr>
        <w:spacing w:after="240" w:line="480" w:lineRule="auto"/>
        <w:jc w:val="both"/>
        <w:rPr>
          <w:b/>
          <w:bCs/>
          <w:szCs w:val="24"/>
        </w:rPr>
      </w:pPr>
    </w:p>
    <w:p w14:paraId="7431FA21" w14:textId="77777777" w:rsidR="005F58A3" w:rsidRDefault="005F58A3" w:rsidP="005F58A3">
      <w:pPr>
        <w:spacing w:line="480" w:lineRule="auto"/>
        <w:jc w:val="both"/>
        <w:outlineLvl w:val="0"/>
        <w:rPr>
          <w:rFonts w:eastAsia="Batang"/>
          <w:i/>
          <w:szCs w:val="24"/>
          <w:lang w:val="en-GB" w:eastAsia="ko-KR"/>
        </w:rPr>
      </w:pPr>
      <w:r>
        <w:rPr>
          <w:rFonts w:eastAsia="Batang"/>
          <w:i/>
          <w:szCs w:val="24"/>
          <w:lang w:val="en-GB" w:eastAsia="ko-KR"/>
        </w:rPr>
        <w:t>A. Kliewer</w:t>
      </w:r>
      <w:r>
        <w:rPr>
          <w:rFonts w:eastAsia="Batang"/>
          <w:i/>
          <w:szCs w:val="24"/>
          <w:vertAlign w:val="superscript"/>
          <w:lang w:val="en-GB" w:eastAsia="ko-KR"/>
        </w:rPr>
        <w:t>1</w:t>
      </w:r>
      <w:r>
        <w:rPr>
          <w:rFonts w:eastAsia="Batang"/>
          <w:i/>
          <w:szCs w:val="24"/>
          <w:lang w:val="en-GB" w:eastAsia="ko-KR"/>
        </w:rPr>
        <w:t>, F. Schmiedel</w:t>
      </w:r>
      <w:r>
        <w:rPr>
          <w:rFonts w:eastAsia="Batang"/>
          <w:i/>
          <w:szCs w:val="24"/>
          <w:vertAlign w:val="superscript"/>
          <w:lang w:val="en-GB" w:eastAsia="ko-KR"/>
        </w:rPr>
        <w:t>1</w:t>
      </w:r>
      <w:r>
        <w:rPr>
          <w:rFonts w:eastAsia="Batang"/>
          <w:i/>
          <w:szCs w:val="24"/>
          <w:lang w:val="en-GB" w:eastAsia="ko-KR"/>
        </w:rPr>
        <w:t>, S. Sianati</w:t>
      </w:r>
      <w:r>
        <w:rPr>
          <w:rFonts w:eastAsia="Batang"/>
          <w:i/>
          <w:szCs w:val="24"/>
          <w:vertAlign w:val="superscript"/>
          <w:lang w:val="en-GB" w:eastAsia="ko-KR"/>
        </w:rPr>
        <w:t>2</w:t>
      </w:r>
      <w:r>
        <w:rPr>
          <w:rFonts w:eastAsia="Batang"/>
          <w:i/>
          <w:szCs w:val="24"/>
          <w:lang w:val="en-GB" w:eastAsia="ko-KR"/>
        </w:rPr>
        <w:t>, A. Bailey</w:t>
      </w:r>
      <w:r>
        <w:rPr>
          <w:rFonts w:eastAsia="Batang"/>
          <w:i/>
          <w:szCs w:val="24"/>
          <w:vertAlign w:val="superscript"/>
          <w:lang w:val="en-GB" w:eastAsia="ko-KR"/>
        </w:rPr>
        <w:t>3</w:t>
      </w:r>
      <w:r>
        <w:rPr>
          <w:rFonts w:eastAsia="Batang"/>
          <w:i/>
          <w:szCs w:val="24"/>
          <w:lang w:val="en-GB" w:eastAsia="ko-KR"/>
        </w:rPr>
        <w:t>,</w:t>
      </w:r>
      <w:r>
        <w:rPr>
          <w:i/>
          <w:lang w:val="en-GB"/>
        </w:rPr>
        <w:t xml:space="preserve"> J. T. Bateman</w:t>
      </w:r>
      <w:r>
        <w:rPr>
          <w:i/>
          <w:vertAlign w:val="superscript"/>
          <w:lang w:val="en-GB"/>
        </w:rPr>
        <w:t>4</w:t>
      </w:r>
      <w:r>
        <w:rPr>
          <w:i/>
          <w:lang w:val="en-GB"/>
        </w:rPr>
        <w:t>,</w:t>
      </w:r>
      <w:r>
        <w:rPr>
          <w:rFonts w:eastAsia="Batang"/>
          <w:i/>
          <w:szCs w:val="24"/>
          <w:lang w:val="en-GB" w:eastAsia="ko-KR"/>
        </w:rPr>
        <w:t xml:space="preserve"> E. S. Levitt</w:t>
      </w:r>
      <w:r>
        <w:rPr>
          <w:rFonts w:eastAsia="Batang"/>
          <w:i/>
          <w:szCs w:val="24"/>
          <w:vertAlign w:val="superscript"/>
          <w:lang w:val="en-GB" w:eastAsia="ko-KR"/>
        </w:rPr>
        <w:t>4</w:t>
      </w:r>
      <w:r>
        <w:rPr>
          <w:rFonts w:eastAsia="Batang"/>
          <w:i/>
          <w:szCs w:val="24"/>
          <w:lang w:val="en-GB" w:eastAsia="ko-KR"/>
        </w:rPr>
        <w:t>, J. T. Williams</w:t>
      </w:r>
      <w:r>
        <w:rPr>
          <w:rFonts w:eastAsia="Batang"/>
          <w:i/>
          <w:szCs w:val="24"/>
          <w:vertAlign w:val="superscript"/>
          <w:lang w:val="en-GB" w:eastAsia="ko-KR"/>
        </w:rPr>
        <w:t>5</w:t>
      </w:r>
      <w:r>
        <w:rPr>
          <w:rFonts w:eastAsia="Batang"/>
          <w:i/>
          <w:szCs w:val="24"/>
          <w:lang w:val="en-GB" w:eastAsia="ko-KR"/>
        </w:rPr>
        <w:t>, M. J. Christie</w:t>
      </w:r>
      <w:r>
        <w:rPr>
          <w:rFonts w:eastAsia="Batang"/>
          <w:i/>
          <w:szCs w:val="24"/>
          <w:vertAlign w:val="superscript"/>
          <w:lang w:val="en-GB" w:eastAsia="ko-KR"/>
        </w:rPr>
        <w:t>2</w:t>
      </w:r>
      <w:r>
        <w:rPr>
          <w:rFonts w:eastAsia="Batang"/>
          <w:i/>
          <w:szCs w:val="24"/>
          <w:lang w:val="en-GB" w:eastAsia="ko-KR"/>
        </w:rPr>
        <w:t xml:space="preserve"> and S. Schulz</w:t>
      </w:r>
      <w:r>
        <w:rPr>
          <w:rFonts w:eastAsia="Batang"/>
          <w:i/>
          <w:szCs w:val="24"/>
          <w:vertAlign w:val="superscript"/>
          <w:lang w:val="en-GB" w:eastAsia="ko-KR"/>
        </w:rPr>
        <w:t>1*</w:t>
      </w:r>
    </w:p>
    <w:p w14:paraId="26D19DD0" w14:textId="1ABF3CFF" w:rsidR="00256680" w:rsidRPr="006B45B5" w:rsidRDefault="00256680" w:rsidP="00256680">
      <w:pPr>
        <w:spacing w:line="480" w:lineRule="auto"/>
        <w:rPr>
          <w:szCs w:val="24"/>
          <w:lang w:val="en-GB"/>
        </w:rPr>
      </w:pPr>
    </w:p>
    <w:p w14:paraId="529FEF61" w14:textId="2E8516AE" w:rsidR="00256680" w:rsidRPr="006B45B5" w:rsidRDefault="00F24E1E" w:rsidP="00A51EAD">
      <w:pPr>
        <w:pStyle w:val="berschrift1"/>
      </w:pPr>
      <w:r>
        <w:rPr>
          <w:szCs w:val="24"/>
        </w:rPr>
        <w:t>Supplementary</w:t>
      </w:r>
      <w:r w:rsidRPr="006B45B5">
        <w:t xml:space="preserve"> </w:t>
      </w:r>
      <w:r w:rsidR="00033EC4" w:rsidRPr="006B45B5">
        <w:t>Methods</w:t>
      </w:r>
    </w:p>
    <w:p w14:paraId="2397ACDB" w14:textId="70D4C5B8" w:rsidR="001A0143" w:rsidRPr="00FF4DEE" w:rsidRDefault="001A0143" w:rsidP="001A0143">
      <w:pPr>
        <w:spacing w:line="480" w:lineRule="auto"/>
        <w:jc w:val="both"/>
        <w:rPr>
          <w:b/>
          <w:szCs w:val="24"/>
        </w:rPr>
      </w:pPr>
      <w:r w:rsidRPr="00FF4DEE">
        <w:rPr>
          <w:b/>
          <w:szCs w:val="24"/>
        </w:rPr>
        <w:t xml:space="preserve">Western blot analysis </w:t>
      </w:r>
    </w:p>
    <w:p w14:paraId="0CCF2035" w14:textId="4D9BF31A" w:rsidR="001A0143" w:rsidRPr="00FF4DEE" w:rsidRDefault="001A0143" w:rsidP="001A0143">
      <w:pPr>
        <w:spacing w:line="480" w:lineRule="auto"/>
        <w:jc w:val="both"/>
        <w:rPr>
          <w:szCs w:val="24"/>
        </w:rPr>
      </w:pPr>
      <w:r w:rsidRPr="00FF4DEE">
        <w:rPr>
          <w:szCs w:val="24"/>
        </w:rPr>
        <w:t xml:space="preserve">Mice were anesthetized </w:t>
      </w:r>
      <w:r w:rsidR="001A7975" w:rsidRPr="00FF4DEE">
        <w:rPr>
          <w:szCs w:val="24"/>
        </w:rPr>
        <w:t xml:space="preserve">with </w:t>
      </w:r>
      <w:r w:rsidRPr="00FF4DEE">
        <w:rPr>
          <w:szCs w:val="24"/>
        </w:rPr>
        <w:t xml:space="preserve">isoflurane, killed by cervical dislocation, and brains were quickly dissected </w:t>
      </w:r>
      <w:r w:rsidR="001A7975" w:rsidRPr="00FF4DEE">
        <w:rPr>
          <w:szCs w:val="24"/>
        </w:rPr>
        <w:t xml:space="preserve">excluding </w:t>
      </w:r>
      <w:r w:rsidRPr="00FF4DEE">
        <w:rPr>
          <w:szCs w:val="24"/>
        </w:rPr>
        <w:t>the cerebellum. The remaining brain samples were immediately frozen in liquid nitrogen. Brains were transferred to ice-cold detergent buffer (50 mM Tris-HCl, pH 7.4, 150 mM NaCl, 5 mM EDTA, 10 mM NaF, 10 mM disodium pyrophosphate, 1% Nonidet P-40, 0.5% sodium deoxycholate, 0.1% sodium dodecyl sulfate (SDS)</w:t>
      </w:r>
      <w:r w:rsidR="001A7975" w:rsidRPr="00FF4DEE">
        <w:rPr>
          <w:szCs w:val="24"/>
        </w:rPr>
        <w:t>,</w:t>
      </w:r>
      <w:r w:rsidRPr="00FF4DEE">
        <w:rPr>
          <w:szCs w:val="24"/>
        </w:rPr>
        <w:t xml:space="preserve"> containing protease and phosphatase inhibitors), homogenized, and centrifuged at 14,000 × </w:t>
      </w:r>
      <w:r w:rsidRPr="00FF4DEE">
        <w:rPr>
          <w:i/>
          <w:szCs w:val="24"/>
        </w:rPr>
        <w:t>g</w:t>
      </w:r>
      <w:r w:rsidRPr="00FF4DEE">
        <w:rPr>
          <w:szCs w:val="24"/>
        </w:rPr>
        <w:t xml:space="preserve"> for 30 min at 4°C. The supernatant was </w:t>
      </w:r>
      <w:r w:rsidR="00050E88" w:rsidRPr="00FF4DEE">
        <w:rPr>
          <w:szCs w:val="24"/>
        </w:rPr>
        <w:t>added</w:t>
      </w:r>
      <w:r w:rsidR="00737A16" w:rsidRPr="00FF4DEE">
        <w:rPr>
          <w:szCs w:val="24"/>
        </w:rPr>
        <w:t xml:space="preserve"> </w:t>
      </w:r>
      <w:r w:rsidRPr="00FF4DEE">
        <w:rPr>
          <w:szCs w:val="24"/>
        </w:rPr>
        <w:t xml:space="preserve">with </w:t>
      </w:r>
      <w:r w:rsidRPr="00FF4DEE">
        <w:rPr>
          <w:szCs w:val="24"/>
          <w:lang w:bidi="de-DE"/>
        </w:rPr>
        <w:t>SDS-sample buffer</w:t>
      </w:r>
      <w:r w:rsidR="001A7975" w:rsidRPr="00FF4DEE">
        <w:rPr>
          <w:szCs w:val="24"/>
          <w:lang w:bidi="de-DE"/>
        </w:rPr>
        <w:t>,</w:t>
      </w:r>
      <w:r w:rsidRPr="00FF4DEE">
        <w:rPr>
          <w:szCs w:val="24"/>
          <w:lang w:bidi="de-DE"/>
        </w:rPr>
        <w:t xml:space="preserve"> incubated for 5 min at 95°C and then resolved on 8% SDS-polyacrylamide gels.</w:t>
      </w:r>
      <w:r w:rsidRPr="00FF4DEE">
        <w:rPr>
          <w:szCs w:val="24"/>
        </w:rPr>
        <w:t xml:space="preserve"> </w:t>
      </w:r>
      <w:r w:rsidRPr="00FF4DEE">
        <w:rPr>
          <w:szCs w:val="24"/>
          <w:lang w:bidi="de-DE"/>
        </w:rPr>
        <w:t>After electroblotting, membranes were incubated with the anti-</w:t>
      </w:r>
      <w:r w:rsidRPr="00FF4DEE">
        <w:rPr>
          <w:szCs w:val="24"/>
          <w:lang w:bidi="de-DE"/>
        </w:rPr>
        <w:sym w:font="Symbol" w:char="F062"/>
      </w:r>
      <w:r w:rsidR="00401304" w:rsidRPr="00FF4DEE">
        <w:rPr>
          <w:szCs w:val="24"/>
          <w:lang w:bidi="de-DE"/>
        </w:rPr>
        <w:t>-</w:t>
      </w:r>
      <w:r w:rsidRPr="00FF4DEE">
        <w:rPr>
          <w:szCs w:val="24"/>
          <w:lang w:bidi="de-DE"/>
        </w:rPr>
        <w:t>arrestin1 (ab32095, abcam)</w:t>
      </w:r>
      <w:r w:rsidR="00ED54A5" w:rsidRPr="00FF4DEE">
        <w:rPr>
          <w:b/>
          <w:szCs w:val="24"/>
          <w:lang w:bidi="de-DE"/>
        </w:rPr>
        <w:t xml:space="preserve"> </w:t>
      </w:r>
      <w:r w:rsidRPr="00FF4DEE">
        <w:rPr>
          <w:szCs w:val="24"/>
          <w:lang w:bidi="de-DE"/>
        </w:rPr>
        <w:t xml:space="preserve">or anti-GRK2 (sc-562, </w:t>
      </w:r>
      <w:r w:rsidRPr="00FF4DEE">
        <w:rPr>
          <w:szCs w:val="24"/>
        </w:rPr>
        <w:t xml:space="preserve">Santa Cruz Biotechnology) </w:t>
      </w:r>
      <w:r w:rsidR="001A7975" w:rsidRPr="00FF4DEE">
        <w:rPr>
          <w:szCs w:val="24"/>
        </w:rPr>
        <w:t xml:space="preserve">antisera </w:t>
      </w:r>
      <w:r w:rsidRPr="00FF4DEE">
        <w:rPr>
          <w:szCs w:val="24"/>
          <w:lang w:bidi="de-DE"/>
        </w:rPr>
        <w:t xml:space="preserve">followed by detection using </w:t>
      </w:r>
      <w:r w:rsidR="001A7975" w:rsidRPr="00FF4DEE">
        <w:rPr>
          <w:szCs w:val="24"/>
          <w:lang w:bidi="de-DE"/>
        </w:rPr>
        <w:t xml:space="preserve">an </w:t>
      </w:r>
      <w:r w:rsidRPr="00FF4DEE">
        <w:rPr>
          <w:szCs w:val="24"/>
          <w:lang w:bidi="de-DE"/>
        </w:rPr>
        <w:t xml:space="preserve">enhanced chemiluminescence detection system (Amersham, Braunschweig, Germany). </w:t>
      </w:r>
      <w:r w:rsidRPr="00FF4DEE">
        <w:rPr>
          <w:szCs w:val="24"/>
        </w:rPr>
        <w:t xml:space="preserve">Blots were subsequently stripped and reprobed with </w:t>
      </w:r>
      <w:r w:rsidR="00401304" w:rsidRPr="00FF4DEE">
        <w:rPr>
          <w:szCs w:val="24"/>
        </w:rPr>
        <w:t>anti-a</w:t>
      </w:r>
      <w:r w:rsidRPr="00FF4DEE">
        <w:rPr>
          <w:szCs w:val="24"/>
        </w:rPr>
        <w:t>ctin (sc-47778, Santa Cruz Biotechnology) to confirm equal loading of the gels. Protein bands on Western blots were exposed to X-ray film. Films exposed in the linear range were then densitized using ImageJ 1.37v.</w:t>
      </w:r>
    </w:p>
    <w:p w14:paraId="4C842D10" w14:textId="61935704" w:rsidR="001A0143" w:rsidRDefault="001A0143" w:rsidP="00F043A3">
      <w:pPr>
        <w:pStyle w:val="berschrift2"/>
        <w:rPr>
          <w:lang w:val="en-US"/>
        </w:rPr>
      </w:pPr>
    </w:p>
    <w:p w14:paraId="6C7E1CC0" w14:textId="77777777" w:rsidR="00157193" w:rsidRPr="00157193" w:rsidRDefault="00157193" w:rsidP="00157193"/>
    <w:p w14:paraId="450F1C59" w14:textId="77777777" w:rsidR="00C00E42" w:rsidRPr="00C00E42" w:rsidRDefault="00C00E42" w:rsidP="00C00E42">
      <w:pPr>
        <w:rPr>
          <w:lang w:val="en-GB"/>
        </w:rPr>
      </w:pPr>
    </w:p>
    <w:p w14:paraId="5F2B0D67" w14:textId="07CB09D0" w:rsidR="00F043A3" w:rsidRDefault="00256680" w:rsidP="00F043A3">
      <w:pPr>
        <w:pStyle w:val="berschrift2"/>
      </w:pPr>
      <w:r w:rsidRPr="006B45B5">
        <w:lastRenderedPageBreak/>
        <w:t xml:space="preserve">Brain slice electrophysiology </w:t>
      </w:r>
      <w:r w:rsidR="00CF3944" w:rsidRPr="00A51EAD">
        <w:t>recordings</w:t>
      </w:r>
      <w:r w:rsidR="00CF3944">
        <w:t xml:space="preserve"> of</w:t>
      </w:r>
      <w:r w:rsidR="00CF3944" w:rsidRPr="006B45B5">
        <w:t xml:space="preserve"> </w:t>
      </w:r>
      <w:r w:rsidRPr="006B45B5">
        <w:t>Kölliker-Fuse neurons</w:t>
      </w:r>
    </w:p>
    <w:p w14:paraId="4C1BA803" w14:textId="11AE23FA" w:rsidR="00256680" w:rsidRPr="00EC47FF" w:rsidRDefault="00256680" w:rsidP="00F043A3">
      <w:pPr>
        <w:pStyle w:val="berschrift2"/>
        <w:rPr>
          <w:b w:val="0"/>
          <w:color w:val="auto"/>
        </w:rPr>
      </w:pPr>
      <w:r w:rsidRPr="00F043A3">
        <w:rPr>
          <w:b w:val="0"/>
        </w:rPr>
        <w:t>Coronal (230 µm) slices containing Kölliker-Fuse (KF) neurons were prepared as described previously</w:t>
      </w:r>
      <w:r w:rsidRPr="00F043A3">
        <w:rPr>
          <w:b w:val="0"/>
          <w:vertAlign w:val="superscript"/>
        </w:rPr>
        <w:t>21</w:t>
      </w:r>
      <w:r w:rsidRPr="00F043A3">
        <w:rPr>
          <w:b w:val="0"/>
        </w:rPr>
        <w:t>. Whole-cell recordings were made from KF neurons with a Multiclamp 700B amplifier in voltage-clamp mode (V</w:t>
      </w:r>
      <w:r w:rsidRPr="00F043A3">
        <w:rPr>
          <w:b w:val="0"/>
          <w:vertAlign w:val="subscript"/>
        </w:rPr>
        <w:t>hold</w:t>
      </w:r>
      <w:r w:rsidRPr="00F043A3">
        <w:rPr>
          <w:b w:val="0"/>
        </w:rPr>
        <w:t xml:space="preserve"> = -60 mV)</w:t>
      </w:r>
      <w:r w:rsidR="006B45B5" w:rsidRPr="00F043A3">
        <w:rPr>
          <w:b w:val="0"/>
        </w:rPr>
        <w:t>. R</w:t>
      </w:r>
      <w:r w:rsidRPr="00F043A3">
        <w:rPr>
          <w:b w:val="0"/>
        </w:rPr>
        <w:t xml:space="preserve">ecording pipettes (1.5 – 2.2 </w:t>
      </w:r>
      <w:bookmarkStart w:id="1" w:name="OLE_LINK3"/>
      <w:r w:rsidRPr="00F043A3">
        <w:rPr>
          <w:b w:val="0"/>
        </w:rPr>
        <w:t>MΩ</w:t>
      </w:r>
      <w:bookmarkEnd w:id="1"/>
      <w:r w:rsidRPr="00F043A3">
        <w:rPr>
          <w:b w:val="0"/>
        </w:rPr>
        <w:t>) were filled with internal solution containing (in mM) 115 potassium methanesulfonate, 20 NaCl, 1.5 MgCl</w:t>
      </w:r>
      <w:r w:rsidRPr="00F043A3">
        <w:rPr>
          <w:b w:val="0"/>
          <w:vertAlign w:val="subscript"/>
        </w:rPr>
        <w:t>2</w:t>
      </w:r>
      <w:r w:rsidRPr="00F043A3">
        <w:rPr>
          <w:b w:val="0"/>
        </w:rPr>
        <w:t xml:space="preserve">, 5 HEPES(K), 2 BAPTA, 2 Mg-ATP, </w:t>
      </w:r>
      <w:r w:rsidR="00CF3944" w:rsidRPr="00F043A3">
        <w:rPr>
          <w:b w:val="0"/>
        </w:rPr>
        <w:t xml:space="preserve">and </w:t>
      </w:r>
      <w:r w:rsidRPr="00F043A3">
        <w:rPr>
          <w:b w:val="0"/>
        </w:rPr>
        <w:t xml:space="preserve">0.2 Na-GTP, pH 7.4, 275-280 mOsM. Data were filtered at 10 kHz and collected at 20 kHz with pClamp10 or 400 Hz with PowerLab (Chart version 5.4.2; AD Instruments, Colorado Springs, CO). Series resistance was monitored without compensation and remained &lt; 15 MΩ for inclusion. KF neurons with </w:t>
      </w:r>
      <w:r w:rsidR="00CF3944" w:rsidRPr="00F043A3">
        <w:rPr>
          <w:b w:val="0"/>
        </w:rPr>
        <w:t xml:space="preserve">an </w:t>
      </w:r>
      <w:r w:rsidRPr="00F043A3">
        <w:rPr>
          <w:b w:val="0"/>
        </w:rPr>
        <w:t xml:space="preserve">opioid-mediated outward current (~60 % of KF neurons) fired action potentials </w:t>
      </w:r>
      <w:r w:rsidR="00CF3944" w:rsidRPr="00F043A3">
        <w:rPr>
          <w:b w:val="0"/>
        </w:rPr>
        <w:t xml:space="preserve">at a </w:t>
      </w:r>
      <w:r w:rsidRPr="00F043A3">
        <w:rPr>
          <w:b w:val="0"/>
        </w:rPr>
        <w:t xml:space="preserve">slower frequency after injection of current steps (50 – 250 pA, 1 s) and had </w:t>
      </w:r>
      <w:r w:rsidR="00CF3944" w:rsidRPr="00F043A3">
        <w:rPr>
          <w:b w:val="0"/>
        </w:rPr>
        <w:t xml:space="preserve">a </w:t>
      </w:r>
      <w:r w:rsidRPr="00F043A3">
        <w:rPr>
          <w:b w:val="0"/>
        </w:rPr>
        <w:t>smaller amplitude AHP</w:t>
      </w:r>
      <w:r w:rsidRPr="00F043A3">
        <w:rPr>
          <w:b w:val="0"/>
          <w:vertAlign w:val="superscript"/>
        </w:rPr>
        <w:t>21</w:t>
      </w:r>
      <w:r w:rsidRPr="00F043A3">
        <w:rPr>
          <w:b w:val="0"/>
        </w:rPr>
        <w:t>. Drugs (including</w:t>
      </w:r>
      <w:r w:rsidR="00273C71" w:rsidRPr="00F043A3">
        <w:rPr>
          <w:b w:val="0"/>
        </w:rPr>
        <w:t xml:space="preserve"> [Met</w:t>
      </w:r>
      <w:r w:rsidR="00273C71" w:rsidRPr="00F043A3">
        <w:rPr>
          <w:b w:val="0"/>
          <w:vertAlign w:val="superscript"/>
        </w:rPr>
        <w:t>5</w:t>
      </w:r>
      <w:r w:rsidR="00273C71" w:rsidRPr="00F043A3">
        <w:rPr>
          <w:b w:val="0"/>
        </w:rPr>
        <w:t>]enkephalin</w:t>
      </w:r>
      <w:r w:rsidRPr="00F043A3">
        <w:rPr>
          <w:b w:val="0"/>
        </w:rPr>
        <w:t xml:space="preserve"> </w:t>
      </w:r>
      <w:r w:rsidR="00273C71" w:rsidRPr="00F043A3">
        <w:rPr>
          <w:b w:val="0"/>
        </w:rPr>
        <w:t>(</w:t>
      </w:r>
      <w:r w:rsidRPr="00F043A3">
        <w:rPr>
          <w:b w:val="0"/>
        </w:rPr>
        <w:t>ME</w:t>
      </w:r>
      <w:r w:rsidR="00273C71" w:rsidRPr="00F043A3">
        <w:rPr>
          <w:b w:val="0"/>
        </w:rPr>
        <w:t>)</w:t>
      </w:r>
      <w:r w:rsidRPr="00F043A3">
        <w:rPr>
          <w:b w:val="0"/>
        </w:rPr>
        <w:t xml:space="preserve">, baclofen, CGP55845 and idazoxan) were applied by bath perfusion at the indicated concentrations. </w:t>
      </w:r>
      <w:r w:rsidRPr="00EC47FF">
        <w:rPr>
          <w:b w:val="0"/>
          <w:color w:val="auto"/>
        </w:rPr>
        <w:t>Bestatin (10 µM) and thiorphan (1 µM) were included with ME to prevent degradation.</w:t>
      </w:r>
    </w:p>
    <w:p w14:paraId="524748A1" w14:textId="77777777" w:rsidR="00F043A3" w:rsidRPr="00EC47FF" w:rsidRDefault="00F043A3" w:rsidP="00256680">
      <w:pPr>
        <w:spacing w:line="480" w:lineRule="auto"/>
        <w:jc w:val="both"/>
        <w:rPr>
          <w:b/>
          <w:lang w:val="en-GB"/>
        </w:rPr>
      </w:pPr>
    </w:p>
    <w:p w14:paraId="60A6F573" w14:textId="51ACDA86" w:rsidR="00F043A3" w:rsidRPr="00EC47FF" w:rsidRDefault="0083380E" w:rsidP="0083380E">
      <w:pPr>
        <w:spacing w:line="480" w:lineRule="auto"/>
        <w:jc w:val="both"/>
        <w:rPr>
          <w:b/>
          <w:spacing w:val="1"/>
          <w:szCs w:val="24"/>
        </w:rPr>
      </w:pPr>
      <w:r w:rsidRPr="00EC47FF">
        <w:rPr>
          <w:b/>
          <w:spacing w:val="1"/>
          <w:szCs w:val="24"/>
        </w:rPr>
        <w:t>Conditioned place preference test (CPP)</w:t>
      </w:r>
    </w:p>
    <w:p w14:paraId="62D7E10D" w14:textId="726B99D6" w:rsidR="00A51EAD" w:rsidRPr="000C6242" w:rsidRDefault="000B1BA7" w:rsidP="005B38E8">
      <w:pPr>
        <w:spacing w:line="480" w:lineRule="auto"/>
        <w:jc w:val="both"/>
        <w:rPr>
          <w:color w:val="FF0000"/>
        </w:rPr>
      </w:pPr>
      <w:r w:rsidRPr="00EC47FF">
        <w:t>The rewarding properties of opioids were measured in a 3-chambered CPP box (TSE Systems, Bad Homburg, Germany). Each of the three compartments was distinct. In the center compartment all walls and floor were light grey. One of the t</w:t>
      </w:r>
      <w:r w:rsidR="00335AEE" w:rsidRPr="00EC47FF">
        <w:t>wo</w:t>
      </w:r>
      <w:r w:rsidRPr="00EC47FF">
        <w:t xml:space="preserve"> “choice” compartment was white with a ribbed floor whereas the other compartment was striped black-and-white with a nub floor. The CPP procedure consisted of pre-conditioning (days 1-2, baseline on day 2), conditioning (days 3-8), and post-conditioning (day 9). On days 1-2 and day 9, mice were allowed free access to all 3 chambers for 15 min. On day 2 (baseline), the amount of time mice spent on each side (left or right) during a 15-min testing period was recorded using a TSE Videomot system (TSE Systems, </w:t>
      </w:r>
      <w:r w:rsidRPr="00EC47FF">
        <w:lastRenderedPageBreak/>
        <w:t xml:space="preserve">Bad Homburg, DE). Only mice with no significant place preference to one of the two compartments during pre-conditioning period underwent subsequent conditioning (unbiased) and were additionally drug conditioned to the less-preferred chamber </w:t>
      </w:r>
      <w:r w:rsidRPr="00EC47FF">
        <w:rPr>
          <w:vertAlign w:val="superscript"/>
        </w:rPr>
        <w:t>42, 45</w:t>
      </w:r>
      <w:r w:rsidRPr="00EC47FF">
        <w:t>. During conditioning, the less-preferred compartment was paired to drug injection while the other compartment to saline injections. The conditioning phase (15 min per session with fentanyl and 30 min per session with morphine) was carried out daily over 6 consecutive days with alternate injections of drug or saline. WT and 11S/T-A mice were exposed to either fentanyl (0.1 mg kg</w:t>
      </w:r>
      <w:r w:rsidRPr="00EC47FF">
        <w:rPr>
          <w:vertAlign w:val="superscript"/>
        </w:rPr>
        <w:t>-1</w:t>
      </w:r>
      <w:r w:rsidRPr="00EC47FF">
        <w:t>) or morphine (7.5 mg kg</w:t>
      </w:r>
      <w:r w:rsidRPr="00EC47FF">
        <w:rPr>
          <w:vertAlign w:val="superscript"/>
        </w:rPr>
        <w:t>-1</w:t>
      </w:r>
      <w:r w:rsidRPr="00EC47FF">
        <w:t>) on days 3, 5 and 7 and saline on days 4, 6 and 8. On day 9</w:t>
      </w:r>
      <w:r w:rsidR="001C5550" w:rsidRPr="00EC47FF">
        <w:t>,</w:t>
      </w:r>
      <w:r w:rsidRPr="00EC47FF">
        <w:t xml:space="preserve"> the mice were given free access to all 3 chambers for 15 min and time spent on each side (left or right) was recorded. We repeated the experiment two times for both fentanyl and morphine with 6 mice per genotype per experiment (N=12). CPP was calculated (</w:t>
      </w:r>
      <w:r w:rsidRPr="00EC47FF">
        <w:sym w:font="Symbol" w:char="F044"/>
      </w:r>
      <w:r w:rsidRPr="00EC47FF">
        <w:t>) as (time spent in the drug-paired side post-conditioning) – (time spent in the drug-paired side pre-conditioning)</w:t>
      </w:r>
      <w:r w:rsidRPr="00EC47FF">
        <w:rPr>
          <w:vertAlign w:val="superscript"/>
        </w:rPr>
        <w:t>42, 45</w:t>
      </w:r>
      <w:r w:rsidRPr="00EC47FF">
        <w:t xml:space="preserve">. Data were analyzed using </w:t>
      </w:r>
      <w:r w:rsidRPr="00EC47FF">
        <w:rPr>
          <w:lang w:eastAsia="en-GB"/>
        </w:rPr>
        <w:t xml:space="preserve">one-way ANOVA, followed by Bonferroni’s </w:t>
      </w:r>
      <w:r w:rsidRPr="00EC47FF">
        <w:rPr>
          <w:i/>
          <w:lang w:eastAsia="en-GB"/>
        </w:rPr>
        <w:t>post hoc</w:t>
      </w:r>
      <w:r w:rsidRPr="00EC47FF">
        <w:rPr>
          <w:lang w:eastAsia="en-GB"/>
        </w:rPr>
        <w:t xml:space="preserve"> tests or </w:t>
      </w:r>
      <w:r w:rsidRPr="00EC47FF">
        <w:t xml:space="preserve">two-tailed </w:t>
      </w:r>
      <w:r w:rsidRPr="00EC47FF">
        <w:rPr>
          <w:i/>
        </w:rPr>
        <w:t>t</w:t>
      </w:r>
      <w:r w:rsidRPr="00EC47FF">
        <w:t xml:space="preserve"> test</w:t>
      </w:r>
      <w:r w:rsidRPr="00EC47FF">
        <w:rPr>
          <w:lang w:eastAsia="en-GB"/>
        </w:rPr>
        <w:t xml:space="preserve"> with</w:t>
      </w:r>
      <w:r w:rsidRPr="00EC47FF">
        <w:t xml:space="preserve"> significance set at P &lt; 0.05.</w:t>
      </w:r>
      <w:r w:rsidR="00A51EAD" w:rsidRPr="000C6242">
        <w:rPr>
          <w:color w:val="FF0000"/>
        </w:rPr>
        <w:br w:type="page"/>
      </w:r>
    </w:p>
    <w:p w14:paraId="08231423" w14:textId="53938BCB" w:rsidR="005A6996" w:rsidRPr="00E85E59" w:rsidRDefault="00F24E1E" w:rsidP="005C11B5">
      <w:pPr>
        <w:spacing w:line="480" w:lineRule="auto"/>
        <w:jc w:val="both"/>
        <w:rPr>
          <w:b/>
          <w:szCs w:val="24"/>
          <w:lang w:val="en-GB"/>
        </w:rPr>
      </w:pPr>
      <w:r w:rsidRPr="00F24E1E">
        <w:rPr>
          <w:b/>
          <w:szCs w:val="24"/>
        </w:rPr>
        <w:lastRenderedPageBreak/>
        <w:t>Supplementary</w:t>
      </w:r>
      <w:r w:rsidRPr="00F24E1E">
        <w:rPr>
          <w:b/>
          <w:szCs w:val="24"/>
          <w:lang w:val="en-GB"/>
        </w:rPr>
        <w:t xml:space="preserve"> </w:t>
      </w:r>
      <w:r w:rsidR="005C11B5" w:rsidRPr="00F24E1E">
        <w:rPr>
          <w:b/>
          <w:szCs w:val="24"/>
          <w:lang w:val="en-GB"/>
        </w:rPr>
        <w:t>Figure</w:t>
      </w:r>
      <w:r w:rsidR="005C11B5" w:rsidRPr="005A6996">
        <w:rPr>
          <w:b/>
          <w:szCs w:val="24"/>
          <w:lang w:val="en-GB"/>
        </w:rPr>
        <w:t xml:space="preserve"> 1</w:t>
      </w:r>
    </w:p>
    <w:p w14:paraId="77130789" w14:textId="710896E9" w:rsidR="00256680" w:rsidRPr="006B45B5" w:rsidRDefault="00576F51" w:rsidP="005A6996">
      <w:pPr>
        <w:spacing w:line="480" w:lineRule="auto"/>
        <w:jc w:val="both"/>
        <w:rPr>
          <w:szCs w:val="24"/>
          <w:lang w:val="en-GB"/>
        </w:rPr>
      </w:pPr>
      <w:r>
        <w:rPr>
          <w:noProof/>
          <w:szCs w:val="24"/>
          <w:lang w:val="de-DE" w:eastAsia="de-DE"/>
        </w:rPr>
        <w:drawing>
          <wp:inline distT="0" distB="0" distL="0" distR="0" wp14:anchorId="71926446" wp14:editId="6C2C7959">
            <wp:extent cx="3124200" cy="4617437"/>
            <wp:effectExtent l="0" t="0" r="0" b="5715"/>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Extended Data 1 051018.tif"/>
                    <pic:cNvPicPr/>
                  </pic:nvPicPr>
                  <pic:blipFill>
                    <a:blip r:embed="rId8"/>
                    <a:stretch>
                      <a:fillRect/>
                    </a:stretch>
                  </pic:blipFill>
                  <pic:spPr>
                    <a:xfrm>
                      <a:off x="0" y="0"/>
                      <a:ext cx="3148564" cy="4653446"/>
                    </a:xfrm>
                    <a:prstGeom prst="rect">
                      <a:avLst/>
                    </a:prstGeom>
                  </pic:spPr>
                </pic:pic>
              </a:graphicData>
            </a:graphic>
          </wp:inline>
        </w:drawing>
      </w:r>
    </w:p>
    <w:p w14:paraId="18DCEE80" w14:textId="6F109BE3" w:rsidR="00A51EAD" w:rsidRPr="004B0848" w:rsidRDefault="00F24E1E" w:rsidP="00A51EAD">
      <w:pPr>
        <w:pStyle w:val="berschrift3"/>
        <w:rPr>
          <w:vanish/>
          <w:color w:val="auto"/>
          <w:specVanish/>
        </w:rPr>
      </w:pPr>
      <w:r>
        <w:rPr>
          <w:szCs w:val="24"/>
        </w:rPr>
        <w:t>Supplementary</w:t>
      </w:r>
      <w:r w:rsidRPr="00E85E59">
        <w:rPr>
          <w:szCs w:val="24"/>
        </w:rPr>
        <w:t xml:space="preserve"> </w:t>
      </w:r>
      <w:r w:rsidR="005C11B5" w:rsidRPr="00E85E59">
        <w:rPr>
          <w:szCs w:val="24"/>
        </w:rPr>
        <w:t>Figure 1</w:t>
      </w:r>
      <w:r w:rsidR="005C11B5">
        <w:rPr>
          <w:szCs w:val="24"/>
        </w:rPr>
        <w:t xml:space="preserve"> </w:t>
      </w:r>
      <w:r w:rsidR="00256680" w:rsidRPr="006B45B5">
        <w:t>No significant alteration in MOP [</w:t>
      </w:r>
      <w:r w:rsidR="00256680" w:rsidRPr="006B45B5">
        <w:rPr>
          <w:vertAlign w:val="superscript"/>
        </w:rPr>
        <w:t>3</w:t>
      </w:r>
      <w:r w:rsidR="00256680" w:rsidRPr="006B45B5">
        <w:t>H]DAMGO binding</w:t>
      </w:r>
      <w:r w:rsidR="00C672BF">
        <w:t xml:space="preserve"> in </w:t>
      </w:r>
      <w:r w:rsidR="00C672BF" w:rsidRPr="004B0848">
        <w:rPr>
          <w:color w:val="auto"/>
        </w:rPr>
        <w:t>phosphorylation-deficient MOP knockin mice</w:t>
      </w:r>
      <w:r w:rsidR="005C11B5" w:rsidRPr="004B0848">
        <w:rPr>
          <w:color w:val="auto"/>
        </w:rPr>
        <w:t>.</w:t>
      </w:r>
    </w:p>
    <w:p w14:paraId="30151BF7" w14:textId="0F860284" w:rsidR="00256680" w:rsidRPr="00576F51" w:rsidRDefault="00A51EAD" w:rsidP="00256680">
      <w:pPr>
        <w:spacing w:line="360" w:lineRule="auto"/>
        <w:jc w:val="both"/>
        <w:rPr>
          <w:color w:val="000000" w:themeColor="text1"/>
          <w:szCs w:val="24"/>
          <w:lang w:val="en-GB"/>
        </w:rPr>
      </w:pPr>
      <w:r w:rsidRPr="004B0848">
        <w:rPr>
          <w:b/>
          <w:szCs w:val="24"/>
          <w:lang w:val="en-GB"/>
        </w:rPr>
        <w:t xml:space="preserve"> </w:t>
      </w:r>
      <w:r w:rsidR="006D1832" w:rsidRPr="004B0848">
        <w:rPr>
          <w:b/>
          <w:szCs w:val="24"/>
          <w:lang w:val="en-GB"/>
        </w:rPr>
        <w:t>a, b,</w:t>
      </w:r>
      <w:r w:rsidR="00BB1948" w:rsidRPr="004B0848">
        <w:rPr>
          <w:b/>
          <w:szCs w:val="24"/>
          <w:lang w:val="en-GB"/>
        </w:rPr>
        <w:t xml:space="preserve"> c,</w:t>
      </w:r>
      <w:r w:rsidR="00256680" w:rsidRPr="004B0848">
        <w:rPr>
          <w:b/>
          <w:szCs w:val="24"/>
          <w:lang w:val="en-GB"/>
        </w:rPr>
        <w:t xml:space="preserve"> </w:t>
      </w:r>
      <w:r w:rsidR="00256680" w:rsidRPr="004B0848">
        <w:rPr>
          <w:szCs w:val="24"/>
          <w:lang w:val="en-GB"/>
        </w:rPr>
        <w:t>Qua</w:t>
      </w:r>
      <w:r w:rsidR="00256680" w:rsidRPr="004B0848">
        <w:rPr>
          <w:rStyle w:val="Fett"/>
          <w:b w:val="0"/>
          <w:szCs w:val="24"/>
          <w:lang w:val="en-GB"/>
        </w:rPr>
        <w:t xml:space="preserve">ntitative autoradiography of </w:t>
      </w:r>
      <w:r w:rsidR="00C672BF" w:rsidRPr="004B0848">
        <w:rPr>
          <w:szCs w:val="24"/>
          <w:lang w:val="en-GB"/>
        </w:rPr>
        <w:t>[</w:t>
      </w:r>
      <w:r w:rsidR="00C672BF" w:rsidRPr="004B0848">
        <w:rPr>
          <w:szCs w:val="24"/>
          <w:vertAlign w:val="superscript"/>
          <w:lang w:val="en-GB"/>
        </w:rPr>
        <w:t>3</w:t>
      </w:r>
      <w:r w:rsidR="00C672BF" w:rsidRPr="004B0848">
        <w:rPr>
          <w:szCs w:val="24"/>
          <w:lang w:val="en-GB"/>
        </w:rPr>
        <w:t xml:space="preserve">H]DAMGO binding to </w:t>
      </w:r>
      <w:r w:rsidR="00256680" w:rsidRPr="004B0848">
        <w:rPr>
          <w:szCs w:val="24"/>
          <w:lang w:val="en-GB"/>
        </w:rPr>
        <w:t>MOP in coronal brain sections from</w:t>
      </w:r>
      <w:r w:rsidR="00BB1948" w:rsidRPr="004B0848">
        <w:rPr>
          <w:szCs w:val="24"/>
          <w:lang w:val="en-GB"/>
        </w:rPr>
        <w:t xml:space="preserve"> </w:t>
      </w:r>
      <w:r w:rsidR="00BB1948" w:rsidRPr="004B0848">
        <w:rPr>
          <w:b/>
          <w:szCs w:val="24"/>
          <w:lang w:val="en-GB"/>
        </w:rPr>
        <w:t>a,</w:t>
      </w:r>
      <w:r w:rsidR="00BB1948" w:rsidRPr="004B0848">
        <w:rPr>
          <w:szCs w:val="24"/>
          <w:lang w:val="en-GB"/>
        </w:rPr>
        <w:t xml:space="preserve"> naïve</w:t>
      </w:r>
      <w:r w:rsidR="00256680" w:rsidRPr="004B0848">
        <w:rPr>
          <w:szCs w:val="24"/>
          <w:lang w:val="en-GB"/>
        </w:rPr>
        <w:t xml:space="preserve"> WT, S375A, 10S/T-A and 11S/T-A mice</w:t>
      </w:r>
      <w:r w:rsidR="00373639" w:rsidRPr="004B0848">
        <w:rPr>
          <w:szCs w:val="24"/>
          <w:lang w:val="en-GB"/>
        </w:rPr>
        <w:t xml:space="preserve"> and after chronic treatment with osmotic </w:t>
      </w:r>
      <w:r w:rsidR="00373639" w:rsidRPr="004B0848">
        <w:t xml:space="preserve">pumps delivering </w:t>
      </w:r>
      <w:r w:rsidR="005A6996" w:rsidRPr="004B0848">
        <w:rPr>
          <w:b/>
        </w:rPr>
        <w:t>b</w:t>
      </w:r>
      <w:r w:rsidR="005A6996" w:rsidRPr="004B0848">
        <w:t xml:space="preserve">, </w:t>
      </w:r>
      <w:r w:rsidR="00BB1948" w:rsidRPr="004B0848">
        <w:t>fentanyl (2 mg kg</w:t>
      </w:r>
      <w:r w:rsidR="00BB1948" w:rsidRPr="004B0848">
        <w:rPr>
          <w:vertAlign w:val="superscript"/>
        </w:rPr>
        <w:t>-1</w:t>
      </w:r>
      <w:r w:rsidR="00BB1948" w:rsidRPr="004B0848">
        <w:t xml:space="preserve"> day</w:t>
      </w:r>
      <w:r w:rsidR="00BB1948" w:rsidRPr="004B0848">
        <w:rPr>
          <w:vertAlign w:val="superscript"/>
        </w:rPr>
        <w:t>-1</w:t>
      </w:r>
      <w:r w:rsidR="00BB1948" w:rsidRPr="004B0848">
        <w:t xml:space="preserve">) or </w:t>
      </w:r>
      <w:r w:rsidR="00BB1948" w:rsidRPr="004B0848">
        <w:rPr>
          <w:b/>
        </w:rPr>
        <w:t>c,</w:t>
      </w:r>
      <w:r w:rsidR="00BB1948" w:rsidRPr="004B0848">
        <w:t xml:space="preserve"> </w:t>
      </w:r>
      <w:r w:rsidR="00373639" w:rsidRPr="004B0848">
        <w:t>morphine (17 mg kg</w:t>
      </w:r>
      <w:r w:rsidR="00373639" w:rsidRPr="004B0848">
        <w:rPr>
          <w:vertAlign w:val="superscript"/>
        </w:rPr>
        <w:t>-1</w:t>
      </w:r>
      <w:r w:rsidR="00373639" w:rsidRPr="004B0848">
        <w:t xml:space="preserve"> day</w:t>
      </w:r>
      <w:r w:rsidR="00373639" w:rsidRPr="004B0848">
        <w:rPr>
          <w:vertAlign w:val="superscript"/>
        </w:rPr>
        <w:t>-1</w:t>
      </w:r>
      <w:r w:rsidR="00373639" w:rsidRPr="004B0848">
        <w:t>)</w:t>
      </w:r>
      <w:r w:rsidR="005A6996" w:rsidRPr="004B0848">
        <w:t xml:space="preserve"> over 7 days</w:t>
      </w:r>
      <w:r w:rsidR="00256680" w:rsidRPr="004B0848">
        <w:rPr>
          <w:szCs w:val="24"/>
          <w:lang w:val="en-GB"/>
        </w:rPr>
        <w:t xml:space="preserve">. Data are expressed as </w:t>
      </w:r>
      <w:r w:rsidR="00265E5E" w:rsidRPr="004B0848">
        <w:rPr>
          <w:szCs w:val="24"/>
          <w:lang w:val="en-GB"/>
        </w:rPr>
        <w:t xml:space="preserve">the mean specific binding (fmol </w:t>
      </w:r>
      <w:r w:rsidR="00256680" w:rsidRPr="004B0848">
        <w:rPr>
          <w:szCs w:val="24"/>
          <w:lang w:val="en-GB"/>
        </w:rPr>
        <w:t>mg</w:t>
      </w:r>
      <w:r w:rsidR="00265E5E" w:rsidRPr="004B0848">
        <w:rPr>
          <w:szCs w:val="24"/>
          <w:vertAlign w:val="superscript"/>
          <w:lang w:val="en-GB"/>
        </w:rPr>
        <w:t>-1</w:t>
      </w:r>
      <w:r w:rsidR="00BB1948" w:rsidRPr="004B0848">
        <w:rPr>
          <w:szCs w:val="24"/>
          <w:lang w:val="en-GB"/>
        </w:rPr>
        <w:t>) ± s.e.m. (n = 3</w:t>
      </w:r>
      <w:r w:rsidR="00E7615B" w:rsidRPr="004B0848">
        <w:rPr>
          <w:szCs w:val="24"/>
          <w:lang w:val="en-GB"/>
        </w:rPr>
        <w:t>–</w:t>
      </w:r>
      <w:r w:rsidR="00256680" w:rsidRPr="004B0848">
        <w:rPr>
          <w:szCs w:val="24"/>
          <w:lang w:val="en-GB"/>
        </w:rPr>
        <w:t>6).</w:t>
      </w:r>
      <w:r w:rsidR="002A3715" w:rsidRPr="004B0848" w:rsidDel="002A3715">
        <w:rPr>
          <w:szCs w:val="24"/>
          <w:lang w:val="en-GB"/>
        </w:rPr>
        <w:t xml:space="preserve"> </w:t>
      </w:r>
      <w:r w:rsidR="002A3715" w:rsidRPr="004B0848">
        <w:rPr>
          <w:szCs w:val="24"/>
          <w:lang w:val="en-GB"/>
        </w:rPr>
        <w:t>T</w:t>
      </w:r>
      <w:r w:rsidR="00256680" w:rsidRPr="004B0848">
        <w:rPr>
          <w:szCs w:val="24"/>
          <w:lang w:val="en-GB"/>
        </w:rPr>
        <w:t xml:space="preserve">he </w:t>
      </w:r>
      <w:r w:rsidR="006B45B5" w:rsidRPr="004B0848">
        <w:rPr>
          <w:szCs w:val="24"/>
          <w:lang w:val="en-GB"/>
        </w:rPr>
        <w:t xml:space="preserve">colour </w:t>
      </w:r>
      <w:r w:rsidR="00256680" w:rsidRPr="004B0848">
        <w:rPr>
          <w:szCs w:val="24"/>
          <w:lang w:val="en-GB"/>
        </w:rPr>
        <w:t>bar represents a pseudo-</w:t>
      </w:r>
      <w:r w:rsidR="006B45B5" w:rsidRPr="004B0848">
        <w:rPr>
          <w:szCs w:val="24"/>
          <w:lang w:val="en-GB"/>
        </w:rPr>
        <w:t xml:space="preserve">colour </w:t>
      </w:r>
      <w:r w:rsidR="00256680" w:rsidRPr="006B45B5">
        <w:rPr>
          <w:color w:val="000000" w:themeColor="text1"/>
          <w:szCs w:val="24"/>
          <w:lang w:val="en-GB"/>
        </w:rPr>
        <w:t>interpretation of blac</w:t>
      </w:r>
      <w:r w:rsidR="00373639">
        <w:rPr>
          <w:color w:val="000000" w:themeColor="text1"/>
          <w:szCs w:val="24"/>
          <w:lang w:val="en-GB"/>
        </w:rPr>
        <w:t xml:space="preserve">k and white film images in fmol </w:t>
      </w:r>
      <w:r w:rsidR="00256680" w:rsidRPr="006B45B5">
        <w:rPr>
          <w:color w:val="000000" w:themeColor="text1"/>
          <w:szCs w:val="24"/>
          <w:lang w:val="en-GB"/>
        </w:rPr>
        <w:t>mg</w:t>
      </w:r>
      <w:r w:rsidR="00373639">
        <w:rPr>
          <w:color w:val="000000" w:themeColor="text1"/>
          <w:szCs w:val="24"/>
          <w:vertAlign w:val="superscript"/>
          <w:lang w:val="en-GB"/>
        </w:rPr>
        <w:t>-1</w:t>
      </w:r>
      <w:r w:rsidR="00256680" w:rsidRPr="006B45B5">
        <w:rPr>
          <w:color w:val="000000" w:themeColor="text1"/>
          <w:szCs w:val="24"/>
          <w:lang w:val="en-GB"/>
        </w:rPr>
        <w:t xml:space="preserve"> tissue equivalent with nonspecific binding (NSB) at background level.</w:t>
      </w:r>
      <w:r w:rsidR="00256680" w:rsidRPr="006B45B5">
        <w:rPr>
          <w:b/>
          <w:szCs w:val="24"/>
          <w:lang w:val="en-GB"/>
        </w:rPr>
        <w:t xml:space="preserve"> </w:t>
      </w:r>
      <w:r w:rsidR="00256680" w:rsidRPr="006B45B5">
        <w:rPr>
          <w:color w:val="000000" w:themeColor="text1"/>
          <w:szCs w:val="24"/>
          <w:lang w:val="en-GB"/>
        </w:rPr>
        <w:t xml:space="preserve">Abbreviations: </w:t>
      </w:r>
      <w:r w:rsidR="00BB1948">
        <w:rPr>
          <w:color w:val="000000" w:themeColor="text1"/>
          <w:szCs w:val="24"/>
          <w:lang w:val="en-GB"/>
        </w:rPr>
        <w:t xml:space="preserve">M1, Motor cortex; </w:t>
      </w:r>
      <w:r w:rsidR="00256680" w:rsidRPr="006B45B5">
        <w:rPr>
          <w:bCs/>
          <w:color w:val="000000" w:themeColor="text1"/>
          <w:szCs w:val="24"/>
          <w:lang w:val="en-GB"/>
        </w:rPr>
        <w:t>CgCx,</w:t>
      </w:r>
      <w:r w:rsidR="00256680" w:rsidRPr="006B45B5">
        <w:rPr>
          <w:color w:val="000000" w:themeColor="text1"/>
          <w:szCs w:val="24"/>
          <w:lang w:val="en-GB"/>
        </w:rPr>
        <w:t xml:space="preserve"> Cingulate cortex; </w:t>
      </w:r>
      <w:r w:rsidR="00256680" w:rsidRPr="006B45B5">
        <w:rPr>
          <w:bCs/>
          <w:color w:val="000000" w:themeColor="text1"/>
          <w:szCs w:val="24"/>
          <w:lang w:val="en-GB"/>
        </w:rPr>
        <w:t>Nacb, Nucleus accumbens; CPu,</w:t>
      </w:r>
      <w:r w:rsidR="00256680" w:rsidRPr="006B45B5">
        <w:rPr>
          <w:color w:val="000000" w:themeColor="text1"/>
          <w:szCs w:val="24"/>
          <w:lang w:val="en-GB"/>
        </w:rPr>
        <w:t xml:space="preserve"> Caudate putamen; Hi, hippocampus; </w:t>
      </w:r>
      <w:r w:rsidR="00256680" w:rsidRPr="006B45B5">
        <w:rPr>
          <w:bCs/>
          <w:color w:val="000000" w:themeColor="text1"/>
          <w:szCs w:val="24"/>
          <w:lang w:val="en-GB"/>
        </w:rPr>
        <w:t xml:space="preserve">Th, thalamus; Hb, habenula; </w:t>
      </w:r>
      <w:r w:rsidR="00256680" w:rsidRPr="006B45B5">
        <w:rPr>
          <w:color w:val="000000" w:themeColor="text1"/>
          <w:szCs w:val="24"/>
          <w:lang w:val="en-GB"/>
        </w:rPr>
        <w:t xml:space="preserve">Hy, Hypothalamus; BLA, basolateral </w:t>
      </w:r>
      <w:r w:rsidR="00CF3944" w:rsidRPr="006B45B5">
        <w:rPr>
          <w:color w:val="000000" w:themeColor="text1"/>
          <w:szCs w:val="24"/>
          <w:lang w:val="en-GB"/>
        </w:rPr>
        <w:t>amygda</w:t>
      </w:r>
      <w:r w:rsidR="00CF3944">
        <w:rPr>
          <w:color w:val="000000" w:themeColor="text1"/>
          <w:szCs w:val="24"/>
          <w:lang w:val="en-GB"/>
        </w:rPr>
        <w:t>l</w:t>
      </w:r>
      <w:r w:rsidR="00CF3944" w:rsidRPr="006B45B5">
        <w:rPr>
          <w:color w:val="000000" w:themeColor="text1"/>
          <w:szCs w:val="24"/>
          <w:lang w:val="en-GB"/>
        </w:rPr>
        <w:t>a</w:t>
      </w:r>
      <w:r w:rsidR="00256680" w:rsidRPr="006B45B5">
        <w:rPr>
          <w:color w:val="000000" w:themeColor="text1"/>
          <w:szCs w:val="24"/>
          <w:lang w:val="en-GB"/>
        </w:rPr>
        <w:t xml:space="preserve">; BMA, basomedial amygdala; MS, medial septum; </w:t>
      </w:r>
      <w:r w:rsidR="00256680" w:rsidRPr="006B45B5">
        <w:rPr>
          <w:bCs/>
          <w:color w:val="000000" w:themeColor="text1"/>
          <w:szCs w:val="24"/>
          <w:lang w:val="en-GB"/>
        </w:rPr>
        <w:t xml:space="preserve">VDB, vertical limb diagonal band. </w:t>
      </w:r>
      <w:r w:rsidR="00256680" w:rsidRPr="006B45B5">
        <w:rPr>
          <w:szCs w:val="24"/>
          <w:lang w:val="en-GB"/>
        </w:rPr>
        <w:t xml:space="preserve">Two-way ANOVA with Bonferroni </w:t>
      </w:r>
      <w:r w:rsidR="006B45B5">
        <w:rPr>
          <w:i/>
          <w:szCs w:val="24"/>
          <w:lang w:val="en-GB" w:eastAsia="en-GB"/>
        </w:rPr>
        <w:t>post hoc</w:t>
      </w:r>
      <w:r w:rsidR="00256680" w:rsidRPr="006B45B5">
        <w:rPr>
          <w:szCs w:val="24"/>
          <w:lang w:val="en-GB" w:eastAsia="en-GB"/>
        </w:rPr>
        <w:t xml:space="preserve"> test</w:t>
      </w:r>
      <w:r w:rsidR="00256680" w:rsidRPr="006B45B5">
        <w:rPr>
          <w:szCs w:val="24"/>
          <w:lang w:val="en-GB"/>
        </w:rPr>
        <w:t>.</w:t>
      </w:r>
    </w:p>
    <w:p w14:paraId="34DE9CB0" w14:textId="77777777" w:rsidR="00256680" w:rsidRPr="006B45B5" w:rsidRDefault="00256680" w:rsidP="00256680">
      <w:pPr>
        <w:rPr>
          <w:szCs w:val="24"/>
          <w:lang w:val="en-GB"/>
        </w:rPr>
      </w:pPr>
      <w:r w:rsidRPr="006B45B5">
        <w:rPr>
          <w:szCs w:val="24"/>
          <w:lang w:val="en-GB"/>
        </w:rPr>
        <w:br w:type="page"/>
      </w:r>
    </w:p>
    <w:p w14:paraId="751C2050" w14:textId="7F27AB3F" w:rsidR="00CB73DF" w:rsidRPr="004B0848" w:rsidRDefault="00F24E1E" w:rsidP="001A0143">
      <w:pPr>
        <w:spacing w:line="480" w:lineRule="auto"/>
        <w:jc w:val="both"/>
        <w:rPr>
          <w:b/>
          <w:szCs w:val="24"/>
          <w:lang w:val="en-GB"/>
        </w:rPr>
      </w:pPr>
      <w:r w:rsidRPr="004B0848">
        <w:rPr>
          <w:b/>
          <w:szCs w:val="24"/>
        </w:rPr>
        <w:lastRenderedPageBreak/>
        <w:t>Supplementary</w:t>
      </w:r>
      <w:r w:rsidRPr="004B0848">
        <w:rPr>
          <w:b/>
          <w:szCs w:val="24"/>
          <w:lang w:val="en-GB"/>
        </w:rPr>
        <w:t xml:space="preserve"> </w:t>
      </w:r>
      <w:r w:rsidR="001A0143" w:rsidRPr="004B0848">
        <w:rPr>
          <w:b/>
          <w:szCs w:val="24"/>
          <w:lang w:val="en-GB"/>
        </w:rPr>
        <w:t>Figure 2</w:t>
      </w:r>
    </w:p>
    <w:p w14:paraId="61D32DDB" w14:textId="45EC405B" w:rsidR="00AC30B1" w:rsidRPr="004B0848" w:rsidRDefault="00101661" w:rsidP="001A0143">
      <w:pPr>
        <w:spacing w:line="480" w:lineRule="auto"/>
        <w:jc w:val="both"/>
        <w:rPr>
          <w:b/>
          <w:szCs w:val="24"/>
          <w:lang w:val="en-GB"/>
        </w:rPr>
      </w:pPr>
      <w:r w:rsidRPr="004B0848">
        <w:rPr>
          <w:b/>
          <w:noProof/>
          <w:szCs w:val="24"/>
          <w:lang w:val="de-DE" w:eastAsia="de-DE"/>
        </w:rPr>
        <w:drawing>
          <wp:inline distT="0" distB="0" distL="0" distR="0" wp14:anchorId="136DC3DE" wp14:editId="15D6DBA8">
            <wp:extent cx="3983525" cy="2116248"/>
            <wp:effectExtent l="0" t="0" r="4445" b="508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uppl. Figure 2 021018.tif"/>
                    <pic:cNvPicPr/>
                  </pic:nvPicPr>
                  <pic:blipFill>
                    <a:blip r:embed="rId9"/>
                    <a:stretch>
                      <a:fillRect/>
                    </a:stretch>
                  </pic:blipFill>
                  <pic:spPr>
                    <a:xfrm>
                      <a:off x="0" y="0"/>
                      <a:ext cx="4005837" cy="2128101"/>
                    </a:xfrm>
                    <a:prstGeom prst="rect">
                      <a:avLst/>
                    </a:prstGeom>
                  </pic:spPr>
                </pic:pic>
              </a:graphicData>
            </a:graphic>
          </wp:inline>
        </w:drawing>
      </w:r>
    </w:p>
    <w:p w14:paraId="505D2A86" w14:textId="7F4F9952" w:rsidR="00AE7790" w:rsidRPr="004B0848" w:rsidRDefault="00F24E1E" w:rsidP="00452D4A">
      <w:pPr>
        <w:autoSpaceDE w:val="0"/>
        <w:autoSpaceDN w:val="0"/>
        <w:adjustRightInd w:val="0"/>
        <w:spacing w:line="480" w:lineRule="auto"/>
        <w:jc w:val="both"/>
        <w:rPr>
          <w:rFonts w:eastAsiaTheme="minorHAnsi"/>
          <w:szCs w:val="24"/>
        </w:rPr>
      </w:pPr>
      <w:r w:rsidRPr="004B0848">
        <w:rPr>
          <w:b/>
          <w:szCs w:val="24"/>
        </w:rPr>
        <w:t xml:space="preserve">Supplementary </w:t>
      </w:r>
      <w:r w:rsidR="00CB73DF" w:rsidRPr="004B0848">
        <w:rPr>
          <w:b/>
          <w:szCs w:val="24"/>
        </w:rPr>
        <w:t xml:space="preserve">Figure 2 Western blot analysis of </w:t>
      </w:r>
      <w:r w:rsidR="00BB1D1A" w:rsidRPr="004B0848">
        <w:rPr>
          <w:b/>
          <w:lang w:val="en-GB" w:eastAsia="de-DE"/>
        </w:rPr>
        <w:t>ß-arrestin1</w:t>
      </w:r>
      <w:r w:rsidR="000E4087" w:rsidRPr="004B0848">
        <w:rPr>
          <w:b/>
          <w:lang w:val="en-GB" w:eastAsia="de-DE"/>
        </w:rPr>
        <w:t xml:space="preserve"> and GRK2 in brain lysates.</w:t>
      </w:r>
      <w:r w:rsidR="00AE7790" w:rsidRPr="004B0848">
        <w:rPr>
          <w:b/>
          <w:lang w:val="en-GB" w:eastAsia="de-DE"/>
        </w:rPr>
        <w:t xml:space="preserve"> </w:t>
      </w:r>
      <w:r w:rsidR="00AA3660" w:rsidRPr="004B0848">
        <w:rPr>
          <w:lang w:val="en-GB" w:eastAsia="de-DE"/>
        </w:rPr>
        <w:t>B</w:t>
      </w:r>
      <w:r w:rsidR="00AE7790" w:rsidRPr="004B0848">
        <w:rPr>
          <w:lang w:val="en-GB" w:eastAsia="de-DE"/>
        </w:rPr>
        <w:t>rain</w:t>
      </w:r>
      <w:r w:rsidR="00AE7790" w:rsidRPr="004B0848">
        <w:rPr>
          <w:b/>
          <w:i/>
          <w:lang w:val="en-GB" w:eastAsia="de-DE"/>
        </w:rPr>
        <w:t xml:space="preserve"> </w:t>
      </w:r>
      <w:r w:rsidR="00AA3660" w:rsidRPr="004B0848">
        <w:rPr>
          <w:lang w:val="en-GB" w:eastAsia="de-DE"/>
        </w:rPr>
        <w:t xml:space="preserve">lysates from WT, S375A, MOR10S/T-A and MOR11S/T-A (n = 3) were </w:t>
      </w:r>
      <w:r w:rsidR="000E4087" w:rsidRPr="004B0848">
        <w:rPr>
          <w:lang w:val="en-GB" w:eastAsia="de-DE"/>
        </w:rPr>
        <w:t>analysed</w:t>
      </w:r>
      <w:r w:rsidR="002E5F28" w:rsidRPr="004B0848">
        <w:rPr>
          <w:lang w:val="en-GB" w:eastAsia="de-DE"/>
        </w:rPr>
        <w:t xml:space="preserve"> for expression of</w:t>
      </w:r>
      <w:r w:rsidR="00AA3660" w:rsidRPr="004B0848">
        <w:rPr>
          <w:lang w:val="en-GB" w:eastAsia="de-DE"/>
        </w:rPr>
        <w:t xml:space="preserve"> </w:t>
      </w:r>
      <w:r w:rsidR="000E4087" w:rsidRPr="004B0848">
        <w:rPr>
          <w:lang w:val="en-GB" w:eastAsia="de-DE"/>
        </w:rPr>
        <w:t>GRK2 and</w:t>
      </w:r>
      <w:r w:rsidR="00AA3660" w:rsidRPr="004B0848">
        <w:rPr>
          <w:lang w:val="en-GB" w:eastAsia="de-DE"/>
        </w:rPr>
        <w:t xml:space="preserve"> ß-arrestin1</w:t>
      </w:r>
      <w:r w:rsidR="00AA3660" w:rsidRPr="004B0848">
        <w:rPr>
          <w:szCs w:val="24"/>
          <w:lang w:val="en-GB" w:eastAsia="de-DE"/>
        </w:rPr>
        <w:t xml:space="preserve">. </w:t>
      </w:r>
      <w:r w:rsidR="002E5F28" w:rsidRPr="004B0848">
        <w:rPr>
          <w:szCs w:val="24"/>
          <w:lang w:val="en-GB" w:eastAsia="de-DE"/>
        </w:rPr>
        <w:t>Blots were stripped and</w:t>
      </w:r>
      <w:r w:rsidR="00AA3660" w:rsidRPr="004B0848">
        <w:rPr>
          <w:szCs w:val="24"/>
          <w:lang w:val="en-GB" w:eastAsia="de-DE"/>
        </w:rPr>
        <w:t xml:space="preserve"> probed with anti-actin antibody to confirm equal </w:t>
      </w:r>
      <w:r w:rsidR="002E5F28" w:rsidRPr="004B0848">
        <w:rPr>
          <w:szCs w:val="24"/>
          <w:lang w:val="en-GB" w:eastAsia="de-DE"/>
        </w:rPr>
        <w:t>loading</w:t>
      </w:r>
      <w:r w:rsidR="00AA3660" w:rsidRPr="004B0848">
        <w:rPr>
          <w:szCs w:val="24"/>
          <w:lang w:val="en-GB" w:eastAsia="de-DE"/>
        </w:rPr>
        <w:t xml:space="preserve">. </w:t>
      </w:r>
      <w:r w:rsidR="00AE7790" w:rsidRPr="004B0848">
        <w:rPr>
          <w:szCs w:val="24"/>
        </w:rPr>
        <w:t xml:space="preserve">The positions of molecular mass markers are indicated on the </w:t>
      </w:r>
      <w:r w:rsidR="00AE7790" w:rsidRPr="004B0848">
        <w:rPr>
          <w:i/>
          <w:szCs w:val="24"/>
        </w:rPr>
        <w:t xml:space="preserve">left </w:t>
      </w:r>
      <w:r w:rsidR="00AE7790" w:rsidRPr="004B0848">
        <w:rPr>
          <w:szCs w:val="24"/>
        </w:rPr>
        <w:t>(in kDa).</w:t>
      </w:r>
    </w:p>
    <w:p w14:paraId="71749D20" w14:textId="77777777" w:rsidR="001A0143" w:rsidRDefault="001A0143">
      <w:pPr>
        <w:rPr>
          <w:b/>
          <w:szCs w:val="24"/>
          <w:lang w:val="en-GB"/>
        </w:rPr>
      </w:pPr>
      <w:r>
        <w:rPr>
          <w:b/>
          <w:szCs w:val="24"/>
          <w:lang w:val="en-GB"/>
        </w:rPr>
        <w:br w:type="page"/>
      </w:r>
    </w:p>
    <w:p w14:paraId="77AF7DA0" w14:textId="1A39AE35" w:rsidR="005C11B5" w:rsidRPr="00E85E59" w:rsidRDefault="00F24E1E" w:rsidP="005C11B5">
      <w:pPr>
        <w:spacing w:line="480" w:lineRule="auto"/>
        <w:jc w:val="both"/>
        <w:rPr>
          <w:b/>
          <w:szCs w:val="24"/>
          <w:lang w:val="en-GB"/>
        </w:rPr>
      </w:pPr>
      <w:r w:rsidRPr="00F24E1E">
        <w:rPr>
          <w:b/>
          <w:szCs w:val="24"/>
        </w:rPr>
        <w:lastRenderedPageBreak/>
        <w:t>Supplementary</w:t>
      </w:r>
      <w:r w:rsidRPr="00F24E1E">
        <w:rPr>
          <w:b/>
          <w:szCs w:val="24"/>
          <w:lang w:val="en-GB"/>
        </w:rPr>
        <w:t xml:space="preserve"> </w:t>
      </w:r>
      <w:r w:rsidR="00F54B61" w:rsidRPr="00F24E1E">
        <w:rPr>
          <w:b/>
          <w:szCs w:val="24"/>
          <w:lang w:val="en-GB"/>
        </w:rPr>
        <w:t>Figure</w:t>
      </w:r>
      <w:r w:rsidR="00F54B61">
        <w:rPr>
          <w:b/>
          <w:szCs w:val="24"/>
          <w:lang w:val="en-GB"/>
        </w:rPr>
        <w:t xml:space="preserve"> 3</w:t>
      </w:r>
    </w:p>
    <w:p w14:paraId="06B024B1" w14:textId="77602A1A" w:rsidR="00256680" w:rsidRPr="006B45B5" w:rsidRDefault="00DE0C3E" w:rsidP="00256680">
      <w:pPr>
        <w:spacing w:line="480" w:lineRule="auto"/>
        <w:jc w:val="both"/>
        <w:rPr>
          <w:b/>
          <w:szCs w:val="24"/>
          <w:lang w:val="en-GB"/>
        </w:rPr>
      </w:pPr>
      <w:r>
        <w:rPr>
          <w:b/>
          <w:noProof/>
          <w:szCs w:val="24"/>
          <w:lang w:val="de-DE" w:eastAsia="de-DE"/>
        </w:rPr>
        <w:drawing>
          <wp:inline distT="0" distB="0" distL="0" distR="0" wp14:anchorId="3F3C15E4" wp14:editId="07A09076">
            <wp:extent cx="3975966" cy="3250194"/>
            <wp:effectExtent l="0" t="0" r="0" b="127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Extended Data 3 100818.tif"/>
                    <pic:cNvPicPr/>
                  </pic:nvPicPr>
                  <pic:blipFill>
                    <a:blip r:embed="rId10"/>
                    <a:stretch>
                      <a:fillRect/>
                    </a:stretch>
                  </pic:blipFill>
                  <pic:spPr>
                    <a:xfrm>
                      <a:off x="0" y="0"/>
                      <a:ext cx="4011177" cy="3278977"/>
                    </a:xfrm>
                    <a:prstGeom prst="rect">
                      <a:avLst/>
                    </a:prstGeom>
                  </pic:spPr>
                </pic:pic>
              </a:graphicData>
            </a:graphic>
          </wp:inline>
        </w:drawing>
      </w:r>
    </w:p>
    <w:p w14:paraId="2E7C3F77" w14:textId="4DECEBDD" w:rsidR="00256680" w:rsidRPr="004B0848" w:rsidRDefault="00F24E1E" w:rsidP="005C11B5">
      <w:pPr>
        <w:spacing w:line="480" w:lineRule="auto"/>
        <w:jc w:val="both"/>
        <w:rPr>
          <w:b/>
          <w:szCs w:val="24"/>
          <w:lang w:val="en-GB"/>
        </w:rPr>
      </w:pPr>
      <w:r w:rsidRPr="00F24E1E">
        <w:rPr>
          <w:b/>
          <w:szCs w:val="24"/>
        </w:rPr>
        <w:t>Supplementary</w:t>
      </w:r>
      <w:r w:rsidRPr="00F24E1E">
        <w:rPr>
          <w:b/>
          <w:szCs w:val="24"/>
          <w:lang w:val="en-GB"/>
        </w:rPr>
        <w:t xml:space="preserve"> </w:t>
      </w:r>
      <w:r w:rsidR="00F54B61" w:rsidRPr="00F24E1E">
        <w:rPr>
          <w:b/>
          <w:szCs w:val="24"/>
          <w:lang w:val="en-GB"/>
        </w:rPr>
        <w:t>Figure</w:t>
      </w:r>
      <w:r w:rsidR="00F54B61">
        <w:rPr>
          <w:b/>
          <w:szCs w:val="24"/>
          <w:lang w:val="en-GB"/>
        </w:rPr>
        <w:t xml:space="preserve"> 3</w:t>
      </w:r>
      <w:r w:rsidR="005C11B5">
        <w:rPr>
          <w:b/>
          <w:szCs w:val="24"/>
          <w:lang w:val="en-GB"/>
        </w:rPr>
        <w:t xml:space="preserve"> </w:t>
      </w:r>
      <w:r w:rsidR="005C11B5" w:rsidRPr="005C11B5">
        <w:rPr>
          <w:b/>
          <w:szCs w:val="24"/>
        </w:rPr>
        <w:t xml:space="preserve">Retained </w:t>
      </w:r>
      <w:r w:rsidR="005C11B5" w:rsidRPr="005C11B5">
        <w:rPr>
          <w:b/>
        </w:rPr>
        <w:t>opioid-activated GIRK conductance in the respiratory-related KF nucleus from 10S/T-A mice</w:t>
      </w:r>
      <w:r w:rsidR="005C11B5">
        <w:rPr>
          <w:b/>
        </w:rPr>
        <w:t>.</w:t>
      </w:r>
      <w:r w:rsidR="005C11B5">
        <w:rPr>
          <w:b/>
          <w:lang w:val="en-GB"/>
        </w:rPr>
        <w:t xml:space="preserve"> </w:t>
      </w:r>
      <w:r w:rsidR="006D1832">
        <w:rPr>
          <w:b/>
          <w:lang w:val="en-GB"/>
        </w:rPr>
        <w:t>a,</w:t>
      </w:r>
      <w:r w:rsidR="00256680" w:rsidRPr="006B45B5">
        <w:rPr>
          <w:lang w:val="en-GB"/>
        </w:rPr>
        <w:t xml:space="preserve"> </w:t>
      </w:r>
      <w:r w:rsidR="00A25E0D">
        <w:rPr>
          <w:lang w:val="en-GB"/>
        </w:rPr>
        <w:t>Representative</w:t>
      </w:r>
      <w:r w:rsidR="00A25E0D" w:rsidRPr="006B45B5">
        <w:rPr>
          <w:lang w:val="en-GB"/>
        </w:rPr>
        <w:t xml:space="preserve"> </w:t>
      </w:r>
      <w:r w:rsidR="00256680" w:rsidRPr="006B45B5">
        <w:rPr>
          <w:lang w:val="en-GB"/>
        </w:rPr>
        <w:t xml:space="preserve">whole-cell voltage-clamp recording from a Kölliker-Fuse (KF) neuron from a 10S/T-A mouse showing outward current mediated by </w:t>
      </w:r>
      <w:r w:rsidR="00273C71" w:rsidRPr="00596DCB">
        <w:t>[Met</w:t>
      </w:r>
      <w:r w:rsidR="00273C71" w:rsidRPr="00596DCB">
        <w:rPr>
          <w:vertAlign w:val="superscript"/>
        </w:rPr>
        <w:t>5</w:t>
      </w:r>
      <w:r w:rsidR="00273C71" w:rsidRPr="00596DCB">
        <w:t>]enkephalin</w:t>
      </w:r>
      <w:r w:rsidR="00273C71" w:rsidRPr="006B45B5">
        <w:rPr>
          <w:lang w:val="en-GB"/>
        </w:rPr>
        <w:t xml:space="preserve"> </w:t>
      </w:r>
      <w:r w:rsidR="00273C71">
        <w:rPr>
          <w:lang w:val="en-GB"/>
        </w:rPr>
        <w:t>(</w:t>
      </w:r>
      <w:r w:rsidR="00256680" w:rsidRPr="006B45B5">
        <w:rPr>
          <w:lang w:val="en-GB"/>
        </w:rPr>
        <w:t xml:space="preserve">ME 1 µM) and baclofen (30 µM). </w:t>
      </w:r>
      <w:r w:rsidR="00A25E0D">
        <w:rPr>
          <w:lang w:val="en-GB"/>
        </w:rPr>
        <w:t xml:space="preserve">The </w:t>
      </w:r>
      <w:r w:rsidR="00256680" w:rsidRPr="006B45B5">
        <w:rPr>
          <w:lang w:val="en-GB"/>
        </w:rPr>
        <w:t xml:space="preserve">GABA-B antagonist CGP55845 (300 nM) was included in </w:t>
      </w:r>
      <w:r w:rsidR="00256680" w:rsidRPr="004B0848">
        <w:rPr>
          <w:lang w:val="en-GB"/>
        </w:rPr>
        <w:t xml:space="preserve">washout of baclofen. The current induced by ME was normalized to </w:t>
      </w:r>
      <w:r w:rsidR="00A25E0D" w:rsidRPr="004B0848">
        <w:rPr>
          <w:lang w:val="en-GB"/>
        </w:rPr>
        <w:t xml:space="preserve">that </w:t>
      </w:r>
      <w:r w:rsidR="00256680" w:rsidRPr="004B0848">
        <w:rPr>
          <w:lang w:val="en-GB"/>
        </w:rPr>
        <w:t xml:space="preserve">induced by baclofen. </w:t>
      </w:r>
      <w:r w:rsidR="006D1832" w:rsidRPr="004B0848">
        <w:rPr>
          <w:b/>
          <w:lang w:val="en-GB"/>
        </w:rPr>
        <w:t>b,</w:t>
      </w:r>
      <w:r w:rsidR="00256680" w:rsidRPr="004B0848">
        <w:rPr>
          <w:lang w:val="en-GB"/>
        </w:rPr>
        <w:t xml:space="preserve"> Normalized ME-mediated currents were similar in KF neurons from wild</w:t>
      </w:r>
      <w:r w:rsidR="00CF3944" w:rsidRPr="004B0848">
        <w:rPr>
          <w:lang w:val="en-GB"/>
        </w:rPr>
        <w:t>-</w:t>
      </w:r>
      <w:r w:rsidR="00F77800" w:rsidRPr="004B0848">
        <w:rPr>
          <w:lang w:val="en-GB"/>
        </w:rPr>
        <w:t>type and 10S/T-A mice (P = 0.11</w:t>
      </w:r>
      <w:r w:rsidR="00256680" w:rsidRPr="004B0848">
        <w:rPr>
          <w:lang w:val="en-GB"/>
        </w:rPr>
        <w:t xml:space="preserve">). </w:t>
      </w:r>
      <w:r w:rsidR="006D1832" w:rsidRPr="004B0848">
        <w:rPr>
          <w:b/>
          <w:lang w:val="en-GB"/>
        </w:rPr>
        <w:t>c,</w:t>
      </w:r>
      <w:r w:rsidR="00256680" w:rsidRPr="004B0848">
        <w:rPr>
          <w:lang w:val="en-GB"/>
        </w:rPr>
        <w:t xml:space="preserve"> </w:t>
      </w:r>
      <w:r w:rsidR="00B61C14" w:rsidRPr="004B0848">
        <w:rPr>
          <w:lang w:val="en-GB"/>
        </w:rPr>
        <w:t xml:space="preserve">Representative </w:t>
      </w:r>
      <w:r w:rsidR="00256680" w:rsidRPr="004B0848">
        <w:rPr>
          <w:lang w:val="en-GB"/>
        </w:rPr>
        <w:t>whole-cell voltage-clamp recording from</w:t>
      </w:r>
      <w:r w:rsidR="006B45B5" w:rsidRPr="004B0848">
        <w:rPr>
          <w:lang w:val="en-GB"/>
        </w:rPr>
        <w:t xml:space="preserve"> a </w:t>
      </w:r>
      <w:r w:rsidR="00B61C14" w:rsidRPr="004B0848">
        <w:rPr>
          <w:lang w:val="en-GB"/>
        </w:rPr>
        <w:t>locus coeruleus (LC)</w:t>
      </w:r>
      <w:r w:rsidR="006B45B5" w:rsidRPr="004B0848">
        <w:rPr>
          <w:lang w:val="en-GB"/>
        </w:rPr>
        <w:t xml:space="preserve"> </w:t>
      </w:r>
      <w:r w:rsidR="00256680" w:rsidRPr="004B0848">
        <w:rPr>
          <w:lang w:val="en-GB"/>
        </w:rPr>
        <w:t xml:space="preserve">neuron from a 10S/T-A mouse. The current induced by ME (1 µM) was normalized to </w:t>
      </w:r>
      <w:r w:rsidR="00A25E0D" w:rsidRPr="004B0848">
        <w:rPr>
          <w:lang w:val="en-GB"/>
        </w:rPr>
        <w:t xml:space="preserve">that </w:t>
      </w:r>
      <w:r w:rsidR="00256680" w:rsidRPr="004B0848">
        <w:rPr>
          <w:lang w:val="en-GB"/>
        </w:rPr>
        <w:t xml:space="preserve">induced by UK14304 (3 µM). Idazoxan (1 µM) was included in washout of UK14304. </w:t>
      </w:r>
      <w:r w:rsidR="006D1832" w:rsidRPr="004B0848">
        <w:rPr>
          <w:b/>
          <w:lang w:val="en-GB"/>
        </w:rPr>
        <w:t>d,</w:t>
      </w:r>
      <w:r w:rsidR="00256680" w:rsidRPr="004B0848">
        <w:rPr>
          <w:lang w:val="en-GB"/>
        </w:rPr>
        <w:t xml:space="preserve"> Normalized ME-mediated currents were similar in LC neurons from wild</w:t>
      </w:r>
      <w:r w:rsidR="00D820A4" w:rsidRPr="004B0848">
        <w:rPr>
          <w:lang w:val="en-GB"/>
        </w:rPr>
        <w:t>-</w:t>
      </w:r>
      <w:r w:rsidR="00256680" w:rsidRPr="004B0848">
        <w:rPr>
          <w:lang w:val="en-GB"/>
        </w:rPr>
        <w:t>type</w:t>
      </w:r>
      <w:r w:rsidR="003B47CE" w:rsidRPr="004B0848">
        <w:rPr>
          <w:lang w:val="en-GB"/>
        </w:rPr>
        <w:t xml:space="preserve"> </w:t>
      </w:r>
      <w:r w:rsidR="00B61C14" w:rsidRPr="004B0848">
        <w:rPr>
          <w:lang w:val="en-GB"/>
        </w:rPr>
        <w:t>(WT)</w:t>
      </w:r>
      <w:r w:rsidR="00F77800" w:rsidRPr="004B0848">
        <w:rPr>
          <w:lang w:val="en-GB"/>
        </w:rPr>
        <w:t xml:space="preserve"> and 10S/T-A mice (P = 0.10</w:t>
      </w:r>
      <w:r w:rsidR="00256680" w:rsidRPr="004B0848">
        <w:rPr>
          <w:lang w:val="en-GB"/>
        </w:rPr>
        <w:t>)</w:t>
      </w:r>
      <w:r w:rsidR="00256680" w:rsidRPr="004B0848">
        <w:rPr>
          <w:bCs/>
          <w:szCs w:val="24"/>
          <w:lang w:val="en-GB"/>
        </w:rPr>
        <w:t>. D</w:t>
      </w:r>
      <w:r w:rsidR="00256680" w:rsidRPr="004B0848">
        <w:rPr>
          <w:szCs w:val="24"/>
          <w:lang w:val="en-GB"/>
        </w:rPr>
        <w:t xml:space="preserve">ata are </w:t>
      </w:r>
      <w:r w:rsidR="00D820A4" w:rsidRPr="004B0848">
        <w:rPr>
          <w:szCs w:val="24"/>
          <w:lang w:val="en-GB"/>
        </w:rPr>
        <w:t xml:space="preserve">the </w:t>
      </w:r>
      <w:r w:rsidR="00256680" w:rsidRPr="004B0848">
        <w:rPr>
          <w:szCs w:val="24"/>
          <w:lang w:val="en-GB"/>
        </w:rPr>
        <w:t>means ± s.e.m.; unpaired t-</w:t>
      </w:r>
      <w:r w:rsidR="00F77800" w:rsidRPr="004B0848">
        <w:rPr>
          <w:szCs w:val="24"/>
          <w:lang w:val="en-GB" w:eastAsia="en-GB"/>
        </w:rPr>
        <w:t>test (n = 6</w:t>
      </w:r>
      <w:r w:rsidR="00A25E0D" w:rsidRPr="004B0848">
        <w:rPr>
          <w:szCs w:val="24"/>
          <w:lang w:val="en-GB" w:eastAsia="en-GB"/>
        </w:rPr>
        <w:t>–</w:t>
      </w:r>
      <w:r w:rsidR="00F77800" w:rsidRPr="004B0848">
        <w:rPr>
          <w:szCs w:val="24"/>
          <w:lang w:val="en-GB" w:eastAsia="en-GB"/>
        </w:rPr>
        <w:t>9</w:t>
      </w:r>
      <w:r w:rsidR="00256680" w:rsidRPr="004B0848">
        <w:rPr>
          <w:szCs w:val="24"/>
          <w:lang w:val="en-GB" w:eastAsia="en-GB"/>
        </w:rPr>
        <w:t>)</w:t>
      </w:r>
      <w:r w:rsidR="00256680" w:rsidRPr="004B0848">
        <w:rPr>
          <w:szCs w:val="24"/>
          <w:lang w:val="en-GB"/>
        </w:rPr>
        <w:t>.</w:t>
      </w:r>
    </w:p>
    <w:p w14:paraId="6F9B95AA" w14:textId="77777777" w:rsidR="00256680" w:rsidRPr="004B0848" w:rsidRDefault="00256680" w:rsidP="00256680">
      <w:pPr>
        <w:spacing w:line="480" w:lineRule="auto"/>
        <w:jc w:val="both"/>
        <w:rPr>
          <w:b/>
          <w:szCs w:val="24"/>
          <w:lang w:val="en-GB"/>
        </w:rPr>
      </w:pPr>
    </w:p>
    <w:p w14:paraId="3EC98801" w14:textId="77777777" w:rsidR="00256680" w:rsidRPr="006B45B5" w:rsidRDefault="00256680" w:rsidP="00256680">
      <w:pPr>
        <w:rPr>
          <w:b/>
          <w:szCs w:val="24"/>
          <w:lang w:val="en-GB"/>
        </w:rPr>
      </w:pPr>
      <w:r w:rsidRPr="006B45B5">
        <w:rPr>
          <w:b/>
          <w:szCs w:val="24"/>
          <w:lang w:val="en-GB"/>
        </w:rPr>
        <w:br w:type="page"/>
      </w:r>
    </w:p>
    <w:p w14:paraId="56F8A82D" w14:textId="5FF38263" w:rsidR="005C11B5" w:rsidRPr="00E85E59" w:rsidRDefault="00F24E1E" w:rsidP="005C11B5">
      <w:pPr>
        <w:spacing w:line="480" w:lineRule="auto"/>
        <w:jc w:val="both"/>
        <w:rPr>
          <w:b/>
          <w:szCs w:val="24"/>
          <w:lang w:val="en-GB"/>
        </w:rPr>
      </w:pPr>
      <w:r w:rsidRPr="00F24E1E">
        <w:rPr>
          <w:b/>
          <w:szCs w:val="24"/>
        </w:rPr>
        <w:lastRenderedPageBreak/>
        <w:t>Supplementary</w:t>
      </w:r>
      <w:r w:rsidRPr="00F24E1E">
        <w:rPr>
          <w:b/>
          <w:szCs w:val="24"/>
          <w:lang w:val="en-GB"/>
        </w:rPr>
        <w:t xml:space="preserve"> </w:t>
      </w:r>
      <w:r w:rsidR="00F54B61" w:rsidRPr="00F24E1E">
        <w:rPr>
          <w:b/>
          <w:szCs w:val="24"/>
          <w:lang w:val="en-GB"/>
        </w:rPr>
        <w:t>Figure</w:t>
      </w:r>
      <w:r w:rsidR="00F54B61">
        <w:rPr>
          <w:b/>
          <w:szCs w:val="24"/>
          <w:lang w:val="en-GB"/>
        </w:rPr>
        <w:t xml:space="preserve"> 4</w:t>
      </w:r>
    </w:p>
    <w:p w14:paraId="697FEF6C" w14:textId="7EA54997" w:rsidR="00256680" w:rsidRPr="006B45B5" w:rsidRDefault="00140AB3" w:rsidP="00256680">
      <w:pPr>
        <w:spacing w:line="480" w:lineRule="auto"/>
        <w:jc w:val="both"/>
        <w:rPr>
          <w:b/>
          <w:szCs w:val="24"/>
          <w:lang w:val="en-GB"/>
        </w:rPr>
      </w:pPr>
      <w:r>
        <w:rPr>
          <w:b/>
          <w:noProof/>
          <w:szCs w:val="24"/>
          <w:lang w:val="de-DE" w:eastAsia="de-DE"/>
        </w:rPr>
        <w:drawing>
          <wp:inline distT="0" distB="0" distL="0" distR="0" wp14:anchorId="26051799" wp14:editId="0A196C80">
            <wp:extent cx="1981200" cy="27051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xtended Data 3 290718.tif"/>
                    <pic:cNvPicPr/>
                  </pic:nvPicPr>
                  <pic:blipFill>
                    <a:blip r:embed="rId11">
                      <a:extLst>
                        <a:ext uri="{28A0092B-C50C-407E-A947-70E740481C1C}">
                          <a14:useLocalDpi xmlns:a14="http://schemas.microsoft.com/office/drawing/2010/main" val="0"/>
                        </a:ext>
                      </a:extLst>
                    </a:blip>
                    <a:stretch>
                      <a:fillRect/>
                    </a:stretch>
                  </pic:blipFill>
                  <pic:spPr>
                    <a:xfrm>
                      <a:off x="0" y="0"/>
                      <a:ext cx="1981200" cy="2705100"/>
                    </a:xfrm>
                    <a:prstGeom prst="rect">
                      <a:avLst/>
                    </a:prstGeom>
                  </pic:spPr>
                </pic:pic>
              </a:graphicData>
            </a:graphic>
          </wp:inline>
        </w:drawing>
      </w:r>
    </w:p>
    <w:p w14:paraId="6C1102E2" w14:textId="0ECC330B" w:rsidR="00256680" w:rsidRPr="005C11B5" w:rsidRDefault="00F24E1E" w:rsidP="005C11B5">
      <w:pPr>
        <w:spacing w:line="480" w:lineRule="auto"/>
        <w:jc w:val="both"/>
        <w:rPr>
          <w:b/>
          <w:szCs w:val="24"/>
          <w:lang w:val="en-GB"/>
        </w:rPr>
      </w:pPr>
      <w:r w:rsidRPr="00F24E1E">
        <w:rPr>
          <w:b/>
          <w:szCs w:val="24"/>
        </w:rPr>
        <w:t>Supplementary</w:t>
      </w:r>
      <w:r w:rsidRPr="00F24E1E">
        <w:rPr>
          <w:b/>
          <w:szCs w:val="24"/>
          <w:lang w:val="en-GB"/>
        </w:rPr>
        <w:t xml:space="preserve"> </w:t>
      </w:r>
      <w:r w:rsidR="00F54B61">
        <w:rPr>
          <w:b/>
          <w:szCs w:val="24"/>
          <w:lang w:val="en-GB"/>
        </w:rPr>
        <w:t>Figure 4</w:t>
      </w:r>
      <w:r w:rsidR="00256680" w:rsidRPr="005C11B5">
        <w:rPr>
          <w:b/>
        </w:rPr>
        <w:t xml:space="preserve"> Basal pain responses did not differ among genotypes</w:t>
      </w:r>
      <w:r w:rsidR="005C11B5" w:rsidRPr="005C11B5">
        <w:rPr>
          <w:b/>
          <w:szCs w:val="24"/>
          <w:lang w:val="en-GB"/>
        </w:rPr>
        <w:t>.</w:t>
      </w:r>
      <w:r w:rsidR="00A51EAD">
        <w:rPr>
          <w:szCs w:val="24"/>
          <w:lang w:val="en-GB"/>
        </w:rPr>
        <w:t xml:space="preserve"> </w:t>
      </w:r>
      <w:r w:rsidR="00256680" w:rsidRPr="006B45B5">
        <w:rPr>
          <w:szCs w:val="24"/>
          <w:lang w:val="en-GB"/>
        </w:rPr>
        <w:t xml:space="preserve">Basal pain responses determined at </w:t>
      </w:r>
      <w:r w:rsidR="00D820A4">
        <w:rPr>
          <w:szCs w:val="24"/>
          <w:lang w:val="en-GB"/>
        </w:rPr>
        <w:t xml:space="preserve">a hot-plate temperature of </w:t>
      </w:r>
      <w:r w:rsidR="00256680" w:rsidRPr="006B45B5">
        <w:rPr>
          <w:szCs w:val="24"/>
          <w:lang w:val="en-GB"/>
        </w:rPr>
        <w:t>56°C among different genotypes (F</w:t>
      </w:r>
      <w:r w:rsidR="00996617">
        <w:rPr>
          <w:szCs w:val="24"/>
          <w:vertAlign w:val="subscript"/>
          <w:lang w:val="en-GB"/>
        </w:rPr>
        <w:t>(3, 86</w:t>
      </w:r>
      <w:r w:rsidR="00256680" w:rsidRPr="006B45B5">
        <w:rPr>
          <w:szCs w:val="24"/>
          <w:vertAlign w:val="subscript"/>
          <w:lang w:val="en-GB"/>
        </w:rPr>
        <w:t>)</w:t>
      </w:r>
      <w:r w:rsidR="00256680" w:rsidRPr="006B45B5">
        <w:rPr>
          <w:szCs w:val="24"/>
          <w:lang w:val="en-GB"/>
        </w:rPr>
        <w:t xml:space="preserve"> = 0.0</w:t>
      </w:r>
      <w:r w:rsidR="00996617">
        <w:rPr>
          <w:szCs w:val="24"/>
          <w:lang w:val="en-GB"/>
        </w:rPr>
        <w:t>4070</w:t>
      </w:r>
      <w:r w:rsidR="00256680" w:rsidRPr="006B45B5">
        <w:rPr>
          <w:szCs w:val="24"/>
          <w:lang w:val="en-GB"/>
        </w:rPr>
        <w:t>, P = 0.9</w:t>
      </w:r>
      <w:r w:rsidR="00996617">
        <w:rPr>
          <w:szCs w:val="24"/>
          <w:lang w:val="en-GB"/>
        </w:rPr>
        <w:t>890</w:t>
      </w:r>
      <w:r w:rsidR="00256680" w:rsidRPr="006B45B5">
        <w:rPr>
          <w:szCs w:val="24"/>
          <w:lang w:val="en-GB"/>
        </w:rPr>
        <w:t xml:space="preserve">) (n = </w:t>
      </w:r>
      <w:r w:rsidR="00996617">
        <w:rPr>
          <w:szCs w:val="24"/>
          <w:lang w:val="en-GB"/>
        </w:rPr>
        <w:t>21</w:t>
      </w:r>
      <w:r w:rsidR="00E7615B">
        <w:rPr>
          <w:szCs w:val="24"/>
          <w:lang w:val="en-GB"/>
        </w:rPr>
        <w:t>–</w:t>
      </w:r>
      <w:r w:rsidR="00996617">
        <w:rPr>
          <w:szCs w:val="24"/>
          <w:lang w:val="en-GB"/>
        </w:rPr>
        <w:t>24</w:t>
      </w:r>
      <w:r w:rsidR="00256680" w:rsidRPr="006B45B5">
        <w:rPr>
          <w:szCs w:val="24"/>
          <w:lang w:val="en-GB"/>
        </w:rPr>
        <w:t xml:space="preserve">). Data are </w:t>
      </w:r>
      <w:r w:rsidR="00D820A4">
        <w:rPr>
          <w:szCs w:val="24"/>
          <w:lang w:val="en-GB"/>
        </w:rPr>
        <w:t xml:space="preserve">the </w:t>
      </w:r>
      <w:r w:rsidR="00256680" w:rsidRPr="006B45B5">
        <w:rPr>
          <w:szCs w:val="24"/>
          <w:lang w:val="en-GB"/>
        </w:rPr>
        <w:t xml:space="preserve">means ± s.e.m. One-way ANOVA with Bonferroni </w:t>
      </w:r>
      <w:r w:rsidR="006B45B5">
        <w:rPr>
          <w:i/>
          <w:szCs w:val="24"/>
          <w:lang w:val="en-GB" w:eastAsia="en-GB"/>
        </w:rPr>
        <w:t>post hoc</w:t>
      </w:r>
      <w:r w:rsidR="00256680" w:rsidRPr="006B45B5">
        <w:rPr>
          <w:szCs w:val="24"/>
          <w:lang w:val="en-GB" w:eastAsia="en-GB"/>
        </w:rPr>
        <w:t xml:space="preserve"> test</w:t>
      </w:r>
      <w:r w:rsidR="00256680" w:rsidRPr="006B45B5">
        <w:rPr>
          <w:szCs w:val="24"/>
          <w:lang w:val="en-GB"/>
        </w:rPr>
        <w:t>.</w:t>
      </w:r>
    </w:p>
    <w:p w14:paraId="63A89395" w14:textId="77777777" w:rsidR="00256680" w:rsidRPr="006B45B5" w:rsidRDefault="00256680" w:rsidP="00256680">
      <w:pPr>
        <w:spacing w:line="480" w:lineRule="auto"/>
        <w:jc w:val="both"/>
        <w:rPr>
          <w:b/>
          <w:szCs w:val="24"/>
          <w:lang w:val="en-GB"/>
        </w:rPr>
      </w:pPr>
    </w:p>
    <w:p w14:paraId="5532A228" w14:textId="77777777" w:rsidR="00256680" w:rsidRPr="006B45B5" w:rsidRDefault="00256680" w:rsidP="00256680">
      <w:pPr>
        <w:spacing w:line="480" w:lineRule="auto"/>
        <w:jc w:val="both"/>
        <w:rPr>
          <w:b/>
          <w:szCs w:val="24"/>
          <w:lang w:val="en-GB"/>
        </w:rPr>
      </w:pPr>
    </w:p>
    <w:p w14:paraId="1283A902" w14:textId="77777777" w:rsidR="00256680" w:rsidRPr="006B45B5" w:rsidRDefault="00256680" w:rsidP="00256680">
      <w:pPr>
        <w:rPr>
          <w:szCs w:val="24"/>
          <w:lang w:val="en-GB"/>
        </w:rPr>
      </w:pPr>
    </w:p>
    <w:p w14:paraId="5FF76859" w14:textId="77777777" w:rsidR="00256680" w:rsidRPr="006B45B5" w:rsidRDefault="00256680" w:rsidP="00256680">
      <w:pPr>
        <w:rPr>
          <w:szCs w:val="24"/>
          <w:lang w:val="en-GB"/>
        </w:rPr>
      </w:pPr>
    </w:p>
    <w:p w14:paraId="316B0822" w14:textId="77777777" w:rsidR="00256680" w:rsidRPr="006B45B5" w:rsidRDefault="00256680" w:rsidP="00256680">
      <w:pPr>
        <w:rPr>
          <w:szCs w:val="24"/>
          <w:lang w:val="en-GB"/>
        </w:rPr>
      </w:pPr>
      <w:r w:rsidRPr="006B45B5">
        <w:rPr>
          <w:szCs w:val="24"/>
          <w:lang w:val="en-GB"/>
        </w:rPr>
        <w:br w:type="page"/>
      </w:r>
    </w:p>
    <w:p w14:paraId="7223C61B" w14:textId="600BD0A2" w:rsidR="00256680" w:rsidRPr="006B45B5" w:rsidRDefault="00F24E1E" w:rsidP="00A51EAD">
      <w:pPr>
        <w:pStyle w:val="berschrift2"/>
      </w:pPr>
      <w:r>
        <w:rPr>
          <w:szCs w:val="24"/>
        </w:rPr>
        <w:lastRenderedPageBreak/>
        <w:t xml:space="preserve">Supplementary </w:t>
      </w:r>
      <w:r w:rsidR="00F54B61">
        <w:rPr>
          <w:szCs w:val="24"/>
        </w:rPr>
        <w:t>Figure 5</w:t>
      </w:r>
    </w:p>
    <w:p w14:paraId="6173FE21" w14:textId="6B715613" w:rsidR="00256680" w:rsidRPr="0003171C" w:rsidRDefault="0003171C" w:rsidP="00256680">
      <w:pPr>
        <w:spacing w:line="480" w:lineRule="auto"/>
        <w:jc w:val="both"/>
        <w:rPr>
          <w:b/>
          <w:szCs w:val="24"/>
          <w:lang w:val="en-GB"/>
        </w:rPr>
      </w:pPr>
      <w:r>
        <w:rPr>
          <w:b/>
          <w:noProof/>
          <w:szCs w:val="24"/>
          <w:lang w:val="de-DE" w:eastAsia="de-DE"/>
        </w:rPr>
        <w:drawing>
          <wp:inline distT="0" distB="0" distL="0" distR="0" wp14:anchorId="760018AD" wp14:editId="2411DA98">
            <wp:extent cx="5398851" cy="2250098"/>
            <wp:effectExtent l="0" t="0" r="0" b="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Extended Data 4 280818.tif"/>
                    <pic:cNvPicPr/>
                  </pic:nvPicPr>
                  <pic:blipFill>
                    <a:blip r:embed="rId12"/>
                    <a:stretch>
                      <a:fillRect/>
                    </a:stretch>
                  </pic:blipFill>
                  <pic:spPr>
                    <a:xfrm>
                      <a:off x="0" y="0"/>
                      <a:ext cx="5406753" cy="2253391"/>
                    </a:xfrm>
                    <a:prstGeom prst="rect">
                      <a:avLst/>
                    </a:prstGeom>
                  </pic:spPr>
                </pic:pic>
              </a:graphicData>
            </a:graphic>
          </wp:inline>
        </w:drawing>
      </w:r>
    </w:p>
    <w:p w14:paraId="1FD2A0AB" w14:textId="1D2D1578" w:rsidR="00A51EAD" w:rsidRPr="00A51EAD" w:rsidRDefault="00F24E1E" w:rsidP="00A51EAD">
      <w:pPr>
        <w:pStyle w:val="berschrift3"/>
        <w:rPr>
          <w:vanish/>
          <w:specVanish/>
        </w:rPr>
      </w:pPr>
      <w:r>
        <w:rPr>
          <w:szCs w:val="24"/>
        </w:rPr>
        <w:t xml:space="preserve">Supplementary </w:t>
      </w:r>
      <w:r w:rsidR="00F54B61">
        <w:rPr>
          <w:szCs w:val="24"/>
        </w:rPr>
        <w:t>Figure 5</w:t>
      </w:r>
      <w:r w:rsidR="005C11B5">
        <w:rPr>
          <w:szCs w:val="24"/>
        </w:rPr>
        <w:t xml:space="preserve"> </w:t>
      </w:r>
      <w:r w:rsidR="00256680" w:rsidRPr="006B45B5">
        <w:t>Heterozygous 10S/T-A mice also exhibited greater antinociception</w:t>
      </w:r>
      <w:r w:rsidR="005C11B5">
        <w:t>.</w:t>
      </w:r>
    </w:p>
    <w:p w14:paraId="39E92FCD" w14:textId="00BF78FF" w:rsidR="00256680" w:rsidRPr="006B45B5" w:rsidRDefault="00A51EAD" w:rsidP="00256680">
      <w:pPr>
        <w:spacing w:line="360" w:lineRule="auto"/>
        <w:jc w:val="both"/>
        <w:rPr>
          <w:szCs w:val="24"/>
          <w:lang w:val="en-GB"/>
        </w:rPr>
      </w:pPr>
      <w:r>
        <w:rPr>
          <w:b/>
          <w:szCs w:val="24"/>
          <w:lang w:val="en-GB"/>
        </w:rPr>
        <w:t xml:space="preserve"> </w:t>
      </w:r>
      <w:r w:rsidR="006D1832">
        <w:rPr>
          <w:b/>
          <w:szCs w:val="24"/>
          <w:lang w:val="en-GB"/>
        </w:rPr>
        <w:t>a, b,</w:t>
      </w:r>
      <w:r w:rsidR="00256680" w:rsidRPr="006B45B5">
        <w:rPr>
          <w:szCs w:val="24"/>
          <w:lang w:val="en-GB"/>
        </w:rPr>
        <w:t xml:space="preserve"> Acute antinociceptive response measured in the mouse hot-plate test. Nociceptive latencies were defined by paw withdrawal and are reported as percent maximum possible effect (% MPE) with a 30-s cut-off. Cumulative dose-response curves in 10S/T-A</w:t>
      </w:r>
      <w:r w:rsidR="00256680" w:rsidRPr="006B45B5">
        <w:rPr>
          <w:szCs w:val="24"/>
          <w:vertAlign w:val="superscript"/>
          <w:lang w:val="en-GB"/>
        </w:rPr>
        <w:t>KI/KI</w:t>
      </w:r>
      <w:r w:rsidR="00256680" w:rsidRPr="006B45B5">
        <w:rPr>
          <w:szCs w:val="24"/>
          <w:lang w:val="en-GB"/>
        </w:rPr>
        <w:t xml:space="preserve"> and 10S/T-A</w:t>
      </w:r>
      <w:r w:rsidR="00256680" w:rsidRPr="006B45B5">
        <w:rPr>
          <w:szCs w:val="24"/>
          <w:vertAlign w:val="superscript"/>
          <w:lang w:val="en-GB"/>
        </w:rPr>
        <w:t>+/KI</w:t>
      </w:r>
      <w:r w:rsidR="00256680" w:rsidRPr="006B45B5">
        <w:rPr>
          <w:szCs w:val="24"/>
          <w:lang w:val="en-GB"/>
        </w:rPr>
        <w:t xml:space="preserve"> compared to</w:t>
      </w:r>
      <w:r w:rsidR="00D820A4">
        <w:rPr>
          <w:szCs w:val="24"/>
          <w:lang w:val="en-GB"/>
        </w:rPr>
        <w:t xml:space="preserve"> that in</w:t>
      </w:r>
      <w:r w:rsidR="00256680" w:rsidRPr="006B45B5">
        <w:rPr>
          <w:szCs w:val="24"/>
          <w:lang w:val="en-GB"/>
        </w:rPr>
        <w:t xml:space="preserve"> WT mice (n = 9</w:t>
      </w:r>
      <w:r w:rsidR="00E7615B">
        <w:rPr>
          <w:szCs w:val="24"/>
          <w:lang w:val="en-GB"/>
        </w:rPr>
        <w:t>–</w:t>
      </w:r>
      <w:r w:rsidR="00256680" w:rsidRPr="006B45B5">
        <w:rPr>
          <w:szCs w:val="24"/>
          <w:lang w:val="en-GB"/>
        </w:rPr>
        <w:t xml:space="preserve">12) after </w:t>
      </w:r>
      <w:r w:rsidR="006D1832">
        <w:rPr>
          <w:b/>
          <w:szCs w:val="24"/>
          <w:lang w:val="en-GB"/>
        </w:rPr>
        <w:t>a,</w:t>
      </w:r>
      <w:r w:rsidR="00256680" w:rsidRPr="006B45B5">
        <w:rPr>
          <w:szCs w:val="24"/>
          <w:lang w:val="en-GB"/>
        </w:rPr>
        <w:t xml:space="preserve"> fentanyl or </w:t>
      </w:r>
      <w:r w:rsidR="006D1832">
        <w:rPr>
          <w:b/>
          <w:szCs w:val="24"/>
          <w:lang w:val="en-GB"/>
        </w:rPr>
        <w:t>b,</w:t>
      </w:r>
      <w:r w:rsidR="00256680" w:rsidRPr="006B45B5">
        <w:rPr>
          <w:szCs w:val="24"/>
          <w:lang w:val="en-GB"/>
        </w:rPr>
        <w:t xml:space="preserve"> morphine. </w:t>
      </w:r>
    </w:p>
    <w:p w14:paraId="41DB8FF5" w14:textId="77777777" w:rsidR="00256680" w:rsidRPr="006B45B5" w:rsidRDefault="00256680" w:rsidP="00256680">
      <w:pPr>
        <w:rPr>
          <w:szCs w:val="24"/>
          <w:lang w:val="en-GB"/>
        </w:rPr>
      </w:pPr>
    </w:p>
    <w:p w14:paraId="1F2E8498" w14:textId="77777777" w:rsidR="00256680" w:rsidRPr="006B45B5" w:rsidRDefault="00256680" w:rsidP="00256680">
      <w:pPr>
        <w:rPr>
          <w:szCs w:val="24"/>
          <w:lang w:val="en-GB"/>
        </w:rPr>
      </w:pPr>
    </w:p>
    <w:p w14:paraId="56A185D9" w14:textId="77777777" w:rsidR="00256680" w:rsidRPr="006B45B5" w:rsidRDefault="00256680" w:rsidP="00256680">
      <w:pPr>
        <w:rPr>
          <w:szCs w:val="24"/>
          <w:lang w:val="en-GB"/>
        </w:rPr>
      </w:pPr>
      <w:r w:rsidRPr="006B45B5">
        <w:rPr>
          <w:szCs w:val="24"/>
          <w:lang w:val="en-GB"/>
        </w:rPr>
        <w:br w:type="page"/>
      </w:r>
    </w:p>
    <w:p w14:paraId="0D98AC61" w14:textId="7D31ED21" w:rsidR="00256680" w:rsidRPr="006B45B5" w:rsidRDefault="00F24E1E" w:rsidP="00A51EAD">
      <w:pPr>
        <w:pStyle w:val="berschrift2"/>
      </w:pPr>
      <w:r>
        <w:rPr>
          <w:szCs w:val="24"/>
        </w:rPr>
        <w:lastRenderedPageBreak/>
        <w:t xml:space="preserve">Supplementary </w:t>
      </w:r>
      <w:r w:rsidR="00F54B61">
        <w:rPr>
          <w:szCs w:val="24"/>
        </w:rPr>
        <w:t>Figure 6</w:t>
      </w:r>
    </w:p>
    <w:p w14:paraId="3519B0D9" w14:textId="77777777" w:rsidR="00256680" w:rsidRPr="006B45B5" w:rsidRDefault="00256680" w:rsidP="00256680">
      <w:pPr>
        <w:spacing w:line="480" w:lineRule="auto"/>
        <w:jc w:val="both"/>
        <w:rPr>
          <w:b/>
          <w:szCs w:val="24"/>
          <w:lang w:val="en-GB"/>
        </w:rPr>
      </w:pPr>
      <w:r w:rsidRPr="006B45B5">
        <w:rPr>
          <w:b/>
          <w:noProof/>
          <w:szCs w:val="24"/>
          <w:lang w:val="de-DE" w:eastAsia="de-DE"/>
        </w:rPr>
        <w:drawing>
          <wp:inline distT="0" distB="0" distL="0" distR="0" wp14:anchorId="6FD39DE8" wp14:editId="245DB68F">
            <wp:extent cx="3158087" cy="2250693"/>
            <wp:effectExtent l="0" t="0" r="4445"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Extended Data 4 190318.ti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171055" cy="2259935"/>
                    </a:xfrm>
                    <a:prstGeom prst="rect">
                      <a:avLst/>
                    </a:prstGeom>
                  </pic:spPr>
                </pic:pic>
              </a:graphicData>
            </a:graphic>
          </wp:inline>
        </w:drawing>
      </w:r>
    </w:p>
    <w:p w14:paraId="7C53878D" w14:textId="123F9DA9" w:rsidR="00A51EAD" w:rsidRPr="00A51EAD" w:rsidRDefault="00F24E1E" w:rsidP="00A51EAD">
      <w:pPr>
        <w:pStyle w:val="berschrift3"/>
        <w:rPr>
          <w:vanish/>
          <w:specVanish/>
        </w:rPr>
      </w:pPr>
      <w:r>
        <w:rPr>
          <w:szCs w:val="24"/>
        </w:rPr>
        <w:t xml:space="preserve">Supplementary </w:t>
      </w:r>
      <w:r w:rsidR="00F54B61">
        <w:rPr>
          <w:szCs w:val="24"/>
        </w:rPr>
        <w:t>Figure 6</w:t>
      </w:r>
      <w:r w:rsidR="00256680" w:rsidRPr="006B45B5">
        <w:t xml:space="preserve"> </w:t>
      </w:r>
      <w:r w:rsidR="00B61C14">
        <w:t>Area under the curve</w:t>
      </w:r>
      <w:r w:rsidR="00B61C14" w:rsidRPr="006B45B5">
        <w:t xml:space="preserve"> </w:t>
      </w:r>
      <w:r w:rsidR="00256680" w:rsidRPr="006B45B5">
        <w:t>of analgesic time course</w:t>
      </w:r>
      <w:r w:rsidR="005C11B5">
        <w:t>.</w:t>
      </w:r>
    </w:p>
    <w:p w14:paraId="35A243BC" w14:textId="2A37EB95" w:rsidR="00256680" w:rsidRPr="006B45B5" w:rsidRDefault="00A51EAD" w:rsidP="00256680">
      <w:pPr>
        <w:spacing w:line="360" w:lineRule="auto"/>
        <w:jc w:val="both"/>
        <w:rPr>
          <w:szCs w:val="24"/>
          <w:lang w:val="en-GB"/>
        </w:rPr>
      </w:pPr>
      <w:r>
        <w:rPr>
          <w:szCs w:val="24"/>
          <w:lang w:val="en-GB"/>
        </w:rPr>
        <w:t xml:space="preserve"> </w:t>
      </w:r>
      <w:r w:rsidR="00256680" w:rsidRPr="006B45B5">
        <w:rPr>
          <w:szCs w:val="24"/>
          <w:lang w:val="en-GB"/>
        </w:rPr>
        <w:t xml:space="preserve">Increased analgesic responses in 10S/T-A and 11S/T-A knockin mice compared to </w:t>
      </w:r>
      <w:r w:rsidR="00D820A4">
        <w:rPr>
          <w:szCs w:val="24"/>
          <w:lang w:val="en-GB"/>
        </w:rPr>
        <w:t xml:space="preserve">that in </w:t>
      </w:r>
      <w:r w:rsidR="00256680" w:rsidRPr="006B45B5">
        <w:rPr>
          <w:szCs w:val="24"/>
          <w:lang w:val="en-GB"/>
        </w:rPr>
        <w:t>WT (n = 6</w:t>
      </w:r>
      <w:r w:rsidR="00E7615B">
        <w:rPr>
          <w:szCs w:val="24"/>
          <w:lang w:val="en-GB"/>
        </w:rPr>
        <w:t>–</w:t>
      </w:r>
      <w:r w:rsidR="00256680" w:rsidRPr="006B45B5">
        <w:rPr>
          <w:szCs w:val="24"/>
          <w:lang w:val="en-GB"/>
        </w:rPr>
        <w:t>7) after acutely administered fentanyl (</w:t>
      </w:r>
      <w:r w:rsidR="00256680" w:rsidRPr="006B45B5">
        <w:rPr>
          <w:lang w:val="en-GB"/>
        </w:rPr>
        <w:t>F</w:t>
      </w:r>
      <w:r w:rsidR="00256680" w:rsidRPr="006B45B5">
        <w:rPr>
          <w:vertAlign w:val="subscript"/>
          <w:lang w:val="en-GB"/>
        </w:rPr>
        <w:t>(3, 21)</w:t>
      </w:r>
      <w:r w:rsidR="00256680" w:rsidRPr="006B45B5">
        <w:rPr>
          <w:lang w:val="en-GB"/>
        </w:rPr>
        <w:t xml:space="preserve"> = 71.68, P &lt; 0.0001) </w:t>
      </w:r>
      <w:r w:rsidR="00256680" w:rsidRPr="006B45B5">
        <w:rPr>
          <w:szCs w:val="24"/>
          <w:lang w:val="en-GB"/>
        </w:rPr>
        <w:t>or morphine (</w:t>
      </w:r>
      <w:r w:rsidR="00256680" w:rsidRPr="006B45B5">
        <w:rPr>
          <w:lang w:val="en-GB"/>
        </w:rPr>
        <w:t>F</w:t>
      </w:r>
      <w:r w:rsidR="00256680" w:rsidRPr="006B45B5">
        <w:rPr>
          <w:vertAlign w:val="subscript"/>
          <w:lang w:val="en-GB"/>
        </w:rPr>
        <w:t>(3, 21)</w:t>
      </w:r>
      <w:r w:rsidR="00256680" w:rsidRPr="006B45B5">
        <w:rPr>
          <w:lang w:val="en-GB"/>
        </w:rPr>
        <w:t xml:space="preserve"> = 73.22, P &lt; 0.0001)</w:t>
      </w:r>
      <w:r w:rsidR="00256680" w:rsidRPr="006B45B5">
        <w:rPr>
          <w:szCs w:val="24"/>
          <w:lang w:val="en-GB"/>
        </w:rPr>
        <w:t xml:space="preserve">. Data are </w:t>
      </w:r>
      <w:r w:rsidR="00D820A4">
        <w:rPr>
          <w:szCs w:val="24"/>
          <w:lang w:val="en-GB"/>
        </w:rPr>
        <w:t xml:space="preserve">the </w:t>
      </w:r>
      <w:r w:rsidR="00256680" w:rsidRPr="006B45B5">
        <w:rPr>
          <w:szCs w:val="24"/>
          <w:lang w:val="en-GB"/>
        </w:rPr>
        <w:t xml:space="preserve">means ± s.e.m.; * indicate statistically significant differences compared to WT. One-way ANOVA with Bonferroni </w:t>
      </w:r>
      <w:r w:rsidR="006B45B5">
        <w:rPr>
          <w:i/>
          <w:szCs w:val="24"/>
          <w:lang w:val="en-GB" w:eastAsia="en-GB"/>
        </w:rPr>
        <w:t>post hoc</w:t>
      </w:r>
      <w:r w:rsidR="00256680" w:rsidRPr="006B45B5">
        <w:rPr>
          <w:szCs w:val="24"/>
          <w:lang w:val="en-GB" w:eastAsia="en-GB"/>
        </w:rPr>
        <w:t xml:space="preserve"> test</w:t>
      </w:r>
      <w:r w:rsidR="00256680" w:rsidRPr="006B45B5">
        <w:rPr>
          <w:szCs w:val="24"/>
          <w:lang w:val="en-GB"/>
        </w:rPr>
        <w:t>.</w:t>
      </w:r>
      <w:r w:rsidR="00B61C14">
        <w:rPr>
          <w:szCs w:val="24"/>
          <w:lang w:val="en-GB"/>
        </w:rPr>
        <w:t xml:space="preserve"> AUC: area under the curve.</w:t>
      </w:r>
    </w:p>
    <w:p w14:paraId="2D0D410A" w14:textId="77777777" w:rsidR="00256680" w:rsidRPr="006B45B5" w:rsidRDefault="00256680" w:rsidP="00256680">
      <w:pPr>
        <w:spacing w:line="480" w:lineRule="auto"/>
        <w:jc w:val="both"/>
        <w:rPr>
          <w:b/>
          <w:szCs w:val="24"/>
          <w:lang w:val="en-GB"/>
        </w:rPr>
      </w:pPr>
    </w:p>
    <w:p w14:paraId="7084E9E2" w14:textId="77777777" w:rsidR="00256680" w:rsidRPr="006B45B5" w:rsidRDefault="00256680" w:rsidP="00256680">
      <w:pPr>
        <w:rPr>
          <w:szCs w:val="24"/>
          <w:lang w:val="en-GB"/>
        </w:rPr>
      </w:pPr>
    </w:p>
    <w:p w14:paraId="360D675B" w14:textId="77777777" w:rsidR="00256680" w:rsidRPr="006B45B5" w:rsidRDefault="00256680" w:rsidP="00256680">
      <w:pPr>
        <w:rPr>
          <w:szCs w:val="24"/>
          <w:lang w:val="en-GB"/>
        </w:rPr>
      </w:pPr>
      <w:r w:rsidRPr="006B45B5">
        <w:rPr>
          <w:szCs w:val="24"/>
          <w:lang w:val="en-GB"/>
        </w:rPr>
        <w:br w:type="page"/>
      </w:r>
    </w:p>
    <w:p w14:paraId="3B42E966" w14:textId="352BADB7" w:rsidR="00256680" w:rsidRPr="006B45B5" w:rsidRDefault="00F24E1E" w:rsidP="00A51EAD">
      <w:pPr>
        <w:pStyle w:val="berschrift2"/>
      </w:pPr>
      <w:r>
        <w:rPr>
          <w:szCs w:val="24"/>
        </w:rPr>
        <w:lastRenderedPageBreak/>
        <w:t xml:space="preserve">Supplementary </w:t>
      </w:r>
      <w:r w:rsidR="00F54B61">
        <w:rPr>
          <w:szCs w:val="24"/>
        </w:rPr>
        <w:t>Figure 7</w:t>
      </w:r>
    </w:p>
    <w:p w14:paraId="1100B1A5" w14:textId="3CD2924A" w:rsidR="00256680" w:rsidRPr="006B45B5" w:rsidRDefault="00325FFC" w:rsidP="00256680">
      <w:pPr>
        <w:spacing w:line="480" w:lineRule="auto"/>
        <w:jc w:val="both"/>
        <w:rPr>
          <w:b/>
          <w:szCs w:val="24"/>
          <w:lang w:val="en-GB"/>
        </w:rPr>
      </w:pPr>
      <w:r>
        <w:rPr>
          <w:b/>
          <w:noProof/>
          <w:szCs w:val="24"/>
          <w:lang w:val="de-DE" w:eastAsia="de-DE"/>
        </w:rPr>
        <w:drawing>
          <wp:inline distT="0" distB="0" distL="0" distR="0" wp14:anchorId="7542EDFB" wp14:editId="14B7BCA1">
            <wp:extent cx="4426222" cy="4396902"/>
            <wp:effectExtent l="0" t="0" r="6350" b="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Extended Data 6 150818.tif"/>
                    <pic:cNvPicPr/>
                  </pic:nvPicPr>
                  <pic:blipFill>
                    <a:blip r:embed="rId14">
                      <a:extLst>
                        <a:ext uri="{28A0092B-C50C-407E-A947-70E740481C1C}">
                          <a14:useLocalDpi xmlns:a14="http://schemas.microsoft.com/office/drawing/2010/main" val="0"/>
                        </a:ext>
                      </a:extLst>
                    </a:blip>
                    <a:stretch>
                      <a:fillRect/>
                    </a:stretch>
                  </pic:blipFill>
                  <pic:spPr>
                    <a:xfrm>
                      <a:off x="0" y="0"/>
                      <a:ext cx="4435067" cy="4405688"/>
                    </a:xfrm>
                    <a:prstGeom prst="rect">
                      <a:avLst/>
                    </a:prstGeom>
                  </pic:spPr>
                </pic:pic>
              </a:graphicData>
            </a:graphic>
          </wp:inline>
        </w:drawing>
      </w:r>
    </w:p>
    <w:p w14:paraId="43CD91E4" w14:textId="2218D05C" w:rsidR="00A51EAD" w:rsidRPr="004B0848" w:rsidRDefault="00F24E1E" w:rsidP="00A51EAD">
      <w:pPr>
        <w:pStyle w:val="berschrift3"/>
        <w:rPr>
          <w:vanish/>
          <w:color w:val="auto"/>
          <w:specVanish/>
        </w:rPr>
      </w:pPr>
      <w:r>
        <w:rPr>
          <w:szCs w:val="24"/>
        </w:rPr>
        <w:t xml:space="preserve">Supplementary </w:t>
      </w:r>
      <w:r w:rsidR="00F54B61">
        <w:rPr>
          <w:szCs w:val="24"/>
        </w:rPr>
        <w:t>Figure 7</w:t>
      </w:r>
      <w:r w:rsidR="00245BB2">
        <w:t xml:space="preserve"> </w:t>
      </w:r>
      <w:r w:rsidR="00256680" w:rsidRPr="004B0848">
        <w:rPr>
          <w:color w:val="auto"/>
        </w:rPr>
        <w:t>Respiratory depression and constipation dose-response curves</w:t>
      </w:r>
      <w:r w:rsidR="005C11B5" w:rsidRPr="004B0848">
        <w:rPr>
          <w:color w:val="auto"/>
        </w:rPr>
        <w:t>.</w:t>
      </w:r>
    </w:p>
    <w:p w14:paraId="62ABB445" w14:textId="03ED5BC3" w:rsidR="00256680" w:rsidRPr="00914848" w:rsidRDefault="00914848" w:rsidP="00256680">
      <w:pPr>
        <w:spacing w:line="360" w:lineRule="auto"/>
        <w:jc w:val="both"/>
        <w:rPr>
          <w:b/>
          <w:color w:val="000000"/>
          <w:szCs w:val="24"/>
          <w:lang w:val="en-GB"/>
        </w:rPr>
      </w:pPr>
      <w:r w:rsidRPr="004B0848">
        <w:rPr>
          <w:b/>
          <w:szCs w:val="24"/>
          <w:lang w:val="en-GB"/>
        </w:rPr>
        <w:t xml:space="preserve"> </w:t>
      </w:r>
      <w:r w:rsidR="004650B9" w:rsidRPr="004B0848">
        <w:rPr>
          <w:b/>
          <w:szCs w:val="24"/>
          <w:lang w:val="en-GB"/>
        </w:rPr>
        <w:t xml:space="preserve">a, </w:t>
      </w:r>
      <w:r w:rsidRPr="004B0848">
        <w:rPr>
          <w:szCs w:val="24"/>
          <w:lang w:val="en-GB"/>
        </w:rPr>
        <w:t>Time course of</w:t>
      </w:r>
      <w:r w:rsidRPr="004B0848">
        <w:rPr>
          <w:b/>
          <w:szCs w:val="24"/>
          <w:lang w:val="en-GB"/>
        </w:rPr>
        <w:t xml:space="preserve"> </w:t>
      </w:r>
      <w:r w:rsidRPr="004B0848">
        <w:rPr>
          <w:szCs w:val="24"/>
          <w:lang w:val="en-GB"/>
        </w:rPr>
        <w:t>respiratory rate</w:t>
      </w:r>
      <w:r w:rsidR="002E5F28" w:rsidRPr="004B0848">
        <w:rPr>
          <w:szCs w:val="24"/>
          <w:lang w:val="en-GB"/>
        </w:rPr>
        <w:t>s</w:t>
      </w:r>
      <w:r w:rsidRPr="004B0848">
        <w:rPr>
          <w:szCs w:val="24"/>
          <w:lang w:val="en-GB"/>
        </w:rPr>
        <w:t xml:space="preserve"> measured by plethysmography </w:t>
      </w:r>
      <w:r w:rsidRPr="004B0848">
        <w:t>15 min (fentanyl) or 30 min (morphine)</w:t>
      </w:r>
      <w:r w:rsidRPr="004B0848">
        <w:rPr>
          <w:szCs w:val="24"/>
          <w:lang w:val="en-GB"/>
        </w:rPr>
        <w:t xml:space="preserve"> after </w:t>
      </w:r>
      <w:r w:rsidR="002E5F28" w:rsidRPr="004B0848">
        <w:rPr>
          <w:szCs w:val="24"/>
          <w:lang w:val="en-GB"/>
        </w:rPr>
        <w:t xml:space="preserve">administration of </w:t>
      </w:r>
      <w:r w:rsidRPr="004B0848">
        <w:rPr>
          <w:spacing w:val="1"/>
        </w:rPr>
        <w:t>equally effective doses for analgesia of fentanyl (0.1 mg kg</w:t>
      </w:r>
      <w:r w:rsidRPr="004B0848">
        <w:rPr>
          <w:vertAlign w:val="superscript"/>
        </w:rPr>
        <w:t>-1</w:t>
      </w:r>
      <w:r w:rsidRPr="004B0848">
        <w:rPr>
          <w:spacing w:val="1"/>
        </w:rPr>
        <w:t xml:space="preserve"> for </w:t>
      </w:r>
      <w:r w:rsidRPr="004B0848">
        <w:t>10S/T-A and 11S/T-A; 0.2 mg kg</w:t>
      </w:r>
      <w:r w:rsidRPr="004B0848">
        <w:rPr>
          <w:vertAlign w:val="superscript"/>
        </w:rPr>
        <w:t>-1</w:t>
      </w:r>
      <w:r w:rsidRPr="004B0848">
        <w:t xml:space="preserve"> for WT and S375A)</w:t>
      </w:r>
      <w:r w:rsidRPr="004B0848">
        <w:rPr>
          <w:spacing w:val="1"/>
        </w:rPr>
        <w:t xml:space="preserve"> or morphine (15 mg kg</w:t>
      </w:r>
      <w:r w:rsidRPr="004B0848">
        <w:rPr>
          <w:vertAlign w:val="superscript"/>
        </w:rPr>
        <w:t>-1</w:t>
      </w:r>
      <w:r w:rsidRPr="004B0848">
        <w:rPr>
          <w:spacing w:val="1"/>
        </w:rPr>
        <w:t xml:space="preserve"> for </w:t>
      </w:r>
      <w:r w:rsidRPr="004B0848">
        <w:t>10S/T-A and 11S/T-A; 22.5 mg kg</w:t>
      </w:r>
      <w:r w:rsidRPr="004B0848">
        <w:rPr>
          <w:vertAlign w:val="superscript"/>
        </w:rPr>
        <w:t>-1</w:t>
      </w:r>
      <w:r w:rsidRPr="004B0848">
        <w:t xml:space="preserve"> for WT and S375A)</w:t>
      </w:r>
      <w:r w:rsidRPr="004B0848">
        <w:rPr>
          <w:szCs w:val="24"/>
          <w:lang w:val="en-GB"/>
        </w:rPr>
        <w:t xml:space="preserve">. </w:t>
      </w:r>
      <w:r w:rsidR="004650B9" w:rsidRPr="004B0848">
        <w:rPr>
          <w:b/>
          <w:szCs w:val="24"/>
          <w:lang w:val="en-GB"/>
        </w:rPr>
        <w:t>b, c</w:t>
      </w:r>
      <w:r w:rsidR="006D1832" w:rsidRPr="004B0848">
        <w:rPr>
          <w:b/>
          <w:szCs w:val="24"/>
          <w:lang w:val="en-GB"/>
        </w:rPr>
        <w:t>,</w:t>
      </w:r>
      <w:r w:rsidR="00256680" w:rsidRPr="004B0848">
        <w:rPr>
          <w:b/>
          <w:szCs w:val="24"/>
          <w:lang w:val="en-GB"/>
        </w:rPr>
        <w:t xml:space="preserve"> </w:t>
      </w:r>
      <w:r w:rsidR="00D820A4" w:rsidRPr="004B0848">
        <w:rPr>
          <w:szCs w:val="24"/>
          <w:lang w:val="en-GB"/>
        </w:rPr>
        <w:t>Dose</w:t>
      </w:r>
      <w:r w:rsidR="00256680" w:rsidRPr="004B0848">
        <w:rPr>
          <w:szCs w:val="24"/>
          <w:lang w:val="en-GB"/>
        </w:rPr>
        <w:t>-response curves for calculated ED</w:t>
      </w:r>
      <w:r w:rsidR="00256680" w:rsidRPr="004B0848">
        <w:rPr>
          <w:szCs w:val="24"/>
          <w:vertAlign w:val="subscript"/>
          <w:lang w:val="en-GB"/>
        </w:rPr>
        <w:t>50</w:t>
      </w:r>
      <w:r w:rsidR="00256680" w:rsidRPr="004B0848">
        <w:rPr>
          <w:szCs w:val="24"/>
          <w:lang w:val="en-GB"/>
        </w:rPr>
        <w:t xml:space="preserve"> values. </w:t>
      </w:r>
      <w:r w:rsidR="001D6027" w:rsidRPr="004B0848">
        <w:rPr>
          <w:b/>
          <w:szCs w:val="24"/>
          <w:lang w:val="en-GB"/>
        </w:rPr>
        <w:t>b</w:t>
      </w:r>
      <w:r w:rsidR="006D1832" w:rsidRPr="004B0848">
        <w:rPr>
          <w:b/>
          <w:szCs w:val="24"/>
          <w:lang w:val="en-GB"/>
        </w:rPr>
        <w:t>,</w:t>
      </w:r>
      <w:r w:rsidR="00256680" w:rsidRPr="004B0848">
        <w:rPr>
          <w:szCs w:val="24"/>
          <w:lang w:val="en-GB"/>
        </w:rPr>
        <w:t xml:space="preserve"> Respiratory rate measured </w:t>
      </w:r>
      <w:r w:rsidR="00D820A4" w:rsidRPr="004B0848">
        <w:rPr>
          <w:szCs w:val="24"/>
          <w:lang w:val="en-GB"/>
        </w:rPr>
        <w:t xml:space="preserve">by </w:t>
      </w:r>
      <w:r w:rsidR="00256680" w:rsidRPr="004B0848">
        <w:rPr>
          <w:szCs w:val="24"/>
          <w:lang w:val="en-GB"/>
        </w:rPr>
        <w:t xml:space="preserve">plethysmography </w:t>
      </w:r>
      <w:r w:rsidRPr="004B0848">
        <w:rPr>
          <w:szCs w:val="24"/>
          <w:lang w:val="en-GB"/>
        </w:rPr>
        <w:t xml:space="preserve">15 or </w:t>
      </w:r>
      <w:r w:rsidR="00256680" w:rsidRPr="004B0848">
        <w:rPr>
          <w:szCs w:val="24"/>
          <w:lang w:val="en-GB"/>
        </w:rPr>
        <w:t>30 min after drug administration (fentanyl: F</w:t>
      </w:r>
      <w:r w:rsidR="00256680" w:rsidRPr="004B0848">
        <w:rPr>
          <w:szCs w:val="24"/>
          <w:vertAlign w:val="subscript"/>
          <w:lang w:val="en-GB"/>
        </w:rPr>
        <w:t>(19, 15820)</w:t>
      </w:r>
      <w:r w:rsidR="00256680" w:rsidRPr="004B0848">
        <w:rPr>
          <w:szCs w:val="24"/>
          <w:lang w:val="en-GB"/>
        </w:rPr>
        <w:t xml:space="preserve"> = 5033, P &lt; 0.0001; morphine: F</w:t>
      </w:r>
      <w:r w:rsidR="00256680" w:rsidRPr="004B0848">
        <w:rPr>
          <w:szCs w:val="24"/>
          <w:vertAlign w:val="subscript"/>
          <w:lang w:val="en-GB"/>
        </w:rPr>
        <w:t>(23, 19336)</w:t>
      </w:r>
      <w:r w:rsidR="00256680" w:rsidRPr="004B0848">
        <w:rPr>
          <w:szCs w:val="24"/>
          <w:lang w:val="en-GB"/>
        </w:rPr>
        <w:t xml:space="preserve"> = 4985, P &lt; 0.0001) (n</w:t>
      </w:r>
      <w:r w:rsidR="006B45B5" w:rsidRPr="004B0848">
        <w:rPr>
          <w:szCs w:val="24"/>
          <w:lang w:val="en-GB"/>
        </w:rPr>
        <w:t xml:space="preserve"> </w:t>
      </w:r>
      <w:r w:rsidR="00256680" w:rsidRPr="004B0848">
        <w:rPr>
          <w:szCs w:val="24"/>
          <w:lang w:val="en-GB"/>
        </w:rPr>
        <w:t>=</w:t>
      </w:r>
      <w:r w:rsidR="006B45B5" w:rsidRPr="004B0848">
        <w:rPr>
          <w:szCs w:val="24"/>
          <w:lang w:val="en-GB"/>
        </w:rPr>
        <w:t xml:space="preserve"> </w:t>
      </w:r>
      <w:r w:rsidR="00256680" w:rsidRPr="004B0848">
        <w:rPr>
          <w:szCs w:val="24"/>
          <w:lang w:val="en-GB"/>
        </w:rPr>
        <w:t xml:space="preserve">6). </w:t>
      </w:r>
      <w:r w:rsidR="001D6027" w:rsidRPr="004B0848">
        <w:rPr>
          <w:b/>
          <w:szCs w:val="24"/>
          <w:lang w:val="en-GB"/>
        </w:rPr>
        <w:t>c</w:t>
      </w:r>
      <w:r w:rsidR="006D1832" w:rsidRPr="004B0848">
        <w:rPr>
          <w:b/>
          <w:szCs w:val="24"/>
          <w:lang w:val="en-GB"/>
        </w:rPr>
        <w:t>,</w:t>
      </w:r>
      <w:r w:rsidR="00256680" w:rsidRPr="004B0848">
        <w:rPr>
          <w:szCs w:val="24"/>
          <w:lang w:val="en-GB"/>
        </w:rPr>
        <w:t xml:space="preserve"> Accumulated </w:t>
      </w:r>
      <w:r w:rsidR="002C765A" w:rsidRPr="004B0848">
        <w:rPr>
          <w:szCs w:val="24"/>
          <w:lang w:val="en-GB"/>
        </w:rPr>
        <w:t>faecal</w:t>
      </w:r>
      <w:r w:rsidR="00256680" w:rsidRPr="004B0848">
        <w:rPr>
          <w:szCs w:val="24"/>
          <w:lang w:val="en-GB"/>
        </w:rPr>
        <w:t xml:space="preserve"> boli weight in the constipation test (fentanyl: F</w:t>
      </w:r>
      <w:r w:rsidR="00256680" w:rsidRPr="004B0848">
        <w:rPr>
          <w:szCs w:val="24"/>
          <w:vertAlign w:val="subscript"/>
          <w:lang w:val="en-GB"/>
        </w:rPr>
        <w:t>(19, 188)</w:t>
      </w:r>
      <w:r w:rsidR="00256680" w:rsidRPr="004B0848">
        <w:rPr>
          <w:szCs w:val="24"/>
          <w:lang w:val="en-GB"/>
        </w:rPr>
        <w:t xml:space="preserve"> = 12.31, P &lt; 0</w:t>
      </w:r>
      <w:r w:rsidR="00256680" w:rsidRPr="006B45B5">
        <w:rPr>
          <w:szCs w:val="24"/>
          <w:lang w:val="en-GB"/>
        </w:rPr>
        <w:t>.0001; morphine: F</w:t>
      </w:r>
      <w:r w:rsidR="00256680" w:rsidRPr="006B45B5">
        <w:rPr>
          <w:szCs w:val="24"/>
          <w:vertAlign w:val="subscript"/>
          <w:lang w:val="en-GB"/>
        </w:rPr>
        <w:t>(23, 188)</w:t>
      </w:r>
      <w:r w:rsidR="00256680" w:rsidRPr="006B45B5">
        <w:rPr>
          <w:szCs w:val="24"/>
          <w:lang w:val="en-GB"/>
        </w:rPr>
        <w:t xml:space="preserve"> = 17.83, P &lt; 0.0001) (n = 6</w:t>
      </w:r>
      <w:r w:rsidR="00D4210D">
        <w:rPr>
          <w:szCs w:val="24"/>
          <w:lang w:val="en-GB"/>
        </w:rPr>
        <w:t>–</w:t>
      </w:r>
      <w:r w:rsidR="00256680" w:rsidRPr="006B45B5">
        <w:rPr>
          <w:szCs w:val="24"/>
          <w:lang w:val="en-GB"/>
        </w:rPr>
        <w:t>16). Data are</w:t>
      </w:r>
      <w:r w:rsidR="00D220A2">
        <w:rPr>
          <w:szCs w:val="24"/>
          <w:lang w:val="en-GB"/>
        </w:rPr>
        <w:t xml:space="preserve"> the</w:t>
      </w:r>
      <w:r w:rsidR="00256680" w:rsidRPr="006B45B5">
        <w:rPr>
          <w:szCs w:val="24"/>
          <w:lang w:val="en-GB"/>
        </w:rPr>
        <w:t xml:space="preserve"> means ± s.e.m. * indicate statistically significant differences between drug and vehicle</w:t>
      </w:r>
      <w:r w:rsidR="000E2429">
        <w:rPr>
          <w:szCs w:val="24"/>
          <w:lang w:val="en-GB"/>
        </w:rPr>
        <w:t>; o</w:t>
      </w:r>
      <w:r w:rsidR="00256680" w:rsidRPr="006B45B5">
        <w:rPr>
          <w:szCs w:val="24"/>
          <w:lang w:val="en-GB"/>
        </w:rPr>
        <w:t xml:space="preserve">ne-way ANOVA with Bonferroni </w:t>
      </w:r>
      <w:r w:rsidR="006B45B5">
        <w:rPr>
          <w:i/>
          <w:szCs w:val="24"/>
          <w:lang w:val="en-GB" w:eastAsia="en-GB"/>
        </w:rPr>
        <w:t>post hoc</w:t>
      </w:r>
      <w:r w:rsidR="00256680" w:rsidRPr="006B45B5">
        <w:rPr>
          <w:szCs w:val="24"/>
          <w:lang w:val="en-GB" w:eastAsia="en-GB"/>
        </w:rPr>
        <w:t xml:space="preserve"> test</w:t>
      </w:r>
      <w:r w:rsidR="00256680" w:rsidRPr="006B45B5">
        <w:rPr>
          <w:szCs w:val="24"/>
          <w:lang w:val="en-GB"/>
        </w:rPr>
        <w:t>.</w:t>
      </w:r>
    </w:p>
    <w:p w14:paraId="08EAC724" w14:textId="77777777" w:rsidR="00256680" w:rsidRPr="006B45B5" w:rsidRDefault="00256680" w:rsidP="00256680">
      <w:pPr>
        <w:rPr>
          <w:szCs w:val="24"/>
          <w:lang w:val="en-GB"/>
        </w:rPr>
      </w:pPr>
    </w:p>
    <w:p w14:paraId="31E670BE" w14:textId="77777777" w:rsidR="00256680" w:rsidRPr="006B45B5" w:rsidRDefault="00256680" w:rsidP="00256680">
      <w:pPr>
        <w:spacing w:line="480" w:lineRule="auto"/>
        <w:jc w:val="both"/>
        <w:rPr>
          <w:b/>
          <w:szCs w:val="24"/>
          <w:lang w:val="en-GB"/>
        </w:rPr>
      </w:pPr>
      <w:r w:rsidRPr="006B45B5">
        <w:rPr>
          <w:szCs w:val="24"/>
          <w:lang w:val="en-GB"/>
        </w:rPr>
        <w:br w:type="page"/>
      </w:r>
    </w:p>
    <w:p w14:paraId="540EC978" w14:textId="6DD246AB" w:rsidR="005778C3" w:rsidRPr="00EC47FF" w:rsidRDefault="00F24E1E">
      <w:pPr>
        <w:rPr>
          <w:b/>
          <w:szCs w:val="24"/>
        </w:rPr>
      </w:pPr>
      <w:r w:rsidRPr="00EC47FF">
        <w:rPr>
          <w:b/>
          <w:szCs w:val="24"/>
        </w:rPr>
        <w:lastRenderedPageBreak/>
        <w:t xml:space="preserve">Supplementary </w:t>
      </w:r>
      <w:r w:rsidR="00F54B61" w:rsidRPr="00EC47FF">
        <w:rPr>
          <w:b/>
          <w:szCs w:val="24"/>
        </w:rPr>
        <w:t>Figure 8</w:t>
      </w:r>
    </w:p>
    <w:p w14:paraId="6CAA2691" w14:textId="218FE635" w:rsidR="005778C3" w:rsidRPr="00EC47FF" w:rsidRDefault="005778C3">
      <w:pPr>
        <w:rPr>
          <w:szCs w:val="24"/>
        </w:rPr>
      </w:pPr>
    </w:p>
    <w:p w14:paraId="0FB8BAFD" w14:textId="2F0DAA10" w:rsidR="005778C3" w:rsidRPr="00EC47FF" w:rsidRDefault="005F3280">
      <w:pPr>
        <w:rPr>
          <w:szCs w:val="24"/>
        </w:rPr>
      </w:pPr>
      <w:r w:rsidRPr="00EC47FF">
        <w:rPr>
          <w:noProof/>
          <w:szCs w:val="24"/>
          <w:lang w:val="de-DE" w:eastAsia="de-DE"/>
        </w:rPr>
        <w:drawing>
          <wp:inline distT="0" distB="0" distL="0" distR="0" wp14:anchorId="3A41ED32" wp14:editId="15102664">
            <wp:extent cx="4709917" cy="3547730"/>
            <wp:effectExtent l="0" t="0" r="1905"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xtended data 8 071118.tif"/>
                    <pic:cNvPicPr/>
                  </pic:nvPicPr>
                  <pic:blipFill>
                    <a:blip r:embed="rId15"/>
                    <a:stretch>
                      <a:fillRect/>
                    </a:stretch>
                  </pic:blipFill>
                  <pic:spPr>
                    <a:xfrm>
                      <a:off x="0" y="0"/>
                      <a:ext cx="4717572" cy="3553496"/>
                    </a:xfrm>
                    <a:prstGeom prst="rect">
                      <a:avLst/>
                    </a:prstGeom>
                  </pic:spPr>
                </pic:pic>
              </a:graphicData>
            </a:graphic>
          </wp:inline>
        </w:drawing>
      </w:r>
    </w:p>
    <w:p w14:paraId="1C24ADD7" w14:textId="77777777" w:rsidR="003F773C" w:rsidRPr="00EC47FF" w:rsidRDefault="003F773C">
      <w:pPr>
        <w:rPr>
          <w:szCs w:val="24"/>
        </w:rPr>
      </w:pPr>
    </w:p>
    <w:p w14:paraId="519E5300" w14:textId="77777777" w:rsidR="00335AEE" w:rsidRPr="00EC47FF" w:rsidRDefault="00335AEE" w:rsidP="00335AEE">
      <w:pPr>
        <w:pStyle w:val="berschrift3"/>
        <w:rPr>
          <w:i/>
          <w:vanish/>
          <w:color w:val="auto"/>
          <w:specVanish/>
        </w:rPr>
      </w:pPr>
      <w:r w:rsidRPr="00EC47FF">
        <w:rPr>
          <w:color w:val="auto"/>
        </w:rPr>
        <w:t>Supplementary Figure 8 Retained opioid seeking behaviour.</w:t>
      </w:r>
    </w:p>
    <w:p w14:paraId="41E3131F" w14:textId="77777777" w:rsidR="00335AEE" w:rsidRPr="00EC47FF" w:rsidRDefault="00335AEE" w:rsidP="00335AEE">
      <w:pPr>
        <w:spacing w:line="360" w:lineRule="auto"/>
        <w:jc w:val="both"/>
        <w:rPr>
          <w:b/>
          <w:lang w:val="en-GB"/>
        </w:rPr>
      </w:pPr>
      <w:r w:rsidRPr="00EC47FF">
        <w:rPr>
          <w:b/>
          <w:lang w:val="en-GB"/>
        </w:rPr>
        <w:t xml:space="preserve"> a-d, </w:t>
      </w:r>
      <w:r w:rsidRPr="00EC47FF">
        <w:rPr>
          <w:lang w:val="en-GB"/>
        </w:rPr>
        <w:t xml:space="preserve">On the </w:t>
      </w:r>
      <w:r w:rsidRPr="00EC47FF">
        <w:t xml:space="preserve">pre-conditioning day, </w:t>
      </w:r>
      <w:r w:rsidRPr="00EC47FF">
        <w:rPr>
          <w:lang w:val="en-GB"/>
        </w:rPr>
        <w:t xml:space="preserve">WT or 11S/T-A mice were </w:t>
      </w:r>
      <w:r w:rsidRPr="00EC47FF">
        <w:t>assessed for time spent in one of the CPP compartments. Six days after the conditioning regime (0.1 mg kg</w:t>
      </w:r>
      <w:r w:rsidRPr="00EC47FF">
        <w:rPr>
          <w:vertAlign w:val="superscript"/>
        </w:rPr>
        <w:t xml:space="preserve">-1 </w:t>
      </w:r>
      <w:r w:rsidRPr="00EC47FF">
        <w:t>fentanyl or 7.5 mg kg</w:t>
      </w:r>
      <w:r w:rsidRPr="00EC47FF">
        <w:rPr>
          <w:vertAlign w:val="superscript"/>
        </w:rPr>
        <w:t xml:space="preserve">-1 </w:t>
      </w:r>
      <w:r w:rsidRPr="00EC47FF">
        <w:t xml:space="preserve">morphine on days 1, 3 and 5 and saline on days 2, 4 and 6) time spent in each CPP compartment was recorded again over 15 min (post-conditioning day). </w:t>
      </w:r>
      <w:r w:rsidRPr="00EC47FF">
        <w:rPr>
          <w:b/>
          <w:lang w:val="en-GB"/>
        </w:rPr>
        <w:t xml:space="preserve">a, b, </w:t>
      </w:r>
      <w:r w:rsidRPr="00EC47FF">
        <w:rPr>
          <w:lang w:val="en-GB"/>
        </w:rPr>
        <w:t>P</w:t>
      </w:r>
      <w:r w:rsidRPr="00EC47FF">
        <w:t xml:space="preserve">re- and post-conditioning </w:t>
      </w:r>
      <w:r w:rsidRPr="00EC47FF">
        <w:rPr>
          <w:lang w:val="en-GB"/>
        </w:rPr>
        <w:t xml:space="preserve">time in drug-paired chamber </w:t>
      </w:r>
      <w:r w:rsidRPr="00EC47FF">
        <w:t xml:space="preserve">of the conditioned place preference apparatus. </w:t>
      </w:r>
      <w:r w:rsidRPr="00EC47FF">
        <w:rPr>
          <w:lang w:val="en-GB"/>
        </w:rPr>
        <w:t xml:space="preserve">Data are means ± s.e.m; </w:t>
      </w:r>
      <w:r w:rsidRPr="00EC47FF">
        <w:t xml:space="preserve">* indicates statistically significant differences comparing </w:t>
      </w:r>
      <w:r w:rsidRPr="00EC47FF">
        <w:rPr>
          <w:lang w:val="en-GB"/>
        </w:rPr>
        <w:t>p</w:t>
      </w:r>
      <w:r w:rsidRPr="00EC47FF">
        <w:t xml:space="preserve">re- and post-conditioning </w:t>
      </w:r>
      <w:r w:rsidRPr="00EC47FF">
        <w:rPr>
          <w:lang w:val="en-GB"/>
        </w:rPr>
        <w:t>time in the drug-paired chamber from each genotype (fentanyl: F</w:t>
      </w:r>
      <w:r w:rsidRPr="00EC47FF">
        <w:rPr>
          <w:vertAlign w:val="subscript"/>
          <w:lang w:val="en-GB"/>
        </w:rPr>
        <w:t>(3, 44)</w:t>
      </w:r>
      <w:r w:rsidRPr="00EC47FF">
        <w:rPr>
          <w:lang w:val="en-GB"/>
        </w:rPr>
        <w:t xml:space="preserve"> = 9.656, P &lt; 0.0001 </w:t>
      </w:r>
      <w:r w:rsidRPr="00EC47FF">
        <w:t xml:space="preserve">(n = 12) </w:t>
      </w:r>
      <w:r w:rsidRPr="00EC47FF">
        <w:rPr>
          <w:lang w:val="en-GB"/>
        </w:rPr>
        <w:t>and morphine: F</w:t>
      </w:r>
      <w:r w:rsidRPr="00EC47FF">
        <w:rPr>
          <w:vertAlign w:val="subscript"/>
          <w:lang w:val="en-GB"/>
        </w:rPr>
        <w:t>(3, 44)</w:t>
      </w:r>
      <w:r w:rsidRPr="00EC47FF">
        <w:rPr>
          <w:lang w:val="en-GB"/>
        </w:rPr>
        <w:t xml:space="preserve"> = 9.529, P &lt; 0.0001) </w:t>
      </w:r>
      <w:r w:rsidRPr="00EC47FF">
        <w:t>(n = 12); o</w:t>
      </w:r>
      <w:r w:rsidRPr="00EC47FF">
        <w:rPr>
          <w:lang w:val="en-GB"/>
        </w:rPr>
        <w:t xml:space="preserve">ne-way ANOVA with Bonferroni </w:t>
      </w:r>
      <w:r w:rsidRPr="00EC47FF">
        <w:rPr>
          <w:i/>
          <w:lang w:val="en-GB" w:eastAsia="en-GB"/>
        </w:rPr>
        <w:t>post hoc</w:t>
      </w:r>
      <w:r w:rsidRPr="00EC47FF">
        <w:rPr>
          <w:lang w:val="en-GB" w:eastAsia="en-GB"/>
        </w:rPr>
        <w:t xml:space="preserve"> test</w:t>
      </w:r>
      <w:r w:rsidRPr="00EC47FF">
        <w:rPr>
          <w:lang w:val="en-GB"/>
        </w:rPr>
        <w:t xml:space="preserve">. </w:t>
      </w:r>
      <w:r w:rsidRPr="00EC47FF">
        <w:rPr>
          <w:b/>
          <w:lang w:val="en-GB"/>
        </w:rPr>
        <w:t>c, d,</w:t>
      </w:r>
      <w:r w:rsidRPr="00EC47FF">
        <w:t xml:space="preserve"> Data are shown as the difference (</w:t>
      </w:r>
      <w:r w:rsidRPr="00EC47FF">
        <w:sym w:font="Symbol" w:char="F044"/>
      </w:r>
      <w:r w:rsidRPr="00EC47FF">
        <w:t xml:space="preserve">) in time spent between the drug-paired compartment on the post-conditioning day and the pre-conditioning day. </w:t>
      </w:r>
      <w:r w:rsidRPr="00EC47FF">
        <w:rPr>
          <w:lang w:val="en-GB"/>
        </w:rPr>
        <w:t>Data are means ± s.e.m; comparison of WT vs 11S/T-A in a t</w:t>
      </w:r>
      <w:r w:rsidRPr="00EC47FF">
        <w:t xml:space="preserve">wo-tailed </w:t>
      </w:r>
      <w:r w:rsidRPr="00EC47FF">
        <w:rPr>
          <w:i/>
        </w:rPr>
        <w:t>t</w:t>
      </w:r>
      <w:r w:rsidRPr="00EC47FF">
        <w:t xml:space="preserve"> test</w:t>
      </w:r>
      <w:r w:rsidRPr="00EC47FF">
        <w:rPr>
          <w:lang w:val="en-GB"/>
        </w:rPr>
        <w:t xml:space="preserve">: </w:t>
      </w:r>
      <w:r w:rsidRPr="00EC47FF">
        <w:t>fentanyl CPP (P = 0.0807) (n = 12) and morphine CPP (P = 0.9438) (n = 12)</w:t>
      </w:r>
      <w:r w:rsidRPr="00EC47FF">
        <w:rPr>
          <w:lang w:val="en-GB"/>
        </w:rPr>
        <w:t xml:space="preserve">. </w:t>
      </w:r>
    </w:p>
    <w:p w14:paraId="6FB4AD49" w14:textId="5653ECA4" w:rsidR="005778C3" w:rsidRPr="00EC47FF" w:rsidRDefault="005778C3">
      <w:pPr>
        <w:rPr>
          <w:b/>
          <w:szCs w:val="24"/>
        </w:rPr>
      </w:pPr>
      <w:r w:rsidRPr="00EC47FF">
        <w:rPr>
          <w:szCs w:val="24"/>
        </w:rPr>
        <w:br w:type="page"/>
      </w:r>
    </w:p>
    <w:p w14:paraId="707FF97E" w14:textId="192C206B" w:rsidR="00256680" w:rsidRPr="006B45B5" w:rsidRDefault="00F24E1E" w:rsidP="00A51EAD">
      <w:pPr>
        <w:pStyle w:val="berschrift2"/>
      </w:pPr>
      <w:r>
        <w:rPr>
          <w:szCs w:val="24"/>
        </w:rPr>
        <w:lastRenderedPageBreak/>
        <w:t xml:space="preserve">Supplementary </w:t>
      </w:r>
      <w:r w:rsidR="00F54B61">
        <w:rPr>
          <w:szCs w:val="24"/>
        </w:rPr>
        <w:t>Figure 9</w:t>
      </w:r>
    </w:p>
    <w:p w14:paraId="78935A1F" w14:textId="312256D9" w:rsidR="00256680" w:rsidRPr="006B45B5" w:rsidRDefault="00DF30DD" w:rsidP="00256680">
      <w:pPr>
        <w:spacing w:line="480" w:lineRule="auto"/>
        <w:jc w:val="both"/>
        <w:rPr>
          <w:b/>
          <w:szCs w:val="24"/>
          <w:lang w:val="en-GB"/>
        </w:rPr>
      </w:pPr>
      <w:r>
        <w:rPr>
          <w:b/>
          <w:noProof/>
          <w:szCs w:val="24"/>
          <w:lang w:val="de-DE" w:eastAsia="de-DE"/>
        </w:rPr>
        <w:drawing>
          <wp:inline distT="0" distB="0" distL="0" distR="0" wp14:anchorId="0D6A800D" wp14:editId="25AA1BB7">
            <wp:extent cx="2599407" cy="4318503"/>
            <wp:effectExtent l="0" t="0" r="4445"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xtended Data 9 290718.tif"/>
                    <pic:cNvPicPr/>
                  </pic:nvPicPr>
                  <pic:blipFill>
                    <a:blip r:embed="rId16"/>
                    <a:stretch>
                      <a:fillRect/>
                    </a:stretch>
                  </pic:blipFill>
                  <pic:spPr>
                    <a:xfrm>
                      <a:off x="0" y="0"/>
                      <a:ext cx="2602377" cy="4323438"/>
                    </a:xfrm>
                    <a:prstGeom prst="rect">
                      <a:avLst/>
                    </a:prstGeom>
                  </pic:spPr>
                </pic:pic>
              </a:graphicData>
            </a:graphic>
          </wp:inline>
        </w:drawing>
      </w:r>
    </w:p>
    <w:p w14:paraId="536D7A33" w14:textId="0C1A241F" w:rsidR="00A51EAD" w:rsidRPr="00A51EAD" w:rsidRDefault="00F24E1E" w:rsidP="00AB2242">
      <w:pPr>
        <w:pStyle w:val="berschrift3"/>
        <w:rPr>
          <w:vanish/>
          <w:specVanish/>
        </w:rPr>
      </w:pPr>
      <w:r>
        <w:rPr>
          <w:szCs w:val="24"/>
        </w:rPr>
        <w:t xml:space="preserve">Supplementary </w:t>
      </w:r>
      <w:r w:rsidR="00F54B61">
        <w:rPr>
          <w:szCs w:val="24"/>
        </w:rPr>
        <w:t>Figure 9</w:t>
      </w:r>
      <w:r w:rsidR="00245BB2">
        <w:t xml:space="preserve"> </w:t>
      </w:r>
      <w:r w:rsidR="00256680" w:rsidRPr="006B45B5">
        <w:t>Retained signs of dependence</w:t>
      </w:r>
      <w:r w:rsidR="005C11B5">
        <w:t>.</w:t>
      </w:r>
    </w:p>
    <w:p w14:paraId="7A0FE8B0" w14:textId="2DB204E1" w:rsidR="00AB2242" w:rsidRPr="001022E1" w:rsidRDefault="00A51EAD" w:rsidP="00AB2242">
      <w:pPr>
        <w:spacing w:line="360" w:lineRule="auto"/>
        <w:jc w:val="both"/>
      </w:pPr>
      <w:r>
        <w:rPr>
          <w:b/>
          <w:szCs w:val="24"/>
          <w:lang w:val="en-GB"/>
        </w:rPr>
        <w:t xml:space="preserve"> </w:t>
      </w:r>
      <w:r w:rsidR="005C11B5">
        <w:rPr>
          <w:b/>
          <w:szCs w:val="24"/>
          <w:lang w:val="en-GB"/>
        </w:rPr>
        <w:t>a, b</w:t>
      </w:r>
      <w:r w:rsidR="00256680" w:rsidRPr="006B45B5">
        <w:rPr>
          <w:szCs w:val="24"/>
          <w:lang w:val="en-GB"/>
        </w:rPr>
        <w:t xml:space="preserve"> Naloxone-precipitated withdrawal </w:t>
      </w:r>
      <w:r w:rsidR="00256680" w:rsidRPr="001022E1">
        <w:rPr>
          <w:szCs w:val="24"/>
          <w:lang w:val="en-GB"/>
        </w:rPr>
        <w:t>sign</w:t>
      </w:r>
      <w:r w:rsidR="0089234F" w:rsidRPr="001022E1">
        <w:rPr>
          <w:szCs w:val="24"/>
          <w:lang w:val="en-GB"/>
        </w:rPr>
        <w:t>s</w:t>
      </w:r>
      <w:r w:rsidR="00256680" w:rsidRPr="001022E1">
        <w:rPr>
          <w:szCs w:val="24"/>
          <w:lang w:val="en-GB"/>
        </w:rPr>
        <w:t xml:space="preserve"> on day 8 after chronic treatment with osmotic pumps delivering </w:t>
      </w:r>
      <w:r w:rsidR="005C11B5" w:rsidRPr="001022E1">
        <w:rPr>
          <w:b/>
          <w:szCs w:val="24"/>
          <w:lang w:val="en-GB"/>
        </w:rPr>
        <w:t>a,</w:t>
      </w:r>
      <w:r w:rsidR="00FB3B67" w:rsidRPr="001022E1">
        <w:rPr>
          <w:szCs w:val="24"/>
          <w:lang w:val="en-GB"/>
        </w:rPr>
        <w:t xml:space="preserve"> fentanyl (2 mg kg</w:t>
      </w:r>
      <w:r w:rsidR="00FB3B67" w:rsidRPr="001022E1">
        <w:rPr>
          <w:vertAlign w:val="superscript"/>
        </w:rPr>
        <w:t>-1</w:t>
      </w:r>
      <w:r w:rsidR="00FB3B67" w:rsidRPr="001022E1">
        <w:rPr>
          <w:szCs w:val="24"/>
          <w:lang w:val="en-GB"/>
        </w:rPr>
        <w:t xml:space="preserve"> </w:t>
      </w:r>
      <w:r w:rsidR="00256680" w:rsidRPr="001022E1">
        <w:rPr>
          <w:szCs w:val="24"/>
          <w:lang w:val="en-GB"/>
        </w:rPr>
        <w:t>day</w:t>
      </w:r>
      <w:r w:rsidR="00FB3B67" w:rsidRPr="001022E1">
        <w:rPr>
          <w:vertAlign w:val="superscript"/>
        </w:rPr>
        <w:t>-1</w:t>
      </w:r>
      <w:r w:rsidR="00256680" w:rsidRPr="001022E1">
        <w:rPr>
          <w:szCs w:val="24"/>
          <w:lang w:val="en-GB"/>
        </w:rPr>
        <w:t xml:space="preserve">) or </w:t>
      </w:r>
      <w:r w:rsidR="005C11B5" w:rsidRPr="001022E1">
        <w:rPr>
          <w:b/>
          <w:szCs w:val="24"/>
          <w:lang w:val="en-GB"/>
        </w:rPr>
        <w:t>b,</w:t>
      </w:r>
      <w:r w:rsidR="00FB3B67" w:rsidRPr="001022E1">
        <w:rPr>
          <w:szCs w:val="24"/>
          <w:lang w:val="en-GB"/>
        </w:rPr>
        <w:t xml:space="preserve"> morphine (17 mg kg</w:t>
      </w:r>
      <w:r w:rsidR="00FB3B67" w:rsidRPr="001022E1">
        <w:rPr>
          <w:vertAlign w:val="superscript"/>
        </w:rPr>
        <w:t xml:space="preserve">-1 </w:t>
      </w:r>
      <w:r w:rsidR="00256680" w:rsidRPr="001022E1">
        <w:rPr>
          <w:szCs w:val="24"/>
          <w:lang w:val="en-GB"/>
        </w:rPr>
        <w:t>day</w:t>
      </w:r>
      <w:r w:rsidR="00FB3B67" w:rsidRPr="001022E1">
        <w:rPr>
          <w:vertAlign w:val="superscript"/>
        </w:rPr>
        <w:t>-1</w:t>
      </w:r>
      <w:r w:rsidR="00256680" w:rsidRPr="001022E1">
        <w:rPr>
          <w:szCs w:val="24"/>
          <w:lang w:val="en-GB"/>
        </w:rPr>
        <w:t>) (n = 9</w:t>
      </w:r>
      <w:r w:rsidR="003D7B97" w:rsidRPr="001022E1">
        <w:rPr>
          <w:szCs w:val="24"/>
          <w:lang w:val="en-GB"/>
        </w:rPr>
        <w:t>–</w:t>
      </w:r>
      <w:r w:rsidR="00256680" w:rsidRPr="001022E1">
        <w:rPr>
          <w:szCs w:val="24"/>
          <w:lang w:val="en-GB"/>
        </w:rPr>
        <w:t>12). Grooming</w:t>
      </w:r>
      <w:r w:rsidR="0089234F" w:rsidRPr="001022E1">
        <w:rPr>
          <w:szCs w:val="24"/>
          <w:lang w:val="en-GB"/>
        </w:rPr>
        <w:t xml:space="preserve"> bouts</w:t>
      </w:r>
      <w:r w:rsidR="00AB2242" w:rsidRPr="001022E1">
        <w:rPr>
          <w:szCs w:val="24"/>
          <w:lang w:val="en-GB"/>
        </w:rPr>
        <w:t>, shakes and jumps</w:t>
      </w:r>
      <w:r w:rsidR="00AF0331" w:rsidRPr="001022E1">
        <w:rPr>
          <w:szCs w:val="24"/>
          <w:lang w:val="en-GB"/>
        </w:rPr>
        <w:t xml:space="preserve"> were measured after 2 mg </w:t>
      </w:r>
      <w:r w:rsidR="00256680" w:rsidRPr="001022E1">
        <w:rPr>
          <w:szCs w:val="24"/>
          <w:lang w:val="en-GB"/>
        </w:rPr>
        <w:t>kg</w:t>
      </w:r>
      <w:r w:rsidR="00AF0331" w:rsidRPr="001022E1">
        <w:rPr>
          <w:szCs w:val="24"/>
          <w:vertAlign w:val="superscript"/>
          <w:lang w:val="en-GB"/>
        </w:rPr>
        <w:t>-1</w:t>
      </w:r>
      <w:r w:rsidR="00256680" w:rsidRPr="001022E1">
        <w:rPr>
          <w:szCs w:val="24"/>
          <w:lang w:val="en-GB"/>
        </w:rPr>
        <w:t xml:space="preserve"> naloxone and calculated in the global withdrawal scores. Data are</w:t>
      </w:r>
      <w:r w:rsidR="0089234F" w:rsidRPr="001022E1">
        <w:rPr>
          <w:szCs w:val="24"/>
          <w:lang w:val="en-GB"/>
        </w:rPr>
        <w:t xml:space="preserve"> the</w:t>
      </w:r>
      <w:r w:rsidR="00AB2242" w:rsidRPr="001022E1">
        <w:rPr>
          <w:szCs w:val="24"/>
          <w:lang w:val="en-GB"/>
        </w:rPr>
        <w:t xml:space="preserve"> means ± s.e.m;</w:t>
      </w:r>
      <w:r w:rsidR="00256680" w:rsidRPr="001022E1">
        <w:rPr>
          <w:szCs w:val="24"/>
          <w:lang w:val="en-GB"/>
        </w:rPr>
        <w:t xml:space="preserve"> </w:t>
      </w:r>
      <w:r w:rsidR="00AB2242" w:rsidRPr="001022E1">
        <w:t>* indicates statistically significant differences compared to WT, unpaired, two-</w:t>
      </w:r>
      <w:r w:rsidR="00FE36F3" w:rsidRPr="001022E1">
        <w:t xml:space="preserve">tailed </w:t>
      </w:r>
      <w:r w:rsidR="00AB2242" w:rsidRPr="001022E1">
        <w:rPr>
          <w:i/>
        </w:rPr>
        <w:t>t</w:t>
      </w:r>
      <w:r w:rsidR="00AB2242" w:rsidRPr="001022E1">
        <w:t xml:space="preserve"> test. </w:t>
      </w:r>
    </w:p>
    <w:p w14:paraId="1360799A" w14:textId="50C57AEB" w:rsidR="00AC30B1" w:rsidRPr="008B43DC" w:rsidRDefault="00415157" w:rsidP="008B43DC">
      <w:pPr>
        <w:rPr>
          <w:color w:val="FF0000"/>
          <w:szCs w:val="24"/>
        </w:rPr>
      </w:pPr>
      <w:r>
        <w:rPr>
          <w:color w:val="FF0000"/>
          <w:szCs w:val="24"/>
        </w:rPr>
        <w:br w:type="page"/>
      </w:r>
    </w:p>
    <w:p w14:paraId="5857AC48" w14:textId="3930FB7A" w:rsidR="00A51EAD" w:rsidRPr="00A51EAD" w:rsidRDefault="00F24E1E" w:rsidP="00A51EAD">
      <w:pPr>
        <w:pStyle w:val="berschrift2"/>
        <w:rPr>
          <w:vanish/>
          <w:specVanish/>
        </w:rPr>
      </w:pPr>
      <w:bookmarkStart w:id="2" w:name="Tables"/>
      <w:bookmarkStart w:id="3" w:name="MaterialsMethods"/>
      <w:bookmarkEnd w:id="2"/>
      <w:bookmarkEnd w:id="3"/>
      <w:r>
        <w:rPr>
          <w:szCs w:val="24"/>
        </w:rPr>
        <w:lastRenderedPageBreak/>
        <w:t>Supplementary</w:t>
      </w:r>
      <w:r w:rsidR="00C260AF" w:rsidRPr="009C2A0B">
        <w:rPr>
          <w:szCs w:val="24"/>
        </w:rPr>
        <w:t xml:space="preserve"> Table</w:t>
      </w:r>
      <w:r w:rsidR="00C260AF" w:rsidRPr="00E85E59">
        <w:rPr>
          <w:szCs w:val="24"/>
        </w:rPr>
        <w:t xml:space="preserve"> 1 </w:t>
      </w:r>
      <w:r w:rsidR="00256680" w:rsidRPr="006B45B5">
        <w:t>pED</w:t>
      </w:r>
      <w:r w:rsidR="00256680" w:rsidRPr="006B45B5">
        <w:rPr>
          <w:vertAlign w:val="subscript"/>
        </w:rPr>
        <w:t>50</w:t>
      </w:r>
      <w:r w:rsidR="00256680" w:rsidRPr="006B45B5">
        <w:t xml:space="preserve"> values for analgesia, respiration and constipation</w:t>
      </w:r>
      <w:r w:rsidR="00C260AF">
        <w:t>.</w:t>
      </w:r>
    </w:p>
    <w:p w14:paraId="62059F21" w14:textId="3D9BF473" w:rsidR="009C2A0B" w:rsidRDefault="00A51EAD" w:rsidP="00256680">
      <w:pPr>
        <w:spacing w:line="360" w:lineRule="auto"/>
        <w:jc w:val="both"/>
        <w:rPr>
          <w:lang w:val="en-GB"/>
        </w:rPr>
      </w:pPr>
      <w:r>
        <w:rPr>
          <w:szCs w:val="24"/>
          <w:lang w:val="en-GB"/>
        </w:rPr>
        <w:t xml:space="preserve"> </w:t>
      </w:r>
    </w:p>
    <w:p w14:paraId="2DDDB0C3" w14:textId="77777777" w:rsidR="00256680" w:rsidRPr="006B45B5" w:rsidRDefault="00256680" w:rsidP="00256680">
      <w:pPr>
        <w:rPr>
          <w:lang w:val="en-GB"/>
        </w:rPr>
      </w:pPr>
    </w:p>
    <w:tbl>
      <w:tblPr>
        <w:tblStyle w:val="Tabellenraster"/>
        <w:tblW w:w="5078" w:type="pct"/>
        <w:tblInd w:w="-142" w:type="dxa"/>
        <w:tblLook w:val="04A0" w:firstRow="1" w:lastRow="0" w:firstColumn="1" w:lastColumn="0" w:noHBand="0" w:noVBand="1"/>
      </w:tblPr>
      <w:tblGrid>
        <w:gridCol w:w="1000"/>
        <w:gridCol w:w="1331"/>
        <w:gridCol w:w="1295"/>
        <w:gridCol w:w="1534"/>
        <w:gridCol w:w="1424"/>
        <w:gridCol w:w="1388"/>
        <w:gridCol w:w="1534"/>
      </w:tblGrid>
      <w:tr w:rsidR="00256680" w:rsidRPr="006B45B5" w14:paraId="50EAD7BF" w14:textId="77777777" w:rsidTr="001C2A5B">
        <w:trPr>
          <w:trHeight w:val="386"/>
        </w:trPr>
        <w:tc>
          <w:tcPr>
            <w:tcW w:w="526" w:type="pct"/>
            <w:tcBorders>
              <w:top w:val="nil"/>
              <w:left w:val="nil"/>
              <w:bottom w:val="nil"/>
              <w:right w:val="nil"/>
            </w:tcBorders>
            <w:vAlign w:val="center"/>
          </w:tcPr>
          <w:p w14:paraId="2CD2F664" w14:textId="77777777" w:rsidR="00256680" w:rsidRPr="006B45B5" w:rsidRDefault="00256680" w:rsidP="001C2A5B">
            <w:pPr>
              <w:spacing w:line="480" w:lineRule="auto"/>
              <w:jc w:val="center"/>
              <w:rPr>
                <w:sz w:val="18"/>
                <w:szCs w:val="18"/>
                <w:lang w:val="en-GB"/>
              </w:rPr>
            </w:pPr>
          </w:p>
        </w:tc>
        <w:tc>
          <w:tcPr>
            <w:tcW w:w="2188" w:type="pct"/>
            <w:gridSpan w:val="3"/>
            <w:tcBorders>
              <w:top w:val="nil"/>
              <w:left w:val="nil"/>
              <w:bottom w:val="nil"/>
              <w:right w:val="single" w:sz="18" w:space="0" w:color="FFFFFF"/>
            </w:tcBorders>
            <w:shd w:val="clear" w:color="auto" w:fill="D9D9D9" w:themeFill="background1" w:themeFillShade="D9"/>
            <w:vAlign w:val="center"/>
          </w:tcPr>
          <w:p w14:paraId="34433418" w14:textId="77777777" w:rsidR="00256680" w:rsidRPr="006B45B5" w:rsidRDefault="00256680" w:rsidP="001C2A5B">
            <w:pPr>
              <w:spacing w:line="480" w:lineRule="auto"/>
              <w:jc w:val="center"/>
              <w:rPr>
                <w:sz w:val="18"/>
                <w:szCs w:val="18"/>
                <w:lang w:val="en-GB"/>
              </w:rPr>
            </w:pPr>
            <w:r w:rsidRPr="006B45B5">
              <w:rPr>
                <w:sz w:val="18"/>
                <w:szCs w:val="18"/>
                <w:lang w:val="en-GB"/>
              </w:rPr>
              <w:t>Fentanyl (mg kg</w:t>
            </w:r>
            <w:r w:rsidRPr="006B45B5">
              <w:rPr>
                <w:sz w:val="18"/>
                <w:szCs w:val="18"/>
                <w:vertAlign w:val="superscript"/>
                <w:lang w:val="en-GB"/>
              </w:rPr>
              <w:t>-1</w:t>
            </w:r>
            <w:r w:rsidRPr="006B45B5">
              <w:rPr>
                <w:sz w:val="18"/>
                <w:szCs w:val="18"/>
                <w:lang w:val="en-GB"/>
              </w:rPr>
              <w:t>)</w:t>
            </w:r>
          </w:p>
        </w:tc>
        <w:tc>
          <w:tcPr>
            <w:tcW w:w="2286" w:type="pct"/>
            <w:gridSpan w:val="3"/>
            <w:tcBorders>
              <w:top w:val="nil"/>
              <w:left w:val="single" w:sz="18" w:space="0" w:color="FFFFFF"/>
              <w:bottom w:val="nil"/>
              <w:right w:val="nil"/>
            </w:tcBorders>
            <w:shd w:val="clear" w:color="auto" w:fill="D9D9D9" w:themeFill="background1" w:themeFillShade="D9"/>
            <w:vAlign w:val="center"/>
          </w:tcPr>
          <w:p w14:paraId="1132476D" w14:textId="77777777" w:rsidR="00256680" w:rsidRPr="006B45B5" w:rsidRDefault="00256680" w:rsidP="001C2A5B">
            <w:pPr>
              <w:spacing w:line="480" w:lineRule="auto"/>
              <w:jc w:val="center"/>
              <w:rPr>
                <w:sz w:val="18"/>
                <w:szCs w:val="18"/>
                <w:lang w:val="en-GB"/>
              </w:rPr>
            </w:pPr>
            <w:r w:rsidRPr="006B45B5">
              <w:rPr>
                <w:sz w:val="18"/>
                <w:szCs w:val="18"/>
                <w:lang w:val="en-GB"/>
              </w:rPr>
              <w:t>Morphine (mg kg</w:t>
            </w:r>
            <w:r w:rsidRPr="006B45B5">
              <w:rPr>
                <w:sz w:val="18"/>
                <w:szCs w:val="18"/>
                <w:vertAlign w:val="superscript"/>
                <w:lang w:val="en-GB"/>
              </w:rPr>
              <w:t>-1</w:t>
            </w:r>
            <w:r w:rsidRPr="006B45B5">
              <w:rPr>
                <w:sz w:val="18"/>
                <w:szCs w:val="18"/>
                <w:lang w:val="en-GB"/>
              </w:rPr>
              <w:t>)</w:t>
            </w:r>
          </w:p>
        </w:tc>
      </w:tr>
      <w:tr w:rsidR="00256680" w:rsidRPr="006B45B5" w14:paraId="2CADFFD6" w14:textId="77777777" w:rsidTr="001C2A5B">
        <w:trPr>
          <w:cantSplit/>
          <w:trHeight w:val="386"/>
        </w:trPr>
        <w:tc>
          <w:tcPr>
            <w:tcW w:w="526" w:type="pct"/>
            <w:tcBorders>
              <w:top w:val="nil"/>
              <w:left w:val="nil"/>
              <w:bottom w:val="single" w:sz="18" w:space="0" w:color="FFFFFF"/>
              <w:right w:val="nil"/>
            </w:tcBorders>
            <w:shd w:val="clear" w:color="auto" w:fill="auto"/>
            <w:vAlign w:val="center"/>
          </w:tcPr>
          <w:p w14:paraId="5C63883C" w14:textId="77777777" w:rsidR="00256680" w:rsidRPr="006B45B5" w:rsidRDefault="00256680" w:rsidP="001C2A5B">
            <w:pPr>
              <w:spacing w:line="480" w:lineRule="auto"/>
              <w:jc w:val="center"/>
              <w:rPr>
                <w:sz w:val="18"/>
                <w:szCs w:val="18"/>
                <w:lang w:val="en-GB"/>
              </w:rPr>
            </w:pPr>
          </w:p>
        </w:tc>
        <w:tc>
          <w:tcPr>
            <w:tcW w:w="700" w:type="pct"/>
            <w:tcBorders>
              <w:top w:val="nil"/>
              <w:left w:val="nil"/>
              <w:bottom w:val="single" w:sz="18" w:space="0" w:color="FFFFFF"/>
              <w:right w:val="single" w:sz="8" w:space="0" w:color="FFFFFF"/>
            </w:tcBorders>
            <w:shd w:val="clear" w:color="auto" w:fill="F2F2F2" w:themeFill="background1" w:themeFillShade="F2"/>
            <w:vAlign w:val="center"/>
          </w:tcPr>
          <w:p w14:paraId="716E5B6E" w14:textId="77777777" w:rsidR="00256680" w:rsidRPr="006B45B5" w:rsidRDefault="00256680" w:rsidP="001C2A5B">
            <w:pPr>
              <w:spacing w:line="480" w:lineRule="auto"/>
              <w:jc w:val="center"/>
              <w:rPr>
                <w:i/>
                <w:sz w:val="18"/>
                <w:szCs w:val="18"/>
                <w:lang w:val="en-GB"/>
              </w:rPr>
            </w:pPr>
            <w:r w:rsidRPr="006B45B5">
              <w:rPr>
                <w:i/>
                <w:sz w:val="18"/>
                <w:szCs w:val="18"/>
                <w:lang w:val="en-GB"/>
              </w:rPr>
              <w:t>Analgesia</w:t>
            </w:r>
          </w:p>
        </w:tc>
        <w:tc>
          <w:tcPr>
            <w:tcW w:w="681" w:type="pct"/>
            <w:tcBorders>
              <w:top w:val="nil"/>
              <w:left w:val="single" w:sz="8" w:space="0" w:color="FFFFFF"/>
              <w:bottom w:val="single" w:sz="18" w:space="0" w:color="FFFFFF"/>
              <w:right w:val="single" w:sz="4" w:space="0" w:color="FFFFFF"/>
            </w:tcBorders>
            <w:shd w:val="clear" w:color="auto" w:fill="F2F2F2" w:themeFill="background1" w:themeFillShade="F2"/>
            <w:vAlign w:val="center"/>
          </w:tcPr>
          <w:p w14:paraId="31B691E8" w14:textId="77777777" w:rsidR="00256680" w:rsidRPr="006B45B5" w:rsidRDefault="00256680" w:rsidP="001C2A5B">
            <w:pPr>
              <w:spacing w:line="480" w:lineRule="auto"/>
              <w:jc w:val="center"/>
              <w:rPr>
                <w:i/>
                <w:sz w:val="18"/>
                <w:szCs w:val="18"/>
                <w:lang w:val="en-GB"/>
              </w:rPr>
            </w:pPr>
            <w:r w:rsidRPr="006B45B5">
              <w:rPr>
                <w:i/>
                <w:sz w:val="18"/>
                <w:szCs w:val="18"/>
                <w:lang w:val="en-GB"/>
              </w:rPr>
              <w:t>Respiration</w:t>
            </w:r>
          </w:p>
        </w:tc>
        <w:tc>
          <w:tcPr>
            <w:tcW w:w="807" w:type="pct"/>
            <w:tcBorders>
              <w:top w:val="nil"/>
              <w:left w:val="single" w:sz="4" w:space="0" w:color="FFFFFF"/>
              <w:bottom w:val="single" w:sz="18" w:space="0" w:color="FFFFFF"/>
              <w:right w:val="single" w:sz="18" w:space="0" w:color="FFFFFF"/>
            </w:tcBorders>
            <w:shd w:val="clear" w:color="auto" w:fill="F2F2F2" w:themeFill="background1" w:themeFillShade="F2"/>
            <w:vAlign w:val="center"/>
          </w:tcPr>
          <w:p w14:paraId="4408505E" w14:textId="77777777" w:rsidR="00256680" w:rsidRPr="006B45B5" w:rsidRDefault="00256680" w:rsidP="001C2A5B">
            <w:pPr>
              <w:spacing w:line="480" w:lineRule="auto"/>
              <w:jc w:val="center"/>
              <w:rPr>
                <w:i/>
                <w:sz w:val="18"/>
                <w:szCs w:val="18"/>
                <w:lang w:val="en-GB"/>
              </w:rPr>
            </w:pPr>
            <w:r w:rsidRPr="006B45B5">
              <w:rPr>
                <w:i/>
                <w:sz w:val="18"/>
                <w:szCs w:val="18"/>
                <w:lang w:val="en-GB"/>
              </w:rPr>
              <w:t>Constipation</w:t>
            </w:r>
          </w:p>
        </w:tc>
        <w:tc>
          <w:tcPr>
            <w:tcW w:w="749" w:type="pct"/>
            <w:tcBorders>
              <w:top w:val="nil"/>
              <w:left w:val="single" w:sz="18" w:space="0" w:color="FFFFFF"/>
              <w:bottom w:val="single" w:sz="18" w:space="0" w:color="FFFFFF"/>
              <w:right w:val="single" w:sz="8" w:space="0" w:color="FFFFFF"/>
            </w:tcBorders>
            <w:shd w:val="clear" w:color="auto" w:fill="F2F2F2" w:themeFill="background1" w:themeFillShade="F2"/>
            <w:vAlign w:val="center"/>
          </w:tcPr>
          <w:p w14:paraId="0DFFECE2" w14:textId="77777777" w:rsidR="00256680" w:rsidRPr="006B45B5" w:rsidRDefault="00256680" w:rsidP="001C2A5B">
            <w:pPr>
              <w:spacing w:line="480" w:lineRule="auto"/>
              <w:jc w:val="center"/>
              <w:rPr>
                <w:i/>
                <w:sz w:val="18"/>
                <w:szCs w:val="18"/>
                <w:lang w:val="en-GB"/>
              </w:rPr>
            </w:pPr>
            <w:r w:rsidRPr="006B45B5">
              <w:rPr>
                <w:i/>
                <w:sz w:val="18"/>
                <w:szCs w:val="18"/>
                <w:lang w:val="en-GB"/>
              </w:rPr>
              <w:t>Analgesia</w:t>
            </w:r>
          </w:p>
        </w:tc>
        <w:tc>
          <w:tcPr>
            <w:tcW w:w="730" w:type="pct"/>
            <w:tcBorders>
              <w:top w:val="nil"/>
              <w:left w:val="single" w:sz="8" w:space="0" w:color="FFFFFF"/>
              <w:bottom w:val="single" w:sz="18" w:space="0" w:color="FFFFFF"/>
              <w:right w:val="nil"/>
            </w:tcBorders>
            <w:shd w:val="clear" w:color="auto" w:fill="F2F2F2" w:themeFill="background1" w:themeFillShade="F2"/>
            <w:vAlign w:val="center"/>
          </w:tcPr>
          <w:p w14:paraId="2E2F5F90" w14:textId="77777777" w:rsidR="00256680" w:rsidRPr="006B45B5" w:rsidRDefault="00256680" w:rsidP="001C2A5B">
            <w:pPr>
              <w:spacing w:line="480" w:lineRule="auto"/>
              <w:jc w:val="center"/>
              <w:rPr>
                <w:i/>
                <w:sz w:val="18"/>
                <w:szCs w:val="18"/>
                <w:lang w:val="en-GB"/>
              </w:rPr>
            </w:pPr>
            <w:r w:rsidRPr="006B45B5">
              <w:rPr>
                <w:i/>
                <w:sz w:val="18"/>
                <w:szCs w:val="18"/>
                <w:lang w:val="en-GB"/>
              </w:rPr>
              <w:t>Respiration</w:t>
            </w:r>
          </w:p>
        </w:tc>
        <w:tc>
          <w:tcPr>
            <w:tcW w:w="807" w:type="pct"/>
            <w:tcBorders>
              <w:top w:val="nil"/>
              <w:left w:val="single" w:sz="8" w:space="0" w:color="FFFFFF"/>
              <w:bottom w:val="single" w:sz="18" w:space="0" w:color="FFFFFF"/>
              <w:right w:val="nil"/>
            </w:tcBorders>
            <w:shd w:val="clear" w:color="auto" w:fill="F2F2F2" w:themeFill="background1" w:themeFillShade="F2"/>
            <w:vAlign w:val="center"/>
          </w:tcPr>
          <w:p w14:paraId="6A71D966" w14:textId="77777777" w:rsidR="00256680" w:rsidRPr="006B45B5" w:rsidRDefault="00256680" w:rsidP="001C2A5B">
            <w:pPr>
              <w:spacing w:line="480" w:lineRule="auto"/>
              <w:jc w:val="center"/>
              <w:rPr>
                <w:i/>
                <w:sz w:val="18"/>
                <w:szCs w:val="18"/>
                <w:lang w:val="en-GB"/>
              </w:rPr>
            </w:pPr>
            <w:r w:rsidRPr="006B45B5">
              <w:rPr>
                <w:i/>
                <w:sz w:val="18"/>
                <w:szCs w:val="18"/>
                <w:lang w:val="en-GB"/>
              </w:rPr>
              <w:t>Constipation</w:t>
            </w:r>
          </w:p>
        </w:tc>
      </w:tr>
      <w:tr w:rsidR="00256680" w:rsidRPr="006B45B5" w14:paraId="5DF2B8C0" w14:textId="77777777" w:rsidTr="001C2A5B">
        <w:trPr>
          <w:trHeight w:val="387"/>
        </w:trPr>
        <w:tc>
          <w:tcPr>
            <w:tcW w:w="526" w:type="pct"/>
            <w:tcBorders>
              <w:top w:val="single" w:sz="18" w:space="0" w:color="FFFFFF"/>
              <w:left w:val="nil"/>
              <w:bottom w:val="single" w:sz="4" w:space="0" w:color="FFFFFF"/>
              <w:right w:val="single" w:sz="4" w:space="0" w:color="FFFFFF"/>
            </w:tcBorders>
            <w:shd w:val="clear" w:color="auto" w:fill="F2F2F2" w:themeFill="background1" w:themeFillShade="F2"/>
            <w:vAlign w:val="center"/>
          </w:tcPr>
          <w:p w14:paraId="2A3C9028" w14:textId="77777777" w:rsidR="00256680" w:rsidRPr="006B45B5" w:rsidRDefault="00256680" w:rsidP="001C2A5B">
            <w:pPr>
              <w:spacing w:line="480" w:lineRule="auto"/>
              <w:rPr>
                <w:sz w:val="18"/>
                <w:szCs w:val="18"/>
                <w:lang w:val="en-GB"/>
              </w:rPr>
            </w:pPr>
            <w:r w:rsidRPr="006B45B5">
              <w:rPr>
                <w:sz w:val="18"/>
                <w:szCs w:val="18"/>
                <w:lang w:val="en-GB"/>
              </w:rPr>
              <w:t>WT</w:t>
            </w:r>
          </w:p>
        </w:tc>
        <w:tc>
          <w:tcPr>
            <w:tcW w:w="700" w:type="pct"/>
            <w:tcBorders>
              <w:top w:val="single" w:sz="18" w:space="0" w:color="FFFFFF"/>
              <w:left w:val="single" w:sz="4" w:space="0" w:color="FFFFFF"/>
              <w:bottom w:val="single" w:sz="4" w:space="0" w:color="FFFFFF"/>
              <w:right w:val="single" w:sz="8" w:space="0" w:color="FFFFFF"/>
            </w:tcBorders>
            <w:shd w:val="clear" w:color="auto" w:fill="F2F2F2" w:themeFill="background1" w:themeFillShade="F2"/>
            <w:vAlign w:val="center"/>
          </w:tcPr>
          <w:p w14:paraId="70731915" w14:textId="77777777" w:rsidR="00256680" w:rsidRPr="006B45B5" w:rsidRDefault="00256680" w:rsidP="001C2A5B">
            <w:pPr>
              <w:spacing w:line="480" w:lineRule="auto"/>
              <w:jc w:val="center"/>
              <w:rPr>
                <w:sz w:val="18"/>
                <w:szCs w:val="18"/>
                <w:lang w:val="en-GB"/>
              </w:rPr>
            </w:pPr>
            <w:r w:rsidRPr="006B45B5">
              <w:rPr>
                <w:sz w:val="18"/>
                <w:szCs w:val="18"/>
                <w:lang w:val="en-GB"/>
              </w:rPr>
              <w:t>0.21 ± 0.005</w:t>
            </w:r>
          </w:p>
        </w:tc>
        <w:tc>
          <w:tcPr>
            <w:tcW w:w="681" w:type="pct"/>
            <w:tcBorders>
              <w:top w:val="single" w:sz="18" w:space="0" w:color="FFFFFF"/>
              <w:left w:val="single" w:sz="8" w:space="0" w:color="FFFFFF"/>
              <w:bottom w:val="single" w:sz="4" w:space="0" w:color="FFFFFF"/>
              <w:right w:val="single" w:sz="4" w:space="0" w:color="FFFFFF"/>
            </w:tcBorders>
            <w:shd w:val="clear" w:color="auto" w:fill="F2F2F2" w:themeFill="background1" w:themeFillShade="F2"/>
            <w:vAlign w:val="center"/>
          </w:tcPr>
          <w:p w14:paraId="0A963092" w14:textId="77777777" w:rsidR="00256680" w:rsidRPr="006B45B5" w:rsidRDefault="00256680" w:rsidP="001C2A5B">
            <w:pPr>
              <w:tabs>
                <w:tab w:val="left" w:pos="1348"/>
              </w:tabs>
              <w:spacing w:line="480" w:lineRule="auto"/>
              <w:jc w:val="center"/>
              <w:rPr>
                <w:sz w:val="18"/>
                <w:szCs w:val="18"/>
                <w:lang w:val="en-GB"/>
              </w:rPr>
            </w:pPr>
            <w:r w:rsidRPr="006B45B5">
              <w:rPr>
                <w:sz w:val="18"/>
                <w:szCs w:val="18"/>
                <w:lang w:val="en-GB"/>
              </w:rPr>
              <w:t>0.09 ± 0.019</w:t>
            </w:r>
          </w:p>
        </w:tc>
        <w:tc>
          <w:tcPr>
            <w:tcW w:w="807" w:type="pct"/>
            <w:tcBorders>
              <w:top w:val="single" w:sz="18" w:space="0" w:color="FFFFFF"/>
              <w:left w:val="single" w:sz="4" w:space="0" w:color="FFFFFF"/>
              <w:bottom w:val="single" w:sz="4" w:space="0" w:color="FFFFFF"/>
              <w:right w:val="single" w:sz="18" w:space="0" w:color="FFFFFF"/>
            </w:tcBorders>
            <w:shd w:val="clear" w:color="auto" w:fill="F2F2F2" w:themeFill="background1" w:themeFillShade="F2"/>
            <w:vAlign w:val="center"/>
          </w:tcPr>
          <w:p w14:paraId="3ED200EB" w14:textId="77777777" w:rsidR="00256680" w:rsidRPr="006B45B5" w:rsidRDefault="00256680" w:rsidP="001C2A5B">
            <w:pPr>
              <w:spacing w:line="480" w:lineRule="auto"/>
              <w:jc w:val="center"/>
              <w:rPr>
                <w:sz w:val="18"/>
                <w:szCs w:val="18"/>
                <w:vertAlign w:val="superscript"/>
                <w:lang w:val="en-GB"/>
              </w:rPr>
            </w:pPr>
            <w:r w:rsidRPr="006B45B5">
              <w:rPr>
                <w:sz w:val="18"/>
                <w:szCs w:val="18"/>
                <w:lang w:val="en-GB"/>
              </w:rPr>
              <w:t>0.07 ± 0.023</w:t>
            </w:r>
          </w:p>
        </w:tc>
        <w:tc>
          <w:tcPr>
            <w:tcW w:w="749" w:type="pct"/>
            <w:tcBorders>
              <w:top w:val="single" w:sz="18" w:space="0" w:color="FFFFFF"/>
              <w:left w:val="single" w:sz="18" w:space="0" w:color="FFFFFF"/>
              <w:bottom w:val="single" w:sz="4" w:space="0" w:color="FFFFFF"/>
              <w:right w:val="single" w:sz="8" w:space="0" w:color="FFFFFF"/>
            </w:tcBorders>
            <w:shd w:val="clear" w:color="auto" w:fill="F2F2F2" w:themeFill="background1" w:themeFillShade="F2"/>
            <w:vAlign w:val="center"/>
          </w:tcPr>
          <w:p w14:paraId="197A13D6" w14:textId="77777777" w:rsidR="00256680" w:rsidRPr="006B45B5" w:rsidRDefault="00256680" w:rsidP="001C2A5B">
            <w:pPr>
              <w:spacing w:line="480" w:lineRule="auto"/>
              <w:jc w:val="center"/>
              <w:rPr>
                <w:sz w:val="18"/>
                <w:szCs w:val="18"/>
                <w:lang w:val="en-GB"/>
              </w:rPr>
            </w:pPr>
            <w:r w:rsidRPr="006B45B5">
              <w:rPr>
                <w:sz w:val="18"/>
                <w:szCs w:val="18"/>
                <w:lang w:val="en-GB"/>
              </w:rPr>
              <w:t>26.64 ± 1.498</w:t>
            </w:r>
          </w:p>
        </w:tc>
        <w:tc>
          <w:tcPr>
            <w:tcW w:w="730" w:type="pct"/>
            <w:tcBorders>
              <w:top w:val="single" w:sz="18" w:space="0" w:color="FFFFFF"/>
              <w:left w:val="single" w:sz="8" w:space="0" w:color="FFFFFF"/>
              <w:bottom w:val="single" w:sz="4" w:space="0" w:color="FFFFFF"/>
              <w:right w:val="nil"/>
            </w:tcBorders>
            <w:shd w:val="clear" w:color="auto" w:fill="F2F2F2" w:themeFill="background1" w:themeFillShade="F2"/>
            <w:vAlign w:val="center"/>
          </w:tcPr>
          <w:p w14:paraId="7B57B1C2" w14:textId="77777777" w:rsidR="00256680" w:rsidRPr="006B45B5" w:rsidRDefault="00256680" w:rsidP="001C2A5B">
            <w:pPr>
              <w:spacing w:line="480" w:lineRule="auto"/>
              <w:jc w:val="center"/>
              <w:rPr>
                <w:sz w:val="18"/>
                <w:szCs w:val="18"/>
                <w:lang w:val="en-GB"/>
              </w:rPr>
            </w:pPr>
            <w:r w:rsidRPr="006B45B5">
              <w:rPr>
                <w:sz w:val="18"/>
                <w:szCs w:val="18"/>
                <w:lang w:val="en-GB"/>
              </w:rPr>
              <w:t>11.35 ± 1.856</w:t>
            </w:r>
          </w:p>
        </w:tc>
        <w:tc>
          <w:tcPr>
            <w:tcW w:w="807" w:type="pct"/>
            <w:tcBorders>
              <w:top w:val="single" w:sz="18" w:space="0" w:color="FFFFFF"/>
              <w:left w:val="single" w:sz="8" w:space="0" w:color="FFFFFF"/>
              <w:bottom w:val="single" w:sz="4" w:space="0" w:color="FFFFFF"/>
              <w:right w:val="nil"/>
            </w:tcBorders>
            <w:shd w:val="clear" w:color="auto" w:fill="F2F2F2" w:themeFill="background1" w:themeFillShade="F2"/>
            <w:vAlign w:val="center"/>
          </w:tcPr>
          <w:p w14:paraId="6E4B6871" w14:textId="77777777" w:rsidR="00256680" w:rsidRPr="006B45B5" w:rsidRDefault="00256680" w:rsidP="001C2A5B">
            <w:pPr>
              <w:spacing w:line="480" w:lineRule="auto"/>
              <w:jc w:val="center"/>
              <w:rPr>
                <w:sz w:val="18"/>
                <w:szCs w:val="18"/>
                <w:lang w:val="en-GB"/>
              </w:rPr>
            </w:pPr>
            <w:r w:rsidRPr="006B45B5">
              <w:rPr>
                <w:sz w:val="18"/>
                <w:szCs w:val="18"/>
                <w:lang w:val="en-GB"/>
              </w:rPr>
              <w:t>13.10 ± 1.494</w:t>
            </w:r>
          </w:p>
        </w:tc>
      </w:tr>
      <w:tr w:rsidR="00256680" w:rsidRPr="006B45B5" w14:paraId="15397D43" w14:textId="77777777" w:rsidTr="001C2A5B">
        <w:trPr>
          <w:trHeight w:val="386"/>
        </w:trPr>
        <w:tc>
          <w:tcPr>
            <w:tcW w:w="526" w:type="pct"/>
            <w:tcBorders>
              <w:top w:val="single" w:sz="4" w:space="0" w:color="FFFFFF"/>
              <w:left w:val="nil"/>
              <w:bottom w:val="single" w:sz="4" w:space="0" w:color="FFFFFF"/>
              <w:right w:val="single" w:sz="4" w:space="0" w:color="FFFFFF"/>
            </w:tcBorders>
            <w:shd w:val="clear" w:color="auto" w:fill="F2F2F2" w:themeFill="background1" w:themeFillShade="F2"/>
            <w:vAlign w:val="center"/>
          </w:tcPr>
          <w:p w14:paraId="43A687C6" w14:textId="77777777" w:rsidR="00256680" w:rsidRPr="006B45B5" w:rsidRDefault="00256680" w:rsidP="001C2A5B">
            <w:pPr>
              <w:spacing w:line="480" w:lineRule="auto"/>
              <w:rPr>
                <w:sz w:val="18"/>
                <w:szCs w:val="18"/>
                <w:lang w:val="en-GB"/>
              </w:rPr>
            </w:pPr>
            <w:r w:rsidRPr="006B45B5">
              <w:rPr>
                <w:sz w:val="18"/>
                <w:szCs w:val="18"/>
                <w:lang w:val="en-GB"/>
              </w:rPr>
              <w:t>S375A</w:t>
            </w:r>
          </w:p>
        </w:tc>
        <w:tc>
          <w:tcPr>
            <w:tcW w:w="700" w:type="pct"/>
            <w:tcBorders>
              <w:top w:val="single" w:sz="4" w:space="0" w:color="FFFFFF"/>
              <w:left w:val="single" w:sz="4" w:space="0" w:color="FFFFFF"/>
              <w:bottom w:val="single" w:sz="4" w:space="0" w:color="FFFFFF"/>
              <w:right w:val="single" w:sz="8" w:space="0" w:color="FFFFFF"/>
            </w:tcBorders>
            <w:shd w:val="clear" w:color="auto" w:fill="F2F2F2" w:themeFill="background1" w:themeFillShade="F2"/>
            <w:vAlign w:val="center"/>
          </w:tcPr>
          <w:p w14:paraId="66B39197" w14:textId="6C5EE2B9" w:rsidR="00256680" w:rsidRPr="006B45B5" w:rsidRDefault="00256680" w:rsidP="001C2A5B">
            <w:pPr>
              <w:spacing w:line="480" w:lineRule="auto"/>
              <w:jc w:val="center"/>
              <w:rPr>
                <w:sz w:val="18"/>
                <w:szCs w:val="18"/>
                <w:lang w:val="en-GB"/>
              </w:rPr>
            </w:pPr>
            <w:r w:rsidRPr="006B45B5">
              <w:rPr>
                <w:sz w:val="18"/>
                <w:szCs w:val="18"/>
                <w:lang w:val="en-GB"/>
              </w:rPr>
              <w:t>0.15 ± 0.008</w:t>
            </w:r>
            <w:r w:rsidR="00234C44">
              <w:rPr>
                <w:sz w:val="18"/>
                <w:szCs w:val="18"/>
                <w:lang w:val="en-GB"/>
              </w:rPr>
              <w:t>*</w:t>
            </w:r>
          </w:p>
        </w:tc>
        <w:tc>
          <w:tcPr>
            <w:tcW w:w="681" w:type="pct"/>
            <w:tcBorders>
              <w:top w:val="single" w:sz="4" w:space="0" w:color="FFFFFF"/>
              <w:left w:val="single" w:sz="8" w:space="0" w:color="FFFFFF"/>
              <w:bottom w:val="single" w:sz="4" w:space="0" w:color="FFFFFF"/>
              <w:right w:val="single" w:sz="4" w:space="0" w:color="FFFFFF"/>
            </w:tcBorders>
            <w:shd w:val="clear" w:color="auto" w:fill="F2F2F2" w:themeFill="background1" w:themeFillShade="F2"/>
            <w:vAlign w:val="center"/>
          </w:tcPr>
          <w:p w14:paraId="11E545D2" w14:textId="77777777" w:rsidR="00256680" w:rsidRPr="006B45B5" w:rsidRDefault="00256680" w:rsidP="001C2A5B">
            <w:pPr>
              <w:spacing w:line="480" w:lineRule="auto"/>
              <w:jc w:val="center"/>
              <w:rPr>
                <w:sz w:val="18"/>
                <w:szCs w:val="18"/>
                <w:lang w:val="en-GB"/>
              </w:rPr>
            </w:pPr>
            <w:r w:rsidRPr="006B45B5">
              <w:rPr>
                <w:sz w:val="18"/>
                <w:szCs w:val="18"/>
                <w:lang w:val="en-GB"/>
              </w:rPr>
              <w:t>0.08 ± 0.003</w:t>
            </w:r>
          </w:p>
        </w:tc>
        <w:tc>
          <w:tcPr>
            <w:tcW w:w="807" w:type="pct"/>
            <w:tcBorders>
              <w:top w:val="single" w:sz="4" w:space="0" w:color="FFFFFF"/>
              <w:left w:val="single" w:sz="4" w:space="0" w:color="FFFFFF"/>
              <w:bottom w:val="single" w:sz="4" w:space="0" w:color="FFFFFF"/>
              <w:right w:val="single" w:sz="18" w:space="0" w:color="FFFFFF"/>
            </w:tcBorders>
            <w:shd w:val="clear" w:color="auto" w:fill="F2F2F2" w:themeFill="background1" w:themeFillShade="F2"/>
            <w:vAlign w:val="center"/>
          </w:tcPr>
          <w:p w14:paraId="23B43559" w14:textId="77777777" w:rsidR="00256680" w:rsidRPr="006B45B5" w:rsidRDefault="00256680" w:rsidP="001C2A5B">
            <w:pPr>
              <w:spacing w:line="480" w:lineRule="auto"/>
              <w:jc w:val="center"/>
              <w:rPr>
                <w:sz w:val="18"/>
                <w:szCs w:val="18"/>
                <w:vertAlign w:val="superscript"/>
                <w:lang w:val="en-GB"/>
              </w:rPr>
            </w:pPr>
            <w:r w:rsidRPr="006B45B5">
              <w:rPr>
                <w:sz w:val="18"/>
                <w:szCs w:val="18"/>
                <w:lang w:val="en-GB"/>
              </w:rPr>
              <w:t>0.09 ± 0.009</w:t>
            </w:r>
          </w:p>
        </w:tc>
        <w:tc>
          <w:tcPr>
            <w:tcW w:w="749" w:type="pct"/>
            <w:tcBorders>
              <w:top w:val="single" w:sz="4" w:space="0" w:color="FFFFFF"/>
              <w:left w:val="single" w:sz="18" w:space="0" w:color="FFFFFF"/>
              <w:bottom w:val="single" w:sz="4" w:space="0" w:color="FFFFFF"/>
              <w:right w:val="single" w:sz="8" w:space="0" w:color="FFFFFF"/>
            </w:tcBorders>
            <w:shd w:val="clear" w:color="auto" w:fill="F2F2F2" w:themeFill="background1" w:themeFillShade="F2"/>
            <w:vAlign w:val="center"/>
          </w:tcPr>
          <w:p w14:paraId="536F69AD" w14:textId="77777777" w:rsidR="00256680" w:rsidRPr="006B45B5" w:rsidRDefault="00256680" w:rsidP="001C2A5B">
            <w:pPr>
              <w:spacing w:line="480" w:lineRule="auto"/>
              <w:jc w:val="center"/>
              <w:rPr>
                <w:sz w:val="18"/>
                <w:szCs w:val="18"/>
                <w:lang w:val="en-GB"/>
              </w:rPr>
            </w:pPr>
            <w:r w:rsidRPr="006B45B5">
              <w:rPr>
                <w:sz w:val="18"/>
                <w:szCs w:val="18"/>
                <w:lang w:val="en-GB"/>
              </w:rPr>
              <w:t>25.09 ± 1.477</w:t>
            </w:r>
          </w:p>
        </w:tc>
        <w:tc>
          <w:tcPr>
            <w:tcW w:w="730" w:type="pct"/>
            <w:tcBorders>
              <w:top w:val="single" w:sz="4" w:space="0" w:color="FFFFFF"/>
              <w:left w:val="single" w:sz="8" w:space="0" w:color="FFFFFF"/>
              <w:bottom w:val="single" w:sz="4" w:space="0" w:color="FFFFFF"/>
              <w:right w:val="nil"/>
            </w:tcBorders>
            <w:shd w:val="clear" w:color="auto" w:fill="F2F2F2" w:themeFill="background1" w:themeFillShade="F2"/>
            <w:vAlign w:val="center"/>
          </w:tcPr>
          <w:p w14:paraId="74360396" w14:textId="77777777" w:rsidR="00256680" w:rsidRPr="006B45B5" w:rsidRDefault="00256680" w:rsidP="001C2A5B">
            <w:pPr>
              <w:spacing w:line="480" w:lineRule="auto"/>
              <w:jc w:val="center"/>
              <w:rPr>
                <w:sz w:val="18"/>
                <w:szCs w:val="18"/>
                <w:lang w:val="en-GB"/>
              </w:rPr>
            </w:pPr>
            <w:r w:rsidRPr="006B45B5">
              <w:rPr>
                <w:sz w:val="18"/>
                <w:szCs w:val="18"/>
                <w:lang w:val="en-GB"/>
              </w:rPr>
              <w:t xml:space="preserve">8.32 ± 2.454 </w:t>
            </w:r>
          </w:p>
        </w:tc>
        <w:tc>
          <w:tcPr>
            <w:tcW w:w="807" w:type="pct"/>
            <w:tcBorders>
              <w:top w:val="single" w:sz="4" w:space="0" w:color="FFFFFF"/>
              <w:left w:val="single" w:sz="8" w:space="0" w:color="FFFFFF"/>
              <w:bottom w:val="single" w:sz="4" w:space="0" w:color="FFFFFF"/>
              <w:right w:val="nil"/>
            </w:tcBorders>
            <w:shd w:val="clear" w:color="auto" w:fill="F2F2F2" w:themeFill="background1" w:themeFillShade="F2"/>
            <w:vAlign w:val="center"/>
          </w:tcPr>
          <w:p w14:paraId="5734875A" w14:textId="77777777" w:rsidR="00256680" w:rsidRPr="006B45B5" w:rsidRDefault="00256680" w:rsidP="001C2A5B">
            <w:pPr>
              <w:spacing w:line="480" w:lineRule="auto"/>
              <w:jc w:val="center"/>
              <w:rPr>
                <w:sz w:val="18"/>
                <w:szCs w:val="18"/>
                <w:lang w:val="en-GB"/>
              </w:rPr>
            </w:pPr>
            <w:r w:rsidRPr="006B45B5">
              <w:rPr>
                <w:sz w:val="18"/>
                <w:szCs w:val="18"/>
                <w:lang w:val="en-GB"/>
              </w:rPr>
              <w:t>11.57 ± 0.852</w:t>
            </w:r>
          </w:p>
        </w:tc>
      </w:tr>
      <w:tr w:rsidR="00256680" w:rsidRPr="006B45B5" w14:paraId="6751D4C7" w14:textId="77777777" w:rsidTr="001C2A5B">
        <w:trPr>
          <w:trHeight w:val="386"/>
        </w:trPr>
        <w:tc>
          <w:tcPr>
            <w:tcW w:w="526" w:type="pct"/>
            <w:tcBorders>
              <w:top w:val="single" w:sz="4" w:space="0" w:color="FFFFFF"/>
              <w:left w:val="nil"/>
              <w:bottom w:val="single" w:sz="4" w:space="0" w:color="FFFFFF"/>
              <w:right w:val="single" w:sz="4" w:space="0" w:color="FFFFFF"/>
            </w:tcBorders>
            <w:shd w:val="clear" w:color="auto" w:fill="F2F2F2" w:themeFill="background1" w:themeFillShade="F2"/>
            <w:vAlign w:val="center"/>
          </w:tcPr>
          <w:p w14:paraId="59872697" w14:textId="77777777" w:rsidR="00256680" w:rsidRPr="006B45B5" w:rsidRDefault="00256680" w:rsidP="001C2A5B">
            <w:pPr>
              <w:spacing w:line="480" w:lineRule="auto"/>
              <w:rPr>
                <w:sz w:val="18"/>
                <w:szCs w:val="18"/>
                <w:lang w:val="en-GB"/>
              </w:rPr>
            </w:pPr>
            <w:r w:rsidRPr="006B45B5">
              <w:rPr>
                <w:sz w:val="18"/>
                <w:szCs w:val="18"/>
                <w:lang w:val="en-GB"/>
              </w:rPr>
              <w:t>10S/T-A</w:t>
            </w:r>
          </w:p>
        </w:tc>
        <w:tc>
          <w:tcPr>
            <w:tcW w:w="700" w:type="pct"/>
            <w:tcBorders>
              <w:top w:val="single" w:sz="4" w:space="0" w:color="FFFFFF"/>
              <w:left w:val="single" w:sz="4" w:space="0" w:color="FFFFFF"/>
              <w:bottom w:val="single" w:sz="4" w:space="0" w:color="FFFFFF"/>
              <w:right w:val="single" w:sz="8" w:space="0" w:color="FFFFFF"/>
            </w:tcBorders>
            <w:shd w:val="clear" w:color="auto" w:fill="F2F2F2" w:themeFill="background1" w:themeFillShade="F2"/>
            <w:vAlign w:val="center"/>
          </w:tcPr>
          <w:p w14:paraId="30E051FD" w14:textId="0F2CC926" w:rsidR="00256680" w:rsidRPr="006B45B5" w:rsidRDefault="00256680" w:rsidP="001C2A5B">
            <w:pPr>
              <w:spacing w:line="480" w:lineRule="auto"/>
              <w:jc w:val="center"/>
              <w:rPr>
                <w:sz w:val="18"/>
                <w:szCs w:val="18"/>
                <w:lang w:val="en-GB"/>
              </w:rPr>
            </w:pPr>
            <w:r w:rsidRPr="006B45B5">
              <w:rPr>
                <w:sz w:val="18"/>
                <w:szCs w:val="18"/>
                <w:lang w:val="en-GB"/>
              </w:rPr>
              <w:t>0.12 ± 0.004</w:t>
            </w:r>
            <w:r w:rsidR="00234C44">
              <w:rPr>
                <w:sz w:val="18"/>
                <w:szCs w:val="18"/>
                <w:lang w:val="en-GB"/>
              </w:rPr>
              <w:t>*</w:t>
            </w:r>
          </w:p>
        </w:tc>
        <w:tc>
          <w:tcPr>
            <w:tcW w:w="681" w:type="pct"/>
            <w:tcBorders>
              <w:top w:val="single" w:sz="4" w:space="0" w:color="FFFFFF"/>
              <w:left w:val="single" w:sz="8" w:space="0" w:color="FFFFFF"/>
              <w:bottom w:val="single" w:sz="4" w:space="0" w:color="FFFFFF"/>
              <w:right w:val="single" w:sz="4" w:space="0" w:color="FFFFFF"/>
            </w:tcBorders>
            <w:shd w:val="clear" w:color="auto" w:fill="F2F2F2" w:themeFill="background1" w:themeFillShade="F2"/>
            <w:vAlign w:val="center"/>
          </w:tcPr>
          <w:p w14:paraId="28B6164D" w14:textId="1CC9240A" w:rsidR="00256680" w:rsidRPr="006B45B5" w:rsidRDefault="00256680" w:rsidP="001C2A5B">
            <w:pPr>
              <w:spacing w:line="480" w:lineRule="auto"/>
              <w:jc w:val="center"/>
              <w:rPr>
                <w:sz w:val="18"/>
                <w:szCs w:val="18"/>
                <w:lang w:val="en-GB"/>
              </w:rPr>
            </w:pPr>
            <w:r w:rsidRPr="006B45B5">
              <w:rPr>
                <w:sz w:val="18"/>
                <w:szCs w:val="18"/>
                <w:lang w:val="en-GB"/>
              </w:rPr>
              <w:t>0.04 ± 0.014</w:t>
            </w:r>
            <w:r w:rsidR="00234C44">
              <w:rPr>
                <w:sz w:val="18"/>
                <w:szCs w:val="18"/>
                <w:lang w:val="en-GB"/>
              </w:rPr>
              <w:t>*</w:t>
            </w:r>
          </w:p>
        </w:tc>
        <w:tc>
          <w:tcPr>
            <w:tcW w:w="807" w:type="pct"/>
            <w:tcBorders>
              <w:top w:val="single" w:sz="4" w:space="0" w:color="FFFFFF"/>
              <w:left w:val="single" w:sz="4" w:space="0" w:color="FFFFFF"/>
              <w:bottom w:val="single" w:sz="4" w:space="0" w:color="FFFFFF"/>
              <w:right w:val="single" w:sz="18" w:space="0" w:color="FFFFFF"/>
            </w:tcBorders>
            <w:shd w:val="clear" w:color="auto" w:fill="F2F2F2" w:themeFill="background1" w:themeFillShade="F2"/>
            <w:vAlign w:val="center"/>
          </w:tcPr>
          <w:p w14:paraId="6C825512" w14:textId="77777777" w:rsidR="00256680" w:rsidRPr="006B45B5" w:rsidRDefault="00256680" w:rsidP="001C2A5B">
            <w:pPr>
              <w:spacing w:line="480" w:lineRule="auto"/>
              <w:jc w:val="center"/>
              <w:rPr>
                <w:sz w:val="18"/>
                <w:szCs w:val="18"/>
                <w:vertAlign w:val="superscript"/>
                <w:lang w:val="en-GB"/>
              </w:rPr>
            </w:pPr>
            <w:r w:rsidRPr="006B45B5">
              <w:rPr>
                <w:sz w:val="18"/>
                <w:szCs w:val="18"/>
                <w:lang w:val="en-GB"/>
              </w:rPr>
              <w:t>0.05 ± 0.013</w:t>
            </w:r>
          </w:p>
        </w:tc>
        <w:tc>
          <w:tcPr>
            <w:tcW w:w="749" w:type="pct"/>
            <w:tcBorders>
              <w:top w:val="single" w:sz="4" w:space="0" w:color="FFFFFF"/>
              <w:left w:val="single" w:sz="18" w:space="0" w:color="FFFFFF"/>
              <w:bottom w:val="single" w:sz="4" w:space="0" w:color="FFFFFF"/>
              <w:right w:val="single" w:sz="8" w:space="0" w:color="FFFFFF"/>
            </w:tcBorders>
            <w:shd w:val="clear" w:color="auto" w:fill="F2F2F2" w:themeFill="background1" w:themeFillShade="F2"/>
            <w:vAlign w:val="center"/>
          </w:tcPr>
          <w:p w14:paraId="5F069038" w14:textId="01218547" w:rsidR="00256680" w:rsidRPr="006B45B5" w:rsidRDefault="00256680" w:rsidP="001C2A5B">
            <w:pPr>
              <w:spacing w:line="480" w:lineRule="auto"/>
              <w:jc w:val="center"/>
              <w:rPr>
                <w:sz w:val="18"/>
                <w:szCs w:val="18"/>
                <w:lang w:val="en-GB"/>
              </w:rPr>
            </w:pPr>
            <w:r w:rsidRPr="006B45B5">
              <w:rPr>
                <w:sz w:val="18"/>
                <w:szCs w:val="18"/>
                <w:lang w:val="en-GB"/>
              </w:rPr>
              <w:t>12.72 ± 0.222</w:t>
            </w:r>
            <w:r w:rsidR="00234C44">
              <w:rPr>
                <w:sz w:val="18"/>
                <w:szCs w:val="18"/>
                <w:lang w:val="en-GB"/>
              </w:rPr>
              <w:t>*</w:t>
            </w:r>
          </w:p>
        </w:tc>
        <w:tc>
          <w:tcPr>
            <w:tcW w:w="730" w:type="pct"/>
            <w:tcBorders>
              <w:top w:val="single" w:sz="4" w:space="0" w:color="FFFFFF"/>
              <w:left w:val="single" w:sz="8" w:space="0" w:color="FFFFFF"/>
              <w:bottom w:val="single" w:sz="4" w:space="0" w:color="FFFFFF"/>
              <w:right w:val="nil"/>
            </w:tcBorders>
            <w:shd w:val="clear" w:color="auto" w:fill="F2F2F2" w:themeFill="background1" w:themeFillShade="F2"/>
            <w:vAlign w:val="center"/>
          </w:tcPr>
          <w:p w14:paraId="19D797C7" w14:textId="4737AE27" w:rsidR="00256680" w:rsidRPr="006B45B5" w:rsidRDefault="00256680" w:rsidP="001C2A5B">
            <w:pPr>
              <w:spacing w:line="480" w:lineRule="auto"/>
              <w:jc w:val="center"/>
              <w:rPr>
                <w:sz w:val="18"/>
                <w:szCs w:val="18"/>
                <w:lang w:val="en-GB"/>
              </w:rPr>
            </w:pPr>
            <w:r w:rsidRPr="006B45B5">
              <w:rPr>
                <w:sz w:val="18"/>
                <w:szCs w:val="18"/>
                <w:lang w:val="en-GB"/>
              </w:rPr>
              <w:t>2.61 ± 1.667</w:t>
            </w:r>
            <w:r w:rsidR="00234C44">
              <w:rPr>
                <w:sz w:val="18"/>
                <w:szCs w:val="18"/>
                <w:lang w:val="en-GB"/>
              </w:rPr>
              <w:t>*</w:t>
            </w:r>
          </w:p>
        </w:tc>
        <w:tc>
          <w:tcPr>
            <w:tcW w:w="807" w:type="pct"/>
            <w:tcBorders>
              <w:top w:val="single" w:sz="4" w:space="0" w:color="FFFFFF"/>
              <w:left w:val="single" w:sz="8" w:space="0" w:color="FFFFFF"/>
              <w:bottom w:val="single" w:sz="4" w:space="0" w:color="FFFFFF"/>
              <w:right w:val="nil"/>
            </w:tcBorders>
            <w:shd w:val="clear" w:color="auto" w:fill="F2F2F2" w:themeFill="background1" w:themeFillShade="F2"/>
            <w:vAlign w:val="center"/>
          </w:tcPr>
          <w:p w14:paraId="7EE66230" w14:textId="3E20ED67" w:rsidR="00256680" w:rsidRPr="006B45B5" w:rsidRDefault="00256680" w:rsidP="001C2A5B">
            <w:pPr>
              <w:spacing w:line="480" w:lineRule="auto"/>
              <w:jc w:val="center"/>
              <w:rPr>
                <w:sz w:val="18"/>
                <w:szCs w:val="18"/>
                <w:vertAlign w:val="superscript"/>
                <w:lang w:val="en-GB"/>
              </w:rPr>
            </w:pPr>
            <w:r w:rsidRPr="006B45B5">
              <w:rPr>
                <w:sz w:val="18"/>
                <w:szCs w:val="18"/>
                <w:lang w:val="en-GB"/>
              </w:rPr>
              <w:t>8.17 ± 0.852</w:t>
            </w:r>
            <w:r w:rsidR="00234C44">
              <w:rPr>
                <w:sz w:val="18"/>
                <w:szCs w:val="18"/>
                <w:lang w:val="en-GB"/>
              </w:rPr>
              <w:t>*</w:t>
            </w:r>
          </w:p>
        </w:tc>
      </w:tr>
      <w:tr w:rsidR="00256680" w:rsidRPr="006B45B5" w14:paraId="7BA766D2" w14:textId="77777777" w:rsidTr="001C2A5B">
        <w:trPr>
          <w:trHeight w:val="387"/>
        </w:trPr>
        <w:tc>
          <w:tcPr>
            <w:tcW w:w="526" w:type="pct"/>
            <w:tcBorders>
              <w:top w:val="single" w:sz="4" w:space="0" w:color="FFFFFF"/>
              <w:left w:val="nil"/>
              <w:bottom w:val="single" w:sz="4" w:space="0" w:color="FFFFFF"/>
              <w:right w:val="single" w:sz="4" w:space="0" w:color="FFFFFF"/>
            </w:tcBorders>
            <w:shd w:val="clear" w:color="auto" w:fill="F2F2F2" w:themeFill="background1" w:themeFillShade="F2"/>
            <w:vAlign w:val="center"/>
          </w:tcPr>
          <w:p w14:paraId="495CD48C" w14:textId="77777777" w:rsidR="00256680" w:rsidRPr="006B45B5" w:rsidRDefault="00256680" w:rsidP="001C2A5B">
            <w:pPr>
              <w:spacing w:line="480" w:lineRule="auto"/>
              <w:rPr>
                <w:sz w:val="18"/>
                <w:szCs w:val="18"/>
                <w:lang w:val="en-GB"/>
              </w:rPr>
            </w:pPr>
            <w:r w:rsidRPr="006B45B5">
              <w:rPr>
                <w:sz w:val="18"/>
                <w:szCs w:val="18"/>
                <w:lang w:val="en-GB"/>
              </w:rPr>
              <w:t>11S/T-A</w:t>
            </w:r>
          </w:p>
        </w:tc>
        <w:tc>
          <w:tcPr>
            <w:tcW w:w="700" w:type="pct"/>
            <w:tcBorders>
              <w:top w:val="single" w:sz="4" w:space="0" w:color="FFFFFF"/>
              <w:left w:val="single" w:sz="4" w:space="0" w:color="FFFFFF"/>
              <w:bottom w:val="single" w:sz="4" w:space="0" w:color="FFFFFF"/>
              <w:right w:val="single" w:sz="8" w:space="0" w:color="FFFFFF"/>
            </w:tcBorders>
            <w:shd w:val="clear" w:color="auto" w:fill="F2F2F2" w:themeFill="background1" w:themeFillShade="F2"/>
            <w:vAlign w:val="center"/>
          </w:tcPr>
          <w:p w14:paraId="0952DB2D" w14:textId="442D66AF" w:rsidR="00256680" w:rsidRPr="006B45B5" w:rsidRDefault="00256680" w:rsidP="001C2A5B">
            <w:pPr>
              <w:spacing w:line="480" w:lineRule="auto"/>
              <w:jc w:val="center"/>
              <w:rPr>
                <w:sz w:val="18"/>
                <w:szCs w:val="18"/>
                <w:lang w:val="en-GB"/>
              </w:rPr>
            </w:pPr>
            <w:r w:rsidRPr="006B45B5">
              <w:rPr>
                <w:sz w:val="18"/>
                <w:szCs w:val="18"/>
                <w:lang w:val="en-GB"/>
              </w:rPr>
              <w:t>0.12 ± 0.006</w:t>
            </w:r>
            <w:r w:rsidR="00234C44">
              <w:rPr>
                <w:sz w:val="18"/>
                <w:szCs w:val="18"/>
                <w:lang w:val="en-GB"/>
              </w:rPr>
              <w:t>*</w:t>
            </w:r>
          </w:p>
        </w:tc>
        <w:tc>
          <w:tcPr>
            <w:tcW w:w="681" w:type="pct"/>
            <w:tcBorders>
              <w:top w:val="single" w:sz="4" w:space="0" w:color="FFFFFF"/>
              <w:left w:val="single" w:sz="8" w:space="0" w:color="FFFFFF"/>
              <w:bottom w:val="single" w:sz="4" w:space="0" w:color="FFFFFF"/>
              <w:right w:val="single" w:sz="4" w:space="0" w:color="FFFFFF"/>
            </w:tcBorders>
            <w:shd w:val="clear" w:color="auto" w:fill="F2F2F2" w:themeFill="background1" w:themeFillShade="F2"/>
            <w:vAlign w:val="center"/>
          </w:tcPr>
          <w:p w14:paraId="4AAEF86E" w14:textId="6B784CA7" w:rsidR="00256680" w:rsidRPr="006B45B5" w:rsidRDefault="00256680" w:rsidP="001C2A5B">
            <w:pPr>
              <w:spacing w:line="480" w:lineRule="auto"/>
              <w:jc w:val="center"/>
              <w:rPr>
                <w:sz w:val="18"/>
                <w:szCs w:val="18"/>
                <w:lang w:val="en-GB"/>
              </w:rPr>
            </w:pPr>
            <w:r w:rsidRPr="006B45B5">
              <w:rPr>
                <w:sz w:val="18"/>
                <w:szCs w:val="18"/>
                <w:lang w:val="en-GB"/>
              </w:rPr>
              <w:t>0.03 ± 0.000</w:t>
            </w:r>
            <w:r w:rsidR="00234C44">
              <w:rPr>
                <w:sz w:val="18"/>
                <w:szCs w:val="18"/>
                <w:lang w:val="en-GB"/>
              </w:rPr>
              <w:t>*</w:t>
            </w:r>
          </w:p>
        </w:tc>
        <w:tc>
          <w:tcPr>
            <w:tcW w:w="807" w:type="pct"/>
            <w:tcBorders>
              <w:top w:val="single" w:sz="4" w:space="0" w:color="FFFFFF"/>
              <w:left w:val="single" w:sz="4" w:space="0" w:color="FFFFFF"/>
              <w:bottom w:val="single" w:sz="4" w:space="0" w:color="FFFFFF"/>
              <w:right w:val="single" w:sz="18" w:space="0" w:color="FFFFFF"/>
            </w:tcBorders>
            <w:shd w:val="clear" w:color="auto" w:fill="F2F2F2" w:themeFill="background1" w:themeFillShade="F2"/>
            <w:vAlign w:val="center"/>
          </w:tcPr>
          <w:p w14:paraId="357D7ECF" w14:textId="77777777" w:rsidR="00256680" w:rsidRPr="006B45B5" w:rsidRDefault="00256680" w:rsidP="001C2A5B">
            <w:pPr>
              <w:spacing w:line="480" w:lineRule="auto"/>
              <w:jc w:val="center"/>
              <w:rPr>
                <w:sz w:val="18"/>
                <w:szCs w:val="18"/>
                <w:vertAlign w:val="superscript"/>
                <w:lang w:val="en-GB"/>
              </w:rPr>
            </w:pPr>
            <w:r w:rsidRPr="006B45B5">
              <w:rPr>
                <w:sz w:val="18"/>
                <w:szCs w:val="18"/>
                <w:lang w:val="en-GB"/>
              </w:rPr>
              <w:t>0.05 ± 0.024</w:t>
            </w:r>
          </w:p>
        </w:tc>
        <w:tc>
          <w:tcPr>
            <w:tcW w:w="749" w:type="pct"/>
            <w:tcBorders>
              <w:top w:val="single" w:sz="4" w:space="0" w:color="FFFFFF"/>
              <w:left w:val="single" w:sz="18" w:space="0" w:color="FFFFFF"/>
              <w:bottom w:val="single" w:sz="4" w:space="0" w:color="FFFFFF"/>
              <w:right w:val="single" w:sz="8" w:space="0" w:color="FFFFFF"/>
            </w:tcBorders>
            <w:shd w:val="clear" w:color="auto" w:fill="F2F2F2" w:themeFill="background1" w:themeFillShade="F2"/>
            <w:vAlign w:val="center"/>
          </w:tcPr>
          <w:p w14:paraId="2A76A5CA" w14:textId="7E02A9C4" w:rsidR="00256680" w:rsidRPr="006B45B5" w:rsidRDefault="00256680" w:rsidP="001C2A5B">
            <w:pPr>
              <w:spacing w:line="480" w:lineRule="auto"/>
              <w:jc w:val="center"/>
              <w:rPr>
                <w:sz w:val="18"/>
                <w:szCs w:val="18"/>
                <w:lang w:val="en-GB"/>
              </w:rPr>
            </w:pPr>
            <w:r w:rsidRPr="006B45B5">
              <w:rPr>
                <w:sz w:val="18"/>
                <w:szCs w:val="18"/>
                <w:lang w:val="en-GB"/>
              </w:rPr>
              <w:t>11.10 ± 0.361</w:t>
            </w:r>
            <w:r w:rsidR="00234C44">
              <w:rPr>
                <w:sz w:val="18"/>
                <w:szCs w:val="18"/>
                <w:lang w:val="en-GB"/>
              </w:rPr>
              <w:t>*</w:t>
            </w:r>
          </w:p>
        </w:tc>
        <w:tc>
          <w:tcPr>
            <w:tcW w:w="730" w:type="pct"/>
            <w:tcBorders>
              <w:top w:val="single" w:sz="4" w:space="0" w:color="FFFFFF"/>
              <w:left w:val="single" w:sz="8" w:space="0" w:color="FFFFFF"/>
              <w:bottom w:val="single" w:sz="4" w:space="0" w:color="FFFFFF"/>
              <w:right w:val="nil"/>
            </w:tcBorders>
            <w:shd w:val="clear" w:color="auto" w:fill="F2F2F2" w:themeFill="background1" w:themeFillShade="F2"/>
            <w:vAlign w:val="center"/>
          </w:tcPr>
          <w:p w14:paraId="24C30103" w14:textId="77777777" w:rsidR="00256680" w:rsidRPr="006B45B5" w:rsidRDefault="00256680" w:rsidP="001C2A5B">
            <w:pPr>
              <w:spacing w:line="480" w:lineRule="auto"/>
              <w:jc w:val="center"/>
              <w:rPr>
                <w:sz w:val="18"/>
                <w:szCs w:val="18"/>
                <w:lang w:val="en-GB"/>
              </w:rPr>
            </w:pPr>
            <w:r w:rsidRPr="006B45B5">
              <w:rPr>
                <w:sz w:val="18"/>
                <w:szCs w:val="18"/>
                <w:lang w:val="en-GB"/>
              </w:rPr>
              <w:t>3.76 ± 2.454</w:t>
            </w:r>
          </w:p>
        </w:tc>
        <w:tc>
          <w:tcPr>
            <w:tcW w:w="807" w:type="pct"/>
            <w:tcBorders>
              <w:top w:val="single" w:sz="4" w:space="0" w:color="FFFFFF"/>
              <w:left w:val="single" w:sz="8" w:space="0" w:color="FFFFFF"/>
              <w:bottom w:val="single" w:sz="4" w:space="0" w:color="FFFFFF"/>
              <w:right w:val="nil"/>
            </w:tcBorders>
            <w:shd w:val="clear" w:color="auto" w:fill="F2F2F2" w:themeFill="background1" w:themeFillShade="F2"/>
            <w:vAlign w:val="center"/>
          </w:tcPr>
          <w:p w14:paraId="680AA6A1" w14:textId="10405D17" w:rsidR="00256680" w:rsidRPr="006B45B5" w:rsidRDefault="00256680" w:rsidP="001C2A5B">
            <w:pPr>
              <w:spacing w:line="480" w:lineRule="auto"/>
              <w:jc w:val="center"/>
              <w:rPr>
                <w:sz w:val="18"/>
                <w:szCs w:val="18"/>
                <w:vertAlign w:val="superscript"/>
                <w:lang w:val="en-GB"/>
              </w:rPr>
            </w:pPr>
            <w:r w:rsidRPr="006B45B5">
              <w:rPr>
                <w:sz w:val="18"/>
                <w:szCs w:val="18"/>
                <w:lang w:val="en-GB"/>
              </w:rPr>
              <w:t>7.05 ± 1.2</w:t>
            </w:r>
            <w:r w:rsidR="00234C44">
              <w:rPr>
                <w:sz w:val="18"/>
                <w:szCs w:val="18"/>
                <w:lang w:val="en-GB"/>
              </w:rPr>
              <w:t>*</w:t>
            </w:r>
          </w:p>
        </w:tc>
      </w:tr>
    </w:tbl>
    <w:p w14:paraId="60207B8D" w14:textId="77777777" w:rsidR="00256680" w:rsidRPr="006B45B5" w:rsidRDefault="00256680" w:rsidP="00256680">
      <w:pPr>
        <w:rPr>
          <w:lang w:val="en-GB"/>
        </w:rPr>
      </w:pPr>
    </w:p>
    <w:p w14:paraId="22FDB712" w14:textId="77777777" w:rsidR="00CA403F" w:rsidRPr="001022E1" w:rsidRDefault="00CA403F" w:rsidP="00CA403F">
      <w:pPr>
        <w:spacing w:line="360" w:lineRule="auto"/>
        <w:jc w:val="both"/>
        <w:rPr>
          <w:lang w:val="en-GB"/>
        </w:rPr>
      </w:pPr>
      <w:r w:rsidRPr="006B45B5">
        <w:rPr>
          <w:szCs w:val="24"/>
          <w:lang w:val="en-GB"/>
        </w:rPr>
        <w:t>Summary of pED</w:t>
      </w:r>
      <w:r w:rsidRPr="006B45B5">
        <w:rPr>
          <w:szCs w:val="24"/>
          <w:vertAlign w:val="subscript"/>
          <w:lang w:val="en-GB"/>
        </w:rPr>
        <w:t>50</w:t>
      </w:r>
      <w:r w:rsidRPr="006B45B5">
        <w:rPr>
          <w:szCs w:val="24"/>
          <w:lang w:val="en-GB"/>
        </w:rPr>
        <w:t xml:space="preserve"> values (mg</w:t>
      </w:r>
      <w:r>
        <w:rPr>
          <w:szCs w:val="24"/>
          <w:lang w:val="en-GB"/>
        </w:rPr>
        <w:t>/</w:t>
      </w:r>
      <w:r w:rsidRPr="006B45B5">
        <w:rPr>
          <w:szCs w:val="24"/>
          <w:lang w:val="en-GB"/>
        </w:rPr>
        <w:t>kg) for cumulative analgesic dose</w:t>
      </w:r>
      <w:r>
        <w:rPr>
          <w:szCs w:val="24"/>
          <w:lang w:val="en-GB"/>
        </w:rPr>
        <w:t>–</w:t>
      </w:r>
      <w:r w:rsidRPr="006B45B5">
        <w:rPr>
          <w:szCs w:val="24"/>
          <w:lang w:val="en-GB"/>
        </w:rPr>
        <w:t>response curves measured in the hot</w:t>
      </w:r>
      <w:r>
        <w:rPr>
          <w:szCs w:val="24"/>
          <w:lang w:val="en-GB"/>
        </w:rPr>
        <w:t>-</w:t>
      </w:r>
      <w:r w:rsidRPr="006B45B5">
        <w:rPr>
          <w:szCs w:val="24"/>
          <w:lang w:val="en-GB"/>
        </w:rPr>
        <w:t xml:space="preserve">plate (day </w:t>
      </w:r>
      <w:r>
        <w:rPr>
          <w:szCs w:val="24"/>
          <w:lang w:val="en-GB"/>
        </w:rPr>
        <w:t>−</w:t>
      </w:r>
      <w:r w:rsidRPr="006B45B5">
        <w:rPr>
          <w:szCs w:val="24"/>
          <w:lang w:val="en-GB"/>
        </w:rPr>
        <w:t>1), constipation</w:t>
      </w:r>
      <w:r>
        <w:rPr>
          <w:szCs w:val="24"/>
          <w:lang w:val="en-GB"/>
        </w:rPr>
        <w:t>,</w:t>
      </w:r>
      <w:r w:rsidRPr="006B45B5">
        <w:rPr>
          <w:szCs w:val="24"/>
          <w:lang w:val="en-GB"/>
        </w:rPr>
        <w:t xml:space="preserve"> and respiratory depression test</w:t>
      </w:r>
      <w:r>
        <w:rPr>
          <w:szCs w:val="24"/>
          <w:lang w:val="en-GB"/>
        </w:rPr>
        <w:t>s</w:t>
      </w:r>
      <w:r w:rsidRPr="006B45B5">
        <w:rPr>
          <w:szCs w:val="24"/>
          <w:lang w:val="en-GB"/>
        </w:rPr>
        <w:t xml:space="preserve">. Data are </w:t>
      </w:r>
      <w:r>
        <w:rPr>
          <w:szCs w:val="24"/>
          <w:lang w:val="en-GB"/>
        </w:rPr>
        <w:t xml:space="preserve">the </w:t>
      </w:r>
      <w:r w:rsidRPr="006B45B5">
        <w:rPr>
          <w:szCs w:val="24"/>
          <w:lang w:val="en-GB"/>
        </w:rPr>
        <w:t>mean</w:t>
      </w:r>
      <w:r>
        <w:rPr>
          <w:szCs w:val="24"/>
          <w:lang w:val="en-GB"/>
        </w:rPr>
        <w:t>s</w:t>
      </w:r>
      <w:r w:rsidRPr="006B45B5">
        <w:rPr>
          <w:szCs w:val="24"/>
          <w:lang w:val="en-GB"/>
        </w:rPr>
        <w:t xml:space="preserve"> ± s.e.m. </w:t>
      </w:r>
      <w:r w:rsidRPr="00F278E3">
        <w:rPr>
          <w:lang w:val="en-GB"/>
        </w:rPr>
        <w:t xml:space="preserve">* indicate statistically </w:t>
      </w:r>
      <w:r w:rsidRPr="001022E1">
        <w:rPr>
          <w:lang w:val="en-GB"/>
        </w:rPr>
        <w:t>significant difference compare pED</w:t>
      </w:r>
      <w:r w:rsidRPr="001022E1">
        <w:rPr>
          <w:vertAlign w:val="subscript"/>
          <w:lang w:val="en-GB"/>
        </w:rPr>
        <w:t>50</w:t>
      </w:r>
      <w:r w:rsidRPr="001022E1">
        <w:rPr>
          <w:lang w:val="en-GB"/>
        </w:rPr>
        <w:t xml:space="preserve"> values to WT (for fentanyl: F</w:t>
      </w:r>
      <w:r w:rsidRPr="001022E1">
        <w:rPr>
          <w:vertAlign w:val="subscript"/>
          <w:lang w:val="en-GB"/>
        </w:rPr>
        <w:t>analgesia(3, 44)</w:t>
      </w:r>
      <w:r w:rsidRPr="001022E1">
        <w:rPr>
          <w:lang w:val="en-GB"/>
        </w:rPr>
        <w:t xml:space="preserve"> = 56.47, P &lt; 0.0001; F</w:t>
      </w:r>
      <w:r w:rsidRPr="001022E1">
        <w:rPr>
          <w:vertAlign w:val="subscript"/>
          <w:lang w:val="en-GB"/>
        </w:rPr>
        <w:t>respiration(3, 92)</w:t>
      </w:r>
      <w:r w:rsidRPr="001022E1">
        <w:rPr>
          <w:lang w:val="en-GB"/>
        </w:rPr>
        <w:t xml:space="preserve"> = 6.435, P = 0.0005; F</w:t>
      </w:r>
      <w:r w:rsidRPr="001022E1">
        <w:rPr>
          <w:vertAlign w:val="subscript"/>
          <w:lang w:val="en-GB"/>
        </w:rPr>
        <w:t>constipation(3, 147)</w:t>
      </w:r>
      <w:r w:rsidRPr="001022E1">
        <w:rPr>
          <w:lang w:val="en-GB"/>
        </w:rPr>
        <w:t xml:space="preserve"> = 0.8020, P = 0.4946 and for morphine: F</w:t>
      </w:r>
      <w:r w:rsidRPr="001022E1">
        <w:rPr>
          <w:vertAlign w:val="subscript"/>
          <w:lang w:val="en-GB"/>
        </w:rPr>
        <w:t>analgesia(3, 38)</w:t>
      </w:r>
      <w:r w:rsidRPr="001022E1">
        <w:rPr>
          <w:lang w:val="en-GB"/>
        </w:rPr>
        <w:t xml:space="preserve"> = 51.50, P &lt; 0.0001; F</w:t>
      </w:r>
      <w:r w:rsidRPr="001022E1">
        <w:rPr>
          <w:vertAlign w:val="subscript"/>
          <w:lang w:val="en-GB"/>
        </w:rPr>
        <w:t>respiration(3, 112)</w:t>
      </w:r>
      <w:r w:rsidRPr="001022E1">
        <w:rPr>
          <w:lang w:val="en-GB"/>
        </w:rPr>
        <w:t xml:space="preserve"> = 3.875, P = 0.0112; F</w:t>
      </w:r>
      <w:r w:rsidRPr="001022E1">
        <w:rPr>
          <w:vertAlign w:val="subscript"/>
          <w:lang w:val="en-GB"/>
        </w:rPr>
        <w:t>constipation(3, 151)</w:t>
      </w:r>
      <w:r w:rsidRPr="001022E1">
        <w:rPr>
          <w:lang w:val="en-GB"/>
        </w:rPr>
        <w:t xml:space="preserve"> = 5.543, P = 0.0012). </w:t>
      </w:r>
      <w:r w:rsidRPr="001022E1">
        <w:t xml:space="preserve">One-way ANOVA with Bonferroni </w:t>
      </w:r>
      <w:r w:rsidRPr="001022E1">
        <w:rPr>
          <w:i/>
          <w:lang w:eastAsia="en-GB"/>
        </w:rPr>
        <w:t>post hoc</w:t>
      </w:r>
      <w:r w:rsidRPr="001022E1">
        <w:rPr>
          <w:lang w:eastAsia="en-GB"/>
        </w:rPr>
        <w:t xml:space="preserve"> test</w:t>
      </w:r>
      <w:r w:rsidRPr="001022E1">
        <w:t>.</w:t>
      </w:r>
    </w:p>
    <w:p w14:paraId="5930B467" w14:textId="77777777" w:rsidR="001C2A5B" w:rsidRPr="006B45B5" w:rsidRDefault="001C2A5B">
      <w:pPr>
        <w:rPr>
          <w:lang w:val="en-GB"/>
        </w:rPr>
      </w:pPr>
    </w:p>
    <w:sectPr w:rsidR="001C2A5B" w:rsidRPr="006B45B5" w:rsidSect="00905577">
      <w:footerReference w:type="even" r:id="rId17"/>
      <w:footerReference w:type="default" r:id="rId18"/>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EA9DF0" w14:textId="77777777" w:rsidR="001A3002" w:rsidRDefault="001A3002" w:rsidP="0084783F">
      <w:r>
        <w:separator/>
      </w:r>
    </w:p>
  </w:endnote>
  <w:endnote w:type="continuationSeparator" w:id="0">
    <w:p w14:paraId="67149F1A" w14:textId="77777777" w:rsidR="001A3002" w:rsidRDefault="001A3002" w:rsidP="008478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Symbol">
    <w:panose1 w:val="05050102010706020507"/>
    <w:charset w:val="02"/>
    <w:family w:val="decorative"/>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09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Seitenzahl"/>
      </w:rPr>
      <w:id w:val="1655576660"/>
      <w:docPartObj>
        <w:docPartGallery w:val="Page Numbers (Bottom of Page)"/>
        <w:docPartUnique/>
      </w:docPartObj>
    </w:sdtPr>
    <w:sdtEndPr>
      <w:rPr>
        <w:rStyle w:val="Seitenzahl"/>
      </w:rPr>
    </w:sdtEndPr>
    <w:sdtContent>
      <w:p w14:paraId="02E1DBAF" w14:textId="23D28E04" w:rsidR="00CB37CC" w:rsidRDefault="00CB37CC" w:rsidP="00652252">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18BF6DBE" w14:textId="77777777" w:rsidR="00CB37CC" w:rsidRDefault="00CB37CC" w:rsidP="0084783F">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Seitenzahl"/>
      </w:rPr>
      <w:id w:val="-1457329375"/>
      <w:docPartObj>
        <w:docPartGallery w:val="Page Numbers (Bottom of Page)"/>
        <w:docPartUnique/>
      </w:docPartObj>
    </w:sdtPr>
    <w:sdtEndPr>
      <w:rPr>
        <w:rStyle w:val="Seitenzahl"/>
      </w:rPr>
    </w:sdtEndPr>
    <w:sdtContent>
      <w:p w14:paraId="76A9ED19" w14:textId="20AB4F81" w:rsidR="00CB37CC" w:rsidRDefault="00CB37CC" w:rsidP="00652252">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sidR="00294A34">
          <w:rPr>
            <w:rStyle w:val="Seitenzahl"/>
            <w:noProof/>
          </w:rPr>
          <w:t>2</w:t>
        </w:r>
        <w:r>
          <w:rPr>
            <w:rStyle w:val="Seitenzahl"/>
          </w:rPr>
          <w:fldChar w:fldCharType="end"/>
        </w:r>
      </w:p>
    </w:sdtContent>
  </w:sdt>
  <w:p w14:paraId="2A96CFAD" w14:textId="77777777" w:rsidR="00CB37CC" w:rsidRDefault="00CB37CC" w:rsidP="0084783F">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3736C9" w14:textId="77777777" w:rsidR="001A3002" w:rsidRDefault="001A3002" w:rsidP="0084783F">
      <w:r>
        <w:separator/>
      </w:r>
    </w:p>
  </w:footnote>
  <w:footnote w:type="continuationSeparator" w:id="0">
    <w:p w14:paraId="09D8636B" w14:textId="77777777" w:rsidR="001A3002" w:rsidRDefault="001A3002" w:rsidP="008478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3B35078"/>
    <w:multiLevelType w:val="multilevel"/>
    <w:tmpl w:val="BDBEC576"/>
    <w:lvl w:ilvl="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ordTimer" w:val="615"/>
  </w:docVars>
  <w:rsids>
    <w:rsidRoot w:val="00256680"/>
    <w:rsid w:val="000011EA"/>
    <w:rsid w:val="00010435"/>
    <w:rsid w:val="000129C3"/>
    <w:rsid w:val="00026CC4"/>
    <w:rsid w:val="00027C99"/>
    <w:rsid w:val="0003171C"/>
    <w:rsid w:val="00033EC4"/>
    <w:rsid w:val="00036756"/>
    <w:rsid w:val="00037726"/>
    <w:rsid w:val="00050E88"/>
    <w:rsid w:val="000577F6"/>
    <w:rsid w:val="00061C52"/>
    <w:rsid w:val="00065732"/>
    <w:rsid w:val="000772D6"/>
    <w:rsid w:val="0009199B"/>
    <w:rsid w:val="00095570"/>
    <w:rsid w:val="00096E4C"/>
    <w:rsid w:val="000B0C6E"/>
    <w:rsid w:val="000B1BA7"/>
    <w:rsid w:val="000C6242"/>
    <w:rsid w:val="000D17B2"/>
    <w:rsid w:val="000E2429"/>
    <w:rsid w:val="000E4087"/>
    <w:rsid w:val="000E5F68"/>
    <w:rsid w:val="00101661"/>
    <w:rsid w:val="001022E1"/>
    <w:rsid w:val="00140AB3"/>
    <w:rsid w:val="00157193"/>
    <w:rsid w:val="00170957"/>
    <w:rsid w:val="001713CF"/>
    <w:rsid w:val="0017739F"/>
    <w:rsid w:val="001A0143"/>
    <w:rsid w:val="001A3002"/>
    <w:rsid w:val="001A7975"/>
    <w:rsid w:val="001B4BC7"/>
    <w:rsid w:val="001C2A5B"/>
    <w:rsid w:val="001C3B04"/>
    <w:rsid w:val="001C5550"/>
    <w:rsid w:val="001D3146"/>
    <w:rsid w:val="001D6027"/>
    <w:rsid w:val="00211EF2"/>
    <w:rsid w:val="00213B38"/>
    <w:rsid w:val="002153FC"/>
    <w:rsid w:val="00234C44"/>
    <w:rsid w:val="00245BB2"/>
    <w:rsid w:val="002503FD"/>
    <w:rsid w:val="00256680"/>
    <w:rsid w:val="00265E5E"/>
    <w:rsid w:val="00270DCE"/>
    <w:rsid w:val="00273C71"/>
    <w:rsid w:val="00277547"/>
    <w:rsid w:val="00282A35"/>
    <w:rsid w:val="00282F57"/>
    <w:rsid w:val="0029183C"/>
    <w:rsid w:val="00293253"/>
    <w:rsid w:val="00294A34"/>
    <w:rsid w:val="00295228"/>
    <w:rsid w:val="002A3715"/>
    <w:rsid w:val="002A3B15"/>
    <w:rsid w:val="002B1098"/>
    <w:rsid w:val="002C765A"/>
    <w:rsid w:val="002E3C69"/>
    <w:rsid w:val="002E5F28"/>
    <w:rsid w:val="002F4A77"/>
    <w:rsid w:val="00302C69"/>
    <w:rsid w:val="00303C50"/>
    <w:rsid w:val="00305979"/>
    <w:rsid w:val="00313F4E"/>
    <w:rsid w:val="00317981"/>
    <w:rsid w:val="00320F71"/>
    <w:rsid w:val="00325FFC"/>
    <w:rsid w:val="00335AEE"/>
    <w:rsid w:val="003362B9"/>
    <w:rsid w:val="0035257E"/>
    <w:rsid w:val="00357499"/>
    <w:rsid w:val="003709D1"/>
    <w:rsid w:val="00373639"/>
    <w:rsid w:val="0038517F"/>
    <w:rsid w:val="003B08B2"/>
    <w:rsid w:val="003B37E2"/>
    <w:rsid w:val="003B47CE"/>
    <w:rsid w:val="003B7E1F"/>
    <w:rsid w:val="003D409B"/>
    <w:rsid w:val="003D776B"/>
    <w:rsid w:val="003D7B97"/>
    <w:rsid w:val="003F773C"/>
    <w:rsid w:val="00401304"/>
    <w:rsid w:val="00401F52"/>
    <w:rsid w:val="0040612D"/>
    <w:rsid w:val="00415157"/>
    <w:rsid w:val="00415AEB"/>
    <w:rsid w:val="00416307"/>
    <w:rsid w:val="004227BF"/>
    <w:rsid w:val="00423B5A"/>
    <w:rsid w:val="00450F88"/>
    <w:rsid w:val="00452D4A"/>
    <w:rsid w:val="00457A57"/>
    <w:rsid w:val="00463B63"/>
    <w:rsid w:val="004650B9"/>
    <w:rsid w:val="00467E7A"/>
    <w:rsid w:val="004770EF"/>
    <w:rsid w:val="00482426"/>
    <w:rsid w:val="00483EF0"/>
    <w:rsid w:val="004A134C"/>
    <w:rsid w:val="004B0848"/>
    <w:rsid w:val="004C1A75"/>
    <w:rsid w:val="004F4867"/>
    <w:rsid w:val="00535FE6"/>
    <w:rsid w:val="00545D21"/>
    <w:rsid w:val="0055084E"/>
    <w:rsid w:val="00550A05"/>
    <w:rsid w:val="00550A33"/>
    <w:rsid w:val="00554537"/>
    <w:rsid w:val="00560901"/>
    <w:rsid w:val="00564233"/>
    <w:rsid w:val="00564D13"/>
    <w:rsid w:val="00567CEA"/>
    <w:rsid w:val="00573782"/>
    <w:rsid w:val="00576F51"/>
    <w:rsid w:val="005778C3"/>
    <w:rsid w:val="005A6996"/>
    <w:rsid w:val="005A7C6A"/>
    <w:rsid w:val="005B12E9"/>
    <w:rsid w:val="005B38E8"/>
    <w:rsid w:val="005B42AC"/>
    <w:rsid w:val="005C11B5"/>
    <w:rsid w:val="005C32B6"/>
    <w:rsid w:val="005D4B4D"/>
    <w:rsid w:val="005E58DF"/>
    <w:rsid w:val="005E72D8"/>
    <w:rsid w:val="005E77ED"/>
    <w:rsid w:val="005F3280"/>
    <w:rsid w:val="005F58A3"/>
    <w:rsid w:val="0060286B"/>
    <w:rsid w:val="00603906"/>
    <w:rsid w:val="0061705F"/>
    <w:rsid w:val="00620FD9"/>
    <w:rsid w:val="00623D18"/>
    <w:rsid w:val="00633E9E"/>
    <w:rsid w:val="00636A28"/>
    <w:rsid w:val="00636CC9"/>
    <w:rsid w:val="0064299A"/>
    <w:rsid w:val="00652252"/>
    <w:rsid w:val="00680F85"/>
    <w:rsid w:val="00681970"/>
    <w:rsid w:val="006939FC"/>
    <w:rsid w:val="006B2278"/>
    <w:rsid w:val="006B45B5"/>
    <w:rsid w:val="006C40DD"/>
    <w:rsid w:val="006C444C"/>
    <w:rsid w:val="006D1132"/>
    <w:rsid w:val="006D1832"/>
    <w:rsid w:val="006D4550"/>
    <w:rsid w:val="006E1A8D"/>
    <w:rsid w:val="006E25B6"/>
    <w:rsid w:val="006F4BE8"/>
    <w:rsid w:val="007123D5"/>
    <w:rsid w:val="0071242F"/>
    <w:rsid w:val="007130BC"/>
    <w:rsid w:val="00716AD1"/>
    <w:rsid w:val="00732FB9"/>
    <w:rsid w:val="00737A16"/>
    <w:rsid w:val="0074084C"/>
    <w:rsid w:val="00746A1B"/>
    <w:rsid w:val="0076198B"/>
    <w:rsid w:val="007633BD"/>
    <w:rsid w:val="00766EB2"/>
    <w:rsid w:val="00770005"/>
    <w:rsid w:val="0077555B"/>
    <w:rsid w:val="00777C34"/>
    <w:rsid w:val="00783F7E"/>
    <w:rsid w:val="00787D33"/>
    <w:rsid w:val="007B2145"/>
    <w:rsid w:val="007B3644"/>
    <w:rsid w:val="007B5389"/>
    <w:rsid w:val="007C0A60"/>
    <w:rsid w:val="007C3FAE"/>
    <w:rsid w:val="007F3927"/>
    <w:rsid w:val="00800897"/>
    <w:rsid w:val="00810BAA"/>
    <w:rsid w:val="00811C54"/>
    <w:rsid w:val="0083380E"/>
    <w:rsid w:val="0083646B"/>
    <w:rsid w:val="0084783F"/>
    <w:rsid w:val="008619DF"/>
    <w:rsid w:val="00875DC8"/>
    <w:rsid w:val="00876168"/>
    <w:rsid w:val="0089234F"/>
    <w:rsid w:val="008931D9"/>
    <w:rsid w:val="008A3A40"/>
    <w:rsid w:val="008A6202"/>
    <w:rsid w:val="008B43DC"/>
    <w:rsid w:val="008D5397"/>
    <w:rsid w:val="008E2076"/>
    <w:rsid w:val="008E758E"/>
    <w:rsid w:val="008F1FC2"/>
    <w:rsid w:val="008F2560"/>
    <w:rsid w:val="008F686E"/>
    <w:rsid w:val="00905577"/>
    <w:rsid w:val="009056B4"/>
    <w:rsid w:val="00914848"/>
    <w:rsid w:val="00920333"/>
    <w:rsid w:val="0093650E"/>
    <w:rsid w:val="00950C72"/>
    <w:rsid w:val="0095173E"/>
    <w:rsid w:val="00977E39"/>
    <w:rsid w:val="00984C8F"/>
    <w:rsid w:val="00986D84"/>
    <w:rsid w:val="00987E2A"/>
    <w:rsid w:val="00991E9E"/>
    <w:rsid w:val="00995369"/>
    <w:rsid w:val="00996617"/>
    <w:rsid w:val="009A7B91"/>
    <w:rsid w:val="009B00A1"/>
    <w:rsid w:val="009B1643"/>
    <w:rsid w:val="009B6422"/>
    <w:rsid w:val="009C15D3"/>
    <w:rsid w:val="009C2A0B"/>
    <w:rsid w:val="009F784D"/>
    <w:rsid w:val="00A04D35"/>
    <w:rsid w:val="00A145C8"/>
    <w:rsid w:val="00A24C42"/>
    <w:rsid w:val="00A25E0D"/>
    <w:rsid w:val="00A51EAD"/>
    <w:rsid w:val="00A53DFA"/>
    <w:rsid w:val="00A712F0"/>
    <w:rsid w:val="00A73349"/>
    <w:rsid w:val="00A7503A"/>
    <w:rsid w:val="00A94571"/>
    <w:rsid w:val="00AA2A6C"/>
    <w:rsid w:val="00AA3660"/>
    <w:rsid w:val="00AA3E79"/>
    <w:rsid w:val="00AA5A1C"/>
    <w:rsid w:val="00AA740F"/>
    <w:rsid w:val="00AB02ED"/>
    <w:rsid w:val="00AB2242"/>
    <w:rsid w:val="00AC30B1"/>
    <w:rsid w:val="00AC65BE"/>
    <w:rsid w:val="00AD33DE"/>
    <w:rsid w:val="00AE2639"/>
    <w:rsid w:val="00AE7790"/>
    <w:rsid w:val="00AF031A"/>
    <w:rsid w:val="00AF0331"/>
    <w:rsid w:val="00B17C2B"/>
    <w:rsid w:val="00B23D2F"/>
    <w:rsid w:val="00B31A2F"/>
    <w:rsid w:val="00B52773"/>
    <w:rsid w:val="00B61C14"/>
    <w:rsid w:val="00B67A8F"/>
    <w:rsid w:val="00B965F6"/>
    <w:rsid w:val="00B96D1E"/>
    <w:rsid w:val="00BA13C5"/>
    <w:rsid w:val="00BA7C87"/>
    <w:rsid w:val="00BB1948"/>
    <w:rsid w:val="00BB1D1A"/>
    <w:rsid w:val="00BB2839"/>
    <w:rsid w:val="00BC4B37"/>
    <w:rsid w:val="00BC5C98"/>
    <w:rsid w:val="00BD3A76"/>
    <w:rsid w:val="00BE0BD4"/>
    <w:rsid w:val="00BE76F9"/>
    <w:rsid w:val="00BF23E8"/>
    <w:rsid w:val="00C00E42"/>
    <w:rsid w:val="00C04944"/>
    <w:rsid w:val="00C260AF"/>
    <w:rsid w:val="00C36D9F"/>
    <w:rsid w:val="00C4566C"/>
    <w:rsid w:val="00C522A6"/>
    <w:rsid w:val="00C639B2"/>
    <w:rsid w:val="00C66C57"/>
    <w:rsid w:val="00C6727F"/>
    <w:rsid w:val="00C672BF"/>
    <w:rsid w:val="00C70558"/>
    <w:rsid w:val="00C743BE"/>
    <w:rsid w:val="00C8082D"/>
    <w:rsid w:val="00C83655"/>
    <w:rsid w:val="00C96537"/>
    <w:rsid w:val="00CA403F"/>
    <w:rsid w:val="00CB37CC"/>
    <w:rsid w:val="00CB73DF"/>
    <w:rsid w:val="00CE2375"/>
    <w:rsid w:val="00CE5ED0"/>
    <w:rsid w:val="00CF3944"/>
    <w:rsid w:val="00CF7D4F"/>
    <w:rsid w:val="00D07150"/>
    <w:rsid w:val="00D12555"/>
    <w:rsid w:val="00D13E69"/>
    <w:rsid w:val="00D20369"/>
    <w:rsid w:val="00D220A2"/>
    <w:rsid w:val="00D30C6C"/>
    <w:rsid w:val="00D40D5B"/>
    <w:rsid w:val="00D4210D"/>
    <w:rsid w:val="00D4276A"/>
    <w:rsid w:val="00D57482"/>
    <w:rsid w:val="00D65393"/>
    <w:rsid w:val="00D65BD0"/>
    <w:rsid w:val="00D80187"/>
    <w:rsid w:val="00D80D21"/>
    <w:rsid w:val="00D820A4"/>
    <w:rsid w:val="00D84F6F"/>
    <w:rsid w:val="00D869AB"/>
    <w:rsid w:val="00D94488"/>
    <w:rsid w:val="00DA5CDF"/>
    <w:rsid w:val="00DB7DA7"/>
    <w:rsid w:val="00DC48EA"/>
    <w:rsid w:val="00DC5066"/>
    <w:rsid w:val="00DD4D92"/>
    <w:rsid w:val="00DE0C3E"/>
    <w:rsid w:val="00DE7D86"/>
    <w:rsid w:val="00DF30DD"/>
    <w:rsid w:val="00DF6D1E"/>
    <w:rsid w:val="00E015DB"/>
    <w:rsid w:val="00E159B6"/>
    <w:rsid w:val="00E17044"/>
    <w:rsid w:val="00E1739E"/>
    <w:rsid w:val="00E335C3"/>
    <w:rsid w:val="00E7041A"/>
    <w:rsid w:val="00E7615B"/>
    <w:rsid w:val="00E85E59"/>
    <w:rsid w:val="00E90245"/>
    <w:rsid w:val="00E94306"/>
    <w:rsid w:val="00EA5849"/>
    <w:rsid w:val="00EA77C0"/>
    <w:rsid w:val="00EB170B"/>
    <w:rsid w:val="00EC4544"/>
    <w:rsid w:val="00EC47FF"/>
    <w:rsid w:val="00ED54A5"/>
    <w:rsid w:val="00EF494C"/>
    <w:rsid w:val="00F043A3"/>
    <w:rsid w:val="00F0607F"/>
    <w:rsid w:val="00F074B3"/>
    <w:rsid w:val="00F16F6C"/>
    <w:rsid w:val="00F24232"/>
    <w:rsid w:val="00F24E1E"/>
    <w:rsid w:val="00F3065E"/>
    <w:rsid w:val="00F30D7D"/>
    <w:rsid w:val="00F31A13"/>
    <w:rsid w:val="00F50000"/>
    <w:rsid w:val="00F54B61"/>
    <w:rsid w:val="00F643D5"/>
    <w:rsid w:val="00F71668"/>
    <w:rsid w:val="00F738EC"/>
    <w:rsid w:val="00F77800"/>
    <w:rsid w:val="00FA1405"/>
    <w:rsid w:val="00FB3B67"/>
    <w:rsid w:val="00FE36F3"/>
    <w:rsid w:val="00FF2F26"/>
    <w:rsid w:val="00FF4DEE"/>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0F02E0C"/>
  <w14:defaultImageDpi w14:val="32767"/>
  <w15:docId w15:val="{ABB9BBE8-06BC-C94C-A09C-84AB6A586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256680"/>
    <w:rPr>
      <w:rFonts w:ascii="Times New Roman" w:eastAsia="Times New Roman" w:hAnsi="Times New Roman" w:cs="Times New Roman"/>
      <w:szCs w:val="20"/>
      <w:lang w:val="en-US"/>
    </w:rPr>
  </w:style>
  <w:style w:type="paragraph" w:styleId="berschrift1">
    <w:name w:val="heading 1"/>
    <w:basedOn w:val="Standard"/>
    <w:next w:val="Standard"/>
    <w:link w:val="berschrift1Zchn"/>
    <w:uiPriority w:val="9"/>
    <w:qFormat/>
    <w:rsid w:val="00A51EAD"/>
    <w:pPr>
      <w:spacing w:line="480" w:lineRule="auto"/>
      <w:jc w:val="both"/>
      <w:outlineLvl w:val="0"/>
    </w:pPr>
    <w:rPr>
      <w:b/>
      <w:color w:val="000000" w:themeColor="text1"/>
      <w:lang w:val="en-GB"/>
    </w:rPr>
  </w:style>
  <w:style w:type="paragraph" w:styleId="berschrift2">
    <w:name w:val="heading 2"/>
    <w:basedOn w:val="berschrift1"/>
    <w:next w:val="Standard"/>
    <w:link w:val="berschrift2Zchn"/>
    <w:uiPriority w:val="9"/>
    <w:unhideWhenUsed/>
    <w:qFormat/>
    <w:rsid w:val="00A51EAD"/>
    <w:pPr>
      <w:outlineLvl w:val="1"/>
    </w:pPr>
  </w:style>
  <w:style w:type="paragraph" w:styleId="berschrift3">
    <w:name w:val="heading 3"/>
    <w:basedOn w:val="berschrift2"/>
    <w:next w:val="Standard"/>
    <w:link w:val="berschrift3Zchn"/>
    <w:uiPriority w:val="9"/>
    <w:unhideWhenUsed/>
    <w:qFormat/>
    <w:rsid w:val="00A51EAD"/>
    <w:pPr>
      <w:spacing w:line="360" w:lineRule="auto"/>
      <w:outlineLvl w:val="2"/>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semiHidden/>
    <w:rsid w:val="00256680"/>
    <w:rPr>
      <w:color w:val="0000FF"/>
      <w:u w:val="single"/>
    </w:rPr>
  </w:style>
  <w:style w:type="character" w:styleId="Fett">
    <w:name w:val="Strong"/>
    <w:basedOn w:val="Absatz-Standardschriftart"/>
    <w:qFormat/>
    <w:rsid w:val="00256680"/>
    <w:rPr>
      <w:b/>
      <w:bCs/>
    </w:rPr>
  </w:style>
  <w:style w:type="paragraph" w:customStyle="1" w:styleId="SOMContent">
    <w:name w:val="SOMContent"/>
    <w:basedOn w:val="Standard"/>
    <w:rsid w:val="00256680"/>
    <w:pPr>
      <w:spacing w:before="120"/>
    </w:pPr>
    <w:rPr>
      <w:szCs w:val="24"/>
    </w:rPr>
  </w:style>
  <w:style w:type="table" w:styleId="Tabellenraster">
    <w:name w:val="Table Grid"/>
    <w:basedOn w:val="NormaleTabelle"/>
    <w:uiPriority w:val="39"/>
    <w:rsid w:val="002566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D4276A"/>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4276A"/>
    <w:rPr>
      <w:rFonts w:ascii="Tahoma" w:eastAsia="Times New Roman" w:hAnsi="Tahoma" w:cs="Tahoma"/>
      <w:sz w:val="16"/>
      <w:szCs w:val="16"/>
      <w:lang w:val="en-US"/>
    </w:rPr>
  </w:style>
  <w:style w:type="paragraph" w:styleId="Kommentartext">
    <w:name w:val="annotation text"/>
    <w:basedOn w:val="Standard"/>
    <w:link w:val="KommentartextZchn"/>
    <w:uiPriority w:val="99"/>
    <w:semiHidden/>
    <w:unhideWhenUsed/>
    <w:rsid w:val="006B45B5"/>
    <w:rPr>
      <w:rFonts w:ascii="Tahoma" w:hAnsi="Tahoma" w:cs="Tahoma"/>
      <w:sz w:val="16"/>
    </w:rPr>
  </w:style>
  <w:style w:type="character" w:customStyle="1" w:styleId="KommentartextZchn">
    <w:name w:val="Kommentartext Zchn"/>
    <w:basedOn w:val="Absatz-Standardschriftart"/>
    <w:link w:val="Kommentartext"/>
    <w:uiPriority w:val="99"/>
    <w:semiHidden/>
    <w:rsid w:val="006B45B5"/>
    <w:rPr>
      <w:rFonts w:ascii="Tahoma" w:eastAsia="Times New Roman" w:hAnsi="Tahoma" w:cs="Tahoma"/>
      <w:sz w:val="16"/>
      <w:szCs w:val="20"/>
      <w:lang w:val="en-US"/>
    </w:rPr>
  </w:style>
  <w:style w:type="character" w:styleId="Kommentarzeichen">
    <w:name w:val="annotation reference"/>
    <w:basedOn w:val="Absatz-Standardschriftart"/>
    <w:uiPriority w:val="99"/>
    <w:semiHidden/>
    <w:unhideWhenUsed/>
    <w:rsid w:val="006B45B5"/>
    <w:rPr>
      <w:sz w:val="16"/>
      <w:szCs w:val="16"/>
    </w:rPr>
  </w:style>
  <w:style w:type="paragraph" w:styleId="Kommentarthema">
    <w:name w:val="annotation subject"/>
    <w:basedOn w:val="Kommentartext"/>
    <w:next w:val="Kommentartext"/>
    <w:link w:val="KommentarthemaZchn"/>
    <w:uiPriority w:val="99"/>
    <w:semiHidden/>
    <w:unhideWhenUsed/>
    <w:rsid w:val="006B45B5"/>
    <w:rPr>
      <w:rFonts w:ascii="Times New Roman" w:hAnsi="Times New Roman" w:cs="Times New Roman"/>
      <w:b/>
      <w:bCs/>
      <w:sz w:val="20"/>
    </w:rPr>
  </w:style>
  <w:style w:type="character" w:customStyle="1" w:styleId="KommentarthemaZchn">
    <w:name w:val="Kommentarthema Zchn"/>
    <w:basedOn w:val="KommentartextZchn"/>
    <w:link w:val="Kommentarthema"/>
    <w:uiPriority w:val="99"/>
    <w:semiHidden/>
    <w:rsid w:val="006B45B5"/>
    <w:rPr>
      <w:rFonts w:ascii="Times New Roman" w:eastAsia="Times New Roman" w:hAnsi="Times New Roman" w:cs="Times New Roman"/>
      <w:b/>
      <w:bCs/>
      <w:sz w:val="20"/>
      <w:szCs w:val="20"/>
      <w:lang w:val="en-US"/>
    </w:rPr>
  </w:style>
  <w:style w:type="character" w:customStyle="1" w:styleId="berschrift1Zchn">
    <w:name w:val="Überschrift 1 Zchn"/>
    <w:basedOn w:val="Absatz-Standardschriftart"/>
    <w:link w:val="berschrift1"/>
    <w:uiPriority w:val="9"/>
    <w:rsid w:val="00A51EAD"/>
    <w:rPr>
      <w:rFonts w:ascii="Times New Roman" w:eastAsia="Times New Roman" w:hAnsi="Times New Roman" w:cs="Times New Roman"/>
      <w:b/>
      <w:color w:val="000000" w:themeColor="text1"/>
      <w:szCs w:val="20"/>
      <w:lang w:val="en-GB"/>
    </w:rPr>
  </w:style>
  <w:style w:type="character" w:customStyle="1" w:styleId="berschrift2Zchn">
    <w:name w:val="Überschrift 2 Zchn"/>
    <w:basedOn w:val="Absatz-Standardschriftart"/>
    <w:link w:val="berschrift2"/>
    <w:uiPriority w:val="9"/>
    <w:rsid w:val="00A51EAD"/>
    <w:rPr>
      <w:rFonts w:ascii="Times New Roman" w:eastAsia="Times New Roman" w:hAnsi="Times New Roman" w:cs="Times New Roman"/>
      <w:b/>
      <w:color w:val="000000" w:themeColor="text1"/>
      <w:szCs w:val="20"/>
      <w:lang w:val="en-GB"/>
    </w:rPr>
  </w:style>
  <w:style w:type="character" w:customStyle="1" w:styleId="berschrift3Zchn">
    <w:name w:val="Überschrift 3 Zchn"/>
    <w:basedOn w:val="Absatz-Standardschriftart"/>
    <w:link w:val="berschrift3"/>
    <w:uiPriority w:val="9"/>
    <w:rsid w:val="00A51EAD"/>
    <w:rPr>
      <w:rFonts w:ascii="Times New Roman" w:eastAsia="Times New Roman" w:hAnsi="Times New Roman" w:cs="Times New Roman"/>
      <w:b/>
      <w:color w:val="000000" w:themeColor="text1"/>
      <w:szCs w:val="20"/>
      <w:lang w:val="en-GB"/>
    </w:rPr>
  </w:style>
  <w:style w:type="paragraph" w:customStyle="1" w:styleId="Paper">
    <w:name w:val="Paper"/>
    <w:basedOn w:val="Standard"/>
    <w:qFormat/>
    <w:rsid w:val="00AE7790"/>
    <w:pPr>
      <w:spacing w:line="480" w:lineRule="auto"/>
      <w:jc w:val="both"/>
    </w:pPr>
    <w:rPr>
      <w:rFonts w:ascii="Tahoma" w:hAnsi="Tahoma"/>
      <w:sz w:val="22"/>
      <w:szCs w:val="24"/>
      <w:lang w:val="de-DE" w:eastAsia="de-DE"/>
    </w:rPr>
  </w:style>
  <w:style w:type="paragraph" w:styleId="berarbeitung">
    <w:name w:val="Revision"/>
    <w:hidden/>
    <w:uiPriority w:val="99"/>
    <w:semiHidden/>
    <w:rsid w:val="001A7975"/>
    <w:rPr>
      <w:rFonts w:ascii="Times New Roman" w:eastAsia="Times New Roman" w:hAnsi="Times New Roman" w:cs="Times New Roman"/>
      <w:szCs w:val="20"/>
      <w:lang w:val="en-US"/>
    </w:rPr>
  </w:style>
  <w:style w:type="paragraph" w:styleId="Fuzeile">
    <w:name w:val="footer"/>
    <w:basedOn w:val="Standard"/>
    <w:link w:val="FuzeileZchn"/>
    <w:uiPriority w:val="99"/>
    <w:unhideWhenUsed/>
    <w:rsid w:val="0084783F"/>
    <w:pPr>
      <w:tabs>
        <w:tab w:val="center" w:pos="4536"/>
        <w:tab w:val="right" w:pos="9072"/>
      </w:tabs>
    </w:pPr>
  </w:style>
  <w:style w:type="character" w:customStyle="1" w:styleId="FuzeileZchn">
    <w:name w:val="Fußzeile Zchn"/>
    <w:basedOn w:val="Absatz-Standardschriftart"/>
    <w:link w:val="Fuzeile"/>
    <w:uiPriority w:val="99"/>
    <w:rsid w:val="0084783F"/>
    <w:rPr>
      <w:rFonts w:ascii="Times New Roman" w:eastAsia="Times New Roman" w:hAnsi="Times New Roman" w:cs="Times New Roman"/>
      <w:szCs w:val="20"/>
      <w:lang w:val="en-US"/>
    </w:rPr>
  </w:style>
  <w:style w:type="character" w:styleId="Seitenzahl">
    <w:name w:val="page number"/>
    <w:basedOn w:val="Absatz-Standardschriftart"/>
    <w:uiPriority w:val="99"/>
    <w:semiHidden/>
    <w:unhideWhenUsed/>
    <w:rsid w:val="0084783F"/>
  </w:style>
  <w:style w:type="paragraph" w:styleId="Listenabsatz">
    <w:name w:val="List Paragraph"/>
    <w:basedOn w:val="Standard"/>
    <w:uiPriority w:val="34"/>
    <w:qFormat/>
    <w:rsid w:val="006C44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1737291">
      <w:bodyDiv w:val="1"/>
      <w:marLeft w:val="0"/>
      <w:marRight w:val="0"/>
      <w:marTop w:val="0"/>
      <w:marBottom w:val="0"/>
      <w:divBdr>
        <w:top w:val="none" w:sz="0" w:space="0" w:color="auto"/>
        <w:left w:val="none" w:sz="0" w:space="0" w:color="auto"/>
        <w:bottom w:val="none" w:sz="0" w:space="0" w:color="auto"/>
        <w:right w:val="none" w:sz="0" w:space="0" w:color="auto"/>
      </w:divBdr>
    </w:div>
    <w:div w:id="1842694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Relationship Id="rId13" Type="http://schemas.openxmlformats.org/officeDocument/2006/relationships/image" Target="media/image6.tiff"/><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tif"/><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ti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Relationship Id="rId5" Type="http://schemas.openxmlformats.org/officeDocument/2006/relationships/webSettings" Target="webSettings.xml"/><Relationship Id="rId15" Type="http://schemas.openxmlformats.org/officeDocument/2006/relationships/image" Target="media/image8.tif"/><Relationship Id="rId10" Type="http://schemas.openxmlformats.org/officeDocument/2006/relationships/image" Target="media/image3.ti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tif"/><Relationship Id="rId14" Type="http://schemas.openxmlformats.org/officeDocument/2006/relationships/image" Target="media/image7.tif"/></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247942-0540-C447-8EE7-C19D6B737A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1662</Words>
  <Characters>10474</Characters>
  <Application>Microsoft Office Word</Application>
  <DocSecurity>0</DocSecurity>
  <Lines>87</Lines>
  <Paragraphs>24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Springer-SBM</Company>
  <LinksUpToDate>false</LinksUpToDate>
  <CharactersWithSpaces>12112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Microsoft Office-Benutzer</cp:lastModifiedBy>
  <cp:revision>7</cp:revision>
  <dcterms:created xsi:type="dcterms:W3CDTF">2018-12-03T12:18:00Z</dcterms:created>
  <dcterms:modified xsi:type="dcterms:W3CDTF">2018-12-04T11:50:00Z</dcterms:modified>
</cp:coreProperties>
</file>