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551AC" w14:textId="2BF9C90D" w:rsidR="0073619D" w:rsidRDefault="00D424E6" w:rsidP="0034010C">
      <w:pPr>
        <w:spacing w:line="480" w:lineRule="auto"/>
        <w:rPr>
          <w:rFonts w:ascii="Arial" w:hAnsi="Arial" w:cs="Arial"/>
          <w:b/>
          <w:sz w:val="24"/>
          <w:szCs w:val="24"/>
        </w:rPr>
      </w:pPr>
      <w:r>
        <w:rPr>
          <w:rFonts w:ascii="Arial" w:hAnsi="Arial" w:cs="Arial"/>
          <w:b/>
          <w:sz w:val="24"/>
          <w:szCs w:val="24"/>
        </w:rPr>
        <w:t xml:space="preserve">AAV2.7m8 </w:t>
      </w:r>
      <w:r w:rsidR="00F052A5">
        <w:rPr>
          <w:rFonts w:ascii="Arial" w:hAnsi="Arial" w:cs="Arial"/>
          <w:b/>
          <w:sz w:val="24"/>
          <w:szCs w:val="24"/>
        </w:rPr>
        <w:t>is a powerful viral vector for inner ear gene therapy</w:t>
      </w:r>
    </w:p>
    <w:p w14:paraId="073F5D16" w14:textId="363B1B3A" w:rsidR="001957F6" w:rsidRPr="0034010C" w:rsidRDefault="0034010C" w:rsidP="00C723A1">
      <w:pPr>
        <w:spacing w:line="480" w:lineRule="auto"/>
        <w:rPr>
          <w:rFonts w:ascii="Arial" w:hAnsi="Arial" w:cs="Arial"/>
          <w:sz w:val="24"/>
          <w:szCs w:val="24"/>
        </w:rPr>
      </w:pPr>
      <w:r>
        <w:rPr>
          <w:rFonts w:ascii="Arial" w:hAnsi="Arial" w:cs="Arial"/>
          <w:b/>
          <w:sz w:val="24"/>
          <w:szCs w:val="24"/>
        </w:rPr>
        <w:t>Supplementary file</w:t>
      </w:r>
    </w:p>
    <w:p w14:paraId="0C280672" w14:textId="04EB7E69" w:rsidR="006152D3" w:rsidRDefault="006152D3" w:rsidP="00C723A1">
      <w:pPr>
        <w:spacing w:line="480" w:lineRule="auto"/>
        <w:rPr>
          <w:rFonts w:ascii="Arial" w:hAnsi="Arial" w:cs="Arial"/>
          <w:b/>
          <w:sz w:val="24"/>
          <w:szCs w:val="24"/>
        </w:rPr>
      </w:pPr>
      <w:r>
        <w:rPr>
          <w:rFonts w:ascii="Arial" w:hAnsi="Arial" w:cs="Arial"/>
          <w:b/>
          <w:sz w:val="24"/>
          <w:szCs w:val="24"/>
        </w:rPr>
        <w:t>Supplementary Figure 1</w:t>
      </w:r>
    </w:p>
    <w:p w14:paraId="66175511" w14:textId="3E453E6B" w:rsidR="0085564B" w:rsidRDefault="0085564B" w:rsidP="00C723A1">
      <w:pPr>
        <w:spacing w:line="480" w:lineRule="auto"/>
        <w:rPr>
          <w:rFonts w:ascii="Arial" w:hAnsi="Arial" w:cs="Arial"/>
          <w:b/>
          <w:sz w:val="24"/>
          <w:szCs w:val="24"/>
        </w:rPr>
      </w:pPr>
      <w:r>
        <w:rPr>
          <w:rFonts w:ascii="Arial" w:hAnsi="Arial" w:cs="Arial"/>
          <w:b/>
          <w:noProof/>
          <w:sz w:val="24"/>
          <w:szCs w:val="24"/>
        </w:rPr>
        <w:drawing>
          <wp:inline distT="0" distB="0" distL="0" distR="0" wp14:anchorId="017865F1" wp14:editId="6AEB9523">
            <wp:extent cx="543877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m8_adult.tif"/>
                    <pic:cNvPicPr/>
                  </pic:nvPicPr>
                  <pic:blipFill rotWithShape="1">
                    <a:blip r:embed="rId7">
                      <a:extLst>
                        <a:ext uri="{28A0092B-C50C-407E-A947-70E740481C1C}">
                          <a14:useLocalDpi xmlns:a14="http://schemas.microsoft.com/office/drawing/2010/main" val="0"/>
                        </a:ext>
                      </a:extLst>
                    </a:blip>
                    <a:srcRect l="5129" t="31837" r="3364" b="41880"/>
                    <a:stretch/>
                  </pic:blipFill>
                  <pic:spPr bwMode="auto">
                    <a:xfrm>
                      <a:off x="0" y="0"/>
                      <a:ext cx="5438775" cy="1171575"/>
                    </a:xfrm>
                    <a:prstGeom prst="rect">
                      <a:avLst/>
                    </a:prstGeom>
                    <a:ln>
                      <a:noFill/>
                    </a:ln>
                    <a:extLst>
                      <a:ext uri="{53640926-AAD7-44D8-BBD7-CCE9431645EC}">
                        <a14:shadowObscured xmlns:a14="http://schemas.microsoft.com/office/drawing/2010/main"/>
                      </a:ext>
                    </a:extLst>
                  </pic:spPr>
                </pic:pic>
              </a:graphicData>
            </a:graphic>
          </wp:inline>
        </w:drawing>
      </w:r>
    </w:p>
    <w:p w14:paraId="3225CE77" w14:textId="4E6F3324" w:rsidR="0085564B" w:rsidRPr="004A5887" w:rsidRDefault="0085564B" w:rsidP="00E0336E">
      <w:pPr>
        <w:spacing w:line="240" w:lineRule="auto"/>
        <w:rPr>
          <w:rFonts w:ascii="Arial" w:hAnsi="Arial" w:cs="Arial"/>
          <w:sz w:val="24"/>
          <w:szCs w:val="24"/>
        </w:rPr>
      </w:pPr>
      <w:r w:rsidRPr="004A5887">
        <w:rPr>
          <w:rFonts w:ascii="Arial" w:hAnsi="Arial" w:cs="Arial"/>
          <w:b/>
          <w:sz w:val="24"/>
          <w:szCs w:val="24"/>
        </w:rPr>
        <w:t>Supplementary Figure 1:</w:t>
      </w:r>
      <w:r w:rsidRPr="004A5887">
        <w:rPr>
          <w:rFonts w:ascii="Arial" w:hAnsi="Arial" w:cs="Arial"/>
          <w:sz w:val="24"/>
          <w:szCs w:val="24"/>
        </w:rPr>
        <w:t xml:space="preserve"> </w:t>
      </w:r>
      <w:r w:rsidRPr="004A5887">
        <w:rPr>
          <w:rFonts w:ascii="Arial" w:hAnsi="Arial" w:cs="Arial"/>
          <w:b/>
          <w:sz w:val="24"/>
          <w:szCs w:val="24"/>
        </w:rPr>
        <w:t xml:space="preserve">AAV2.7m8 infects adult mouse cochlear hair cells with high efficiency. </w:t>
      </w:r>
      <w:r w:rsidRPr="004A5887">
        <w:rPr>
          <w:rFonts w:ascii="Arial" w:hAnsi="Arial" w:cs="Arial"/>
          <w:sz w:val="24"/>
          <w:szCs w:val="24"/>
        </w:rPr>
        <w:t>Confocal images of the co</w:t>
      </w:r>
      <w:r w:rsidR="001C17B7" w:rsidRPr="004A5887">
        <w:rPr>
          <w:rFonts w:ascii="Arial" w:hAnsi="Arial" w:cs="Arial"/>
          <w:sz w:val="24"/>
          <w:szCs w:val="24"/>
        </w:rPr>
        <w:t>chlear middle turn from a</w:t>
      </w:r>
      <w:r w:rsidR="00A4495F" w:rsidRPr="004A5887">
        <w:rPr>
          <w:rFonts w:ascii="Arial" w:hAnsi="Arial" w:cs="Arial"/>
          <w:sz w:val="24"/>
          <w:szCs w:val="24"/>
        </w:rPr>
        <w:t xml:space="preserve">n adult </w:t>
      </w:r>
      <w:r w:rsidRPr="004A5887">
        <w:rPr>
          <w:rFonts w:ascii="Arial" w:hAnsi="Arial" w:cs="Arial"/>
          <w:sz w:val="24"/>
          <w:szCs w:val="24"/>
        </w:rPr>
        <w:t xml:space="preserve">CBA/J mouse </w:t>
      </w:r>
      <w:r w:rsidR="003E39C1" w:rsidRPr="004A5887">
        <w:rPr>
          <w:rFonts w:ascii="Arial" w:hAnsi="Arial" w:cs="Arial"/>
          <w:sz w:val="24"/>
          <w:szCs w:val="24"/>
        </w:rPr>
        <w:t xml:space="preserve">(6 month old) </w:t>
      </w:r>
      <w:r w:rsidRPr="004A5887">
        <w:rPr>
          <w:rFonts w:ascii="Arial" w:hAnsi="Arial" w:cs="Arial"/>
          <w:sz w:val="24"/>
          <w:szCs w:val="24"/>
        </w:rPr>
        <w:t>injected with AAV2.7m8-GFP</w:t>
      </w:r>
      <w:r w:rsidR="001C17B7" w:rsidRPr="004A5887">
        <w:rPr>
          <w:rFonts w:ascii="Arial" w:hAnsi="Arial" w:cs="Arial"/>
          <w:sz w:val="24"/>
          <w:szCs w:val="24"/>
        </w:rPr>
        <w:t xml:space="preserve"> via the round window approach</w:t>
      </w:r>
      <w:r w:rsidRPr="004A5887">
        <w:rPr>
          <w:rFonts w:ascii="Arial" w:hAnsi="Arial" w:cs="Arial"/>
          <w:sz w:val="24"/>
          <w:szCs w:val="24"/>
        </w:rPr>
        <w:t xml:space="preserve">. </w:t>
      </w:r>
      <w:r w:rsidR="001C17B7" w:rsidRPr="004A5887">
        <w:rPr>
          <w:rFonts w:ascii="Arial" w:hAnsi="Arial" w:cs="Arial"/>
          <w:sz w:val="24"/>
          <w:szCs w:val="24"/>
        </w:rPr>
        <w:t xml:space="preserve">Robust </w:t>
      </w:r>
      <w:r w:rsidRPr="004A5887">
        <w:rPr>
          <w:rFonts w:ascii="Arial" w:hAnsi="Arial" w:cs="Arial"/>
          <w:sz w:val="24"/>
          <w:szCs w:val="24"/>
        </w:rPr>
        <w:t xml:space="preserve">GFP expression is seen in both IHCs and OHCs, indicating high infection efficiency. </w:t>
      </w:r>
      <w:r w:rsidR="001C17B7" w:rsidRPr="004A5887">
        <w:rPr>
          <w:rFonts w:ascii="Arial" w:hAnsi="Arial" w:cs="Arial"/>
          <w:sz w:val="24"/>
          <w:szCs w:val="24"/>
        </w:rPr>
        <w:t xml:space="preserve">GFP expression is shown in green, and Myo7a expression (a marker for hair cells) is shown in red. </w:t>
      </w:r>
      <w:r w:rsidRPr="004A5887">
        <w:rPr>
          <w:rFonts w:ascii="Arial" w:hAnsi="Arial" w:cs="Arial"/>
          <w:sz w:val="24"/>
          <w:szCs w:val="24"/>
        </w:rPr>
        <w:t xml:space="preserve">Scale bar represents </w:t>
      </w:r>
      <w:r w:rsidR="007172A9" w:rsidRPr="004A5887">
        <w:rPr>
          <w:rFonts w:ascii="Arial" w:hAnsi="Arial" w:cs="Arial"/>
          <w:sz w:val="24"/>
          <w:szCs w:val="24"/>
        </w:rPr>
        <w:t xml:space="preserve">20 </w:t>
      </w:r>
      <w:r w:rsidR="007172A9" w:rsidRPr="004A5887">
        <w:rPr>
          <w:rFonts w:ascii="Symbol" w:hAnsi="Symbol" w:cs="Arial"/>
          <w:sz w:val="24"/>
          <w:szCs w:val="24"/>
        </w:rPr>
        <w:t></w:t>
      </w:r>
      <w:r w:rsidR="007172A9" w:rsidRPr="004A5887">
        <w:rPr>
          <w:rFonts w:ascii="Arial" w:hAnsi="Arial" w:cs="Arial"/>
          <w:sz w:val="24"/>
          <w:szCs w:val="24"/>
        </w:rPr>
        <w:t xml:space="preserve">m. </w:t>
      </w:r>
    </w:p>
    <w:p w14:paraId="29B22E2F" w14:textId="7F9E335C" w:rsidR="0085564B" w:rsidRDefault="0085564B" w:rsidP="00C723A1">
      <w:pPr>
        <w:spacing w:line="480" w:lineRule="auto"/>
        <w:rPr>
          <w:rFonts w:ascii="Arial" w:hAnsi="Arial" w:cs="Arial"/>
          <w:b/>
          <w:sz w:val="24"/>
          <w:szCs w:val="24"/>
        </w:rPr>
      </w:pPr>
    </w:p>
    <w:p w14:paraId="732539FE" w14:textId="6DBE3F41" w:rsidR="0085564B" w:rsidRDefault="0085564B" w:rsidP="00C723A1">
      <w:pPr>
        <w:spacing w:line="480" w:lineRule="auto"/>
        <w:rPr>
          <w:rFonts w:ascii="Arial" w:hAnsi="Arial" w:cs="Arial"/>
          <w:b/>
          <w:sz w:val="24"/>
          <w:szCs w:val="24"/>
        </w:rPr>
      </w:pPr>
    </w:p>
    <w:p w14:paraId="368DA457" w14:textId="1847E4D3" w:rsidR="0085564B" w:rsidRDefault="0085564B" w:rsidP="00C723A1">
      <w:pPr>
        <w:spacing w:line="480" w:lineRule="auto"/>
        <w:rPr>
          <w:rFonts w:ascii="Arial" w:hAnsi="Arial" w:cs="Arial"/>
          <w:b/>
          <w:sz w:val="24"/>
          <w:szCs w:val="24"/>
        </w:rPr>
      </w:pPr>
    </w:p>
    <w:p w14:paraId="1922217C" w14:textId="411F852F" w:rsidR="0085564B" w:rsidRDefault="0085564B" w:rsidP="00C723A1">
      <w:pPr>
        <w:spacing w:line="480" w:lineRule="auto"/>
        <w:rPr>
          <w:rFonts w:ascii="Arial" w:hAnsi="Arial" w:cs="Arial"/>
          <w:b/>
          <w:sz w:val="24"/>
          <w:szCs w:val="24"/>
        </w:rPr>
      </w:pPr>
    </w:p>
    <w:p w14:paraId="71452880" w14:textId="66B207DC" w:rsidR="0085564B" w:rsidRDefault="0085564B" w:rsidP="00C723A1">
      <w:pPr>
        <w:spacing w:line="480" w:lineRule="auto"/>
        <w:rPr>
          <w:rFonts w:ascii="Arial" w:hAnsi="Arial" w:cs="Arial"/>
          <w:b/>
          <w:sz w:val="24"/>
          <w:szCs w:val="24"/>
        </w:rPr>
      </w:pPr>
    </w:p>
    <w:p w14:paraId="56E4600F" w14:textId="626F7A00" w:rsidR="0085564B" w:rsidRDefault="0085564B" w:rsidP="00C723A1">
      <w:pPr>
        <w:spacing w:line="480" w:lineRule="auto"/>
        <w:rPr>
          <w:rFonts w:ascii="Arial" w:hAnsi="Arial" w:cs="Arial"/>
          <w:b/>
          <w:sz w:val="24"/>
          <w:szCs w:val="24"/>
        </w:rPr>
      </w:pPr>
    </w:p>
    <w:p w14:paraId="69A8483C" w14:textId="44B24329" w:rsidR="0085564B" w:rsidRDefault="0085564B" w:rsidP="00C723A1">
      <w:pPr>
        <w:spacing w:line="480" w:lineRule="auto"/>
        <w:rPr>
          <w:rFonts w:ascii="Arial" w:hAnsi="Arial" w:cs="Arial"/>
          <w:b/>
          <w:sz w:val="24"/>
          <w:szCs w:val="24"/>
        </w:rPr>
      </w:pPr>
    </w:p>
    <w:p w14:paraId="05C7500B" w14:textId="7A1FAD4C" w:rsidR="0085564B" w:rsidRDefault="0085564B" w:rsidP="00C723A1">
      <w:pPr>
        <w:spacing w:line="480" w:lineRule="auto"/>
        <w:rPr>
          <w:rFonts w:ascii="Arial" w:hAnsi="Arial" w:cs="Arial"/>
          <w:b/>
          <w:sz w:val="24"/>
          <w:szCs w:val="24"/>
        </w:rPr>
      </w:pPr>
    </w:p>
    <w:p w14:paraId="2C482BE1" w14:textId="1E07886B" w:rsidR="0085564B" w:rsidRDefault="0085564B" w:rsidP="00C723A1">
      <w:pPr>
        <w:spacing w:line="480" w:lineRule="auto"/>
        <w:rPr>
          <w:rFonts w:ascii="Arial" w:hAnsi="Arial" w:cs="Arial"/>
          <w:b/>
          <w:sz w:val="24"/>
          <w:szCs w:val="24"/>
        </w:rPr>
      </w:pPr>
    </w:p>
    <w:p w14:paraId="4FDCE0A5" w14:textId="77777777" w:rsidR="00E0336E" w:rsidRDefault="00E0336E" w:rsidP="00C723A1">
      <w:pPr>
        <w:spacing w:line="480" w:lineRule="auto"/>
        <w:rPr>
          <w:rFonts w:ascii="Arial" w:hAnsi="Arial" w:cs="Arial"/>
          <w:b/>
          <w:sz w:val="24"/>
          <w:szCs w:val="24"/>
        </w:rPr>
      </w:pPr>
    </w:p>
    <w:p w14:paraId="6F2383EC" w14:textId="72071DAC" w:rsidR="0085564B" w:rsidRDefault="0085564B" w:rsidP="00C723A1">
      <w:pPr>
        <w:spacing w:line="480" w:lineRule="auto"/>
        <w:rPr>
          <w:rFonts w:ascii="Arial" w:hAnsi="Arial" w:cs="Arial"/>
          <w:b/>
          <w:sz w:val="24"/>
          <w:szCs w:val="24"/>
        </w:rPr>
      </w:pPr>
      <w:r>
        <w:rPr>
          <w:rFonts w:ascii="Arial" w:hAnsi="Arial" w:cs="Arial"/>
          <w:b/>
          <w:sz w:val="24"/>
          <w:szCs w:val="24"/>
        </w:rPr>
        <w:lastRenderedPageBreak/>
        <w:t>Supplementary Figure 2</w:t>
      </w:r>
    </w:p>
    <w:p w14:paraId="768C0C51" w14:textId="3028B0F5" w:rsidR="006152D3" w:rsidRDefault="003F6EAC" w:rsidP="00C723A1">
      <w:pPr>
        <w:spacing w:line="480" w:lineRule="auto"/>
        <w:rPr>
          <w:rFonts w:ascii="Arial" w:hAnsi="Arial" w:cs="Arial"/>
          <w:b/>
          <w:sz w:val="24"/>
          <w:szCs w:val="24"/>
        </w:rPr>
      </w:pPr>
      <w:r>
        <w:rPr>
          <w:rFonts w:ascii="Arial" w:hAnsi="Arial" w:cs="Arial"/>
          <w:b/>
          <w:noProof/>
          <w:sz w:val="24"/>
          <w:szCs w:val="24"/>
        </w:rPr>
        <w:drawing>
          <wp:inline distT="0" distB="0" distL="0" distR="0" wp14:anchorId="24198291" wp14:editId="224C246E">
            <wp:extent cx="5760720" cy="46789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Fig2_fin.tif"/>
                    <pic:cNvPicPr/>
                  </pic:nvPicPr>
                  <pic:blipFill rotWithShape="1">
                    <a:blip r:embed="rId8">
                      <a:extLst>
                        <a:ext uri="{28A0092B-C50C-407E-A947-70E740481C1C}">
                          <a14:useLocalDpi xmlns:a14="http://schemas.microsoft.com/office/drawing/2010/main" val="0"/>
                        </a:ext>
                      </a:extLst>
                    </a:blip>
                    <a:srcRect l="5350" t="20023" r="3704" b="38426"/>
                    <a:stretch/>
                  </pic:blipFill>
                  <pic:spPr bwMode="auto">
                    <a:xfrm>
                      <a:off x="0" y="0"/>
                      <a:ext cx="5760720" cy="4678956"/>
                    </a:xfrm>
                    <a:prstGeom prst="rect">
                      <a:avLst/>
                    </a:prstGeom>
                    <a:ln>
                      <a:noFill/>
                    </a:ln>
                    <a:extLst>
                      <a:ext uri="{53640926-AAD7-44D8-BBD7-CCE9431645EC}">
                        <a14:shadowObscured xmlns:a14="http://schemas.microsoft.com/office/drawing/2010/main"/>
                      </a:ext>
                    </a:extLst>
                  </pic:spPr>
                </pic:pic>
              </a:graphicData>
            </a:graphic>
          </wp:inline>
        </w:drawing>
      </w:r>
    </w:p>
    <w:p w14:paraId="3A5E8F05" w14:textId="0731FC48" w:rsidR="0073619D" w:rsidRDefault="0073619D" w:rsidP="0073619D">
      <w:pPr>
        <w:spacing w:line="240" w:lineRule="auto"/>
        <w:rPr>
          <w:rFonts w:ascii="Arial" w:hAnsi="Arial" w:cs="Arial"/>
          <w:sz w:val="24"/>
          <w:szCs w:val="24"/>
        </w:rPr>
      </w:pPr>
      <w:r w:rsidRPr="00E02415">
        <w:rPr>
          <w:rFonts w:ascii="Arial" w:hAnsi="Arial" w:cs="Arial"/>
          <w:b/>
          <w:sz w:val="24"/>
          <w:szCs w:val="24"/>
        </w:rPr>
        <w:t>Supplementar</w:t>
      </w:r>
      <w:r w:rsidR="0085564B">
        <w:rPr>
          <w:rFonts w:ascii="Arial" w:hAnsi="Arial" w:cs="Arial"/>
          <w:b/>
          <w:sz w:val="24"/>
          <w:szCs w:val="24"/>
        </w:rPr>
        <w:t>y Figure 2</w:t>
      </w:r>
      <w:r w:rsidRPr="00E02415">
        <w:rPr>
          <w:rFonts w:ascii="Arial" w:hAnsi="Arial" w:cs="Arial"/>
          <w:b/>
          <w:sz w:val="24"/>
          <w:szCs w:val="24"/>
        </w:rPr>
        <w:t>:</w:t>
      </w:r>
      <w:r>
        <w:rPr>
          <w:rFonts w:ascii="Arial" w:hAnsi="Arial" w:cs="Arial"/>
          <w:sz w:val="24"/>
          <w:szCs w:val="24"/>
        </w:rPr>
        <w:t xml:space="preserve"> </w:t>
      </w:r>
      <w:r w:rsidRPr="002B6B42">
        <w:rPr>
          <w:rFonts w:ascii="Arial" w:hAnsi="Arial" w:cs="Arial"/>
          <w:b/>
          <w:sz w:val="24"/>
          <w:szCs w:val="24"/>
        </w:rPr>
        <w:t xml:space="preserve">AAV2.7m8 infects </w:t>
      </w:r>
      <w:r>
        <w:rPr>
          <w:rFonts w:ascii="Arial" w:hAnsi="Arial" w:cs="Arial"/>
          <w:b/>
          <w:sz w:val="24"/>
          <w:szCs w:val="24"/>
        </w:rPr>
        <w:t>inner pillar cells and inner phalangeal</w:t>
      </w:r>
      <w:r w:rsidRPr="002B6B42">
        <w:rPr>
          <w:rFonts w:ascii="Arial" w:hAnsi="Arial" w:cs="Arial"/>
          <w:b/>
          <w:sz w:val="24"/>
          <w:szCs w:val="24"/>
        </w:rPr>
        <w:t xml:space="preserve"> cells with high efficiency.</w:t>
      </w:r>
      <w:r>
        <w:rPr>
          <w:rFonts w:ascii="Arial" w:hAnsi="Arial" w:cs="Arial"/>
          <w:b/>
          <w:sz w:val="24"/>
          <w:szCs w:val="24"/>
        </w:rPr>
        <w:t xml:space="preserve"> (</w:t>
      </w:r>
      <w:proofErr w:type="gramStart"/>
      <w:r>
        <w:rPr>
          <w:rFonts w:ascii="Arial" w:hAnsi="Arial" w:cs="Arial"/>
          <w:b/>
          <w:sz w:val="24"/>
          <w:szCs w:val="24"/>
        </w:rPr>
        <w:t>a-e</w:t>
      </w:r>
      <w:proofErr w:type="gramEnd"/>
      <w:r>
        <w:rPr>
          <w:rFonts w:ascii="Arial" w:hAnsi="Arial" w:cs="Arial"/>
          <w:b/>
          <w:sz w:val="24"/>
          <w:szCs w:val="24"/>
        </w:rPr>
        <w:t xml:space="preserve">) </w:t>
      </w:r>
      <w:r w:rsidRPr="00BA3FBA">
        <w:rPr>
          <w:rFonts w:ascii="Arial" w:hAnsi="Arial" w:cs="Arial"/>
          <w:sz w:val="24"/>
          <w:szCs w:val="24"/>
        </w:rPr>
        <w:t>Representative</w:t>
      </w:r>
      <w:r>
        <w:rPr>
          <w:rFonts w:ascii="Arial" w:hAnsi="Arial" w:cs="Arial"/>
          <w:b/>
          <w:sz w:val="24"/>
          <w:szCs w:val="24"/>
        </w:rPr>
        <w:t xml:space="preserve"> </w:t>
      </w:r>
      <w:r>
        <w:rPr>
          <w:rFonts w:ascii="Arial" w:hAnsi="Arial" w:cs="Arial"/>
          <w:sz w:val="24"/>
          <w:szCs w:val="24"/>
        </w:rPr>
        <w:t>w</w:t>
      </w:r>
      <w:r w:rsidRPr="00BA3FBA">
        <w:rPr>
          <w:rFonts w:ascii="Arial" w:hAnsi="Arial" w:cs="Arial"/>
          <w:sz w:val="24"/>
          <w:szCs w:val="24"/>
        </w:rPr>
        <w:t>hole</w:t>
      </w:r>
      <w:r>
        <w:rPr>
          <w:rFonts w:ascii="Arial" w:hAnsi="Arial" w:cs="Arial"/>
          <w:sz w:val="24"/>
          <w:szCs w:val="24"/>
        </w:rPr>
        <w:t xml:space="preserve"> mount images of the cochlear apex from a mouse that underwent AAV2.7m8-GFP injection via the posterior semicircular canal approach. The inner pillar cells and inner phalangeal cells showed high levels of GFP expression. GFP expression is shown in green, Myo7a expression (a marker for hair cells) is shown in red, acetylated tubulin expression is shown in magenta (a marker for supporting cells), and Hoechst stain is shown in blue (marker for nuclei). 40x images are shown.</w:t>
      </w:r>
      <w:r w:rsidR="00730671">
        <w:rPr>
          <w:rFonts w:ascii="Arial" w:hAnsi="Arial" w:cs="Arial"/>
          <w:sz w:val="24"/>
          <w:szCs w:val="24"/>
        </w:rPr>
        <w:t xml:space="preserve"> </w:t>
      </w:r>
      <w:r w:rsidR="00730671" w:rsidRPr="0034010C">
        <w:rPr>
          <w:rFonts w:ascii="Arial" w:hAnsi="Arial" w:cs="Arial"/>
          <w:sz w:val="24"/>
          <w:szCs w:val="24"/>
        </w:rPr>
        <w:t xml:space="preserve">Scale bar represents 10 </w:t>
      </w:r>
      <w:r w:rsidR="00730671" w:rsidRPr="0034010C">
        <w:rPr>
          <w:rFonts w:ascii="Symbol" w:hAnsi="Symbol" w:cs="Arial"/>
          <w:sz w:val="24"/>
          <w:szCs w:val="24"/>
        </w:rPr>
        <w:t></w:t>
      </w:r>
      <w:r w:rsidR="00730671" w:rsidRPr="0034010C">
        <w:rPr>
          <w:rFonts w:ascii="Arial" w:hAnsi="Arial" w:cs="Arial"/>
          <w:sz w:val="24"/>
          <w:szCs w:val="24"/>
        </w:rPr>
        <w:t xml:space="preserve">m. </w:t>
      </w:r>
      <w:r w:rsidRPr="0034010C">
        <w:rPr>
          <w:rFonts w:ascii="Arial" w:hAnsi="Arial" w:cs="Arial"/>
          <w:b/>
          <w:sz w:val="24"/>
          <w:szCs w:val="24"/>
        </w:rPr>
        <w:t>(f)</w:t>
      </w:r>
      <w:r w:rsidRPr="0034010C">
        <w:rPr>
          <w:rFonts w:ascii="Arial" w:hAnsi="Arial" w:cs="Arial"/>
          <w:sz w:val="24"/>
          <w:szCs w:val="24"/>
        </w:rPr>
        <w:t xml:space="preserve"> Orthogonal projection of the same image showing inner pillar cells and inner phalangeal cells with robust GFP expression. Images of the cochlear apex are shown.  </w:t>
      </w:r>
      <w:r w:rsidRPr="0034010C">
        <w:rPr>
          <w:rFonts w:ascii="Arial" w:hAnsi="Arial" w:cs="Arial"/>
          <w:b/>
          <w:sz w:val="24"/>
          <w:szCs w:val="24"/>
        </w:rPr>
        <w:t>(</w:t>
      </w:r>
      <w:proofErr w:type="gramStart"/>
      <w:r w:rsidRPr="0034010C">
        <w:rPr>
          <w:rFonts w:ascii="Arial" w:hAnsi="Arial" w:cs="Arial"/>
          <w:b/>
          <w:sz w:val="24"/>
          <w:szCs w:val="24"/>
        </w:rPr>
        <w:t>g</w:t>
      </w:r>
      <w:proofErr w:type="gramEnd"/>
      <w:r w:rsidRPr="0034010C">
        <w:rPr>
          <w:rFonts w:ascii="Arial" w:hAnsi="Arial" w:cs="Arial"/>
          <w:b/>
          <w:sz w:val="24"/>
          <w:szCs w:val="24"/>
        </w:rPr>
        <w:t xml:space="preserve"> &amp; h) </w:t>
      </w:r>
      <w:r w:rsidRPr="0034010C">
        <w:rPr>
          <w:rFonts w:ascii="Arial" w:hAnsi="Arial" w:cs="Arial"/>
          <w:sz w:val="24"/>
          <w:szCs w:val="24"/>
        </w:rPr>
        <w:t xml:space="preserve">Quantification of inner pillar cell </w:t>
      </w:r>
      <w:r w:rsidRPr="0034010C">
        <w:rPr>
          <w:rFonts w:ascii="Arial" w:hAnsi="Arial" w:cs="Arial"/>
          <w:b/>
          <w:sz w:val="24"/>
          <w:szCs w:val="24"/>
        </w:rPr>
        <w:t>(g)</w:t>
      </w:r>
      <w:r w:rsidRPr="0034010C">
        <w:rPr>
          <w:rFonts w:ascii="Arial" w:hAnsi="Arial" w:cs="Arial"/>
          <w:sz w:val="24"/>
          <w:szCs w:val="24"/>
        </w:rPr>
        <w:t xml:space="preserve"> and inner phalangeal cell </w:t>
      </w:r>
      <w:r w:rsidRPr="0034010C">
        <w:rPr>
          <w:rFonts w:ascii="Arial" w:hAnsi="Arial" w:cs="Arial"/>
          <w:b/>
          <w:sz w:val="24"/>
          <w:szCs w:val="24"/>
        </w:rPr>
        <w:t xml:space="preserve">(h) </w:t>
      </w:r>
      <w:r w:rsidRPr="0034010C">
        <w:rPr>
          <w:rFonts w:ascii="Arial" w:hAnsi="Arial" w:cs="Arial"/>
          <w:sz w:val="24"/>
          <w:szCs w:val="24"/>
        </w:rPr>
        <w:t xml:space="preserve">infection efficiency. Error bars represent standard errors. </w:t>
      </w:r>
      <w:r w:rsidR="003E7339" w:rsidRPr="0034010C">
        <w:rPr>
          <w:rFonts w:ascii="Arial" w:hAnsi="Arial" w:cs="Arial"/>
          <w:sz w:val="24"/>
          <w:szCs w:val="24"/>
        </w:rPr>
        <w:t xml:space="preserve">Open circles represent average </w:t>
      </w:r>
      <w:r w:rsidR="008850AF" w:rsidRPr="0034010C">
        <w:rPr>
          <w:rFonts w:ascii="Arial" w:hAnsi="Arial" w:cs="Arial"/>
          <w:sz w:val="24"/>
          <w:szCs w:val="24"/>
        </w:rPr>
        <w:t>infection efficiency</w:t>
      </w:r>
      <w:r w:rsidR="003E7339" w:rsidRPr="0034010C">
        <w:rPr>
          <w:rFonts w:ascii="Arial" w:hAnsi="Arial" w:cs="Arial"/>
          <w:sz w:val="24"/>
          <w:szCs w:val="24"/>
        </w:rPr>
        <w:t xml:space="preserve"> of each animal.</w:t>
      </w:r>
      <w:r w:rsidR="00810FF9" w:rsidRPr="0034010C">
        <w:rPr>
          <w:rFonts w:ascii="Arial" w:hAnsi="Arial" w:cs="Arial"/>
          <w:sz w:val="24"/>
          <w:szCs w:val="24"/>
        </w:rPr>
        <w:t xml:space="preserve"> </w:t>
      </w:r>
      <w:proofErr w:type="gramStart"/>
      <w:r w:rsidR="00810FF9" w:rsidRPr="0034010C">
        <w:rPr>
          <w:rFonts w:ascii="Arial" w:hAnsi="Arial" w:cs="Arial"/>
          <w:sz w:val="24"/>
          <w:szCs w:val="24"/>
        </w:rPr>
        <w:t>n</w:t>
      </w:r>
      <w:proofErr w:type="gramEnd"/>
      <w:r w:rsidR="00810FF9" w:rsidRPr="0034010C">
        <w:rPr>
          <w:rFonts w:ascii="Arial" w:hAnsi="Arial" w:cs="Arial"/>
          <w:sz w:val="24"/>
          <w:szCs w:val="24"/>
        </w:rPr>
        <w:t xml:space="preserve"> represents the number of animals tested. Source data are provided as a Source Data file.</w:t>
      </w:r>
      <w:r w:rsidR="003E7339" w:rsidRPr="0034010C">
        <w:rPr>
          <w:rFonts w:ascii="Arial" w:hAnsi="Arial" w:cs="Arial"/>
          <w:sz w:val="24"/>
          <w:szCs w:val="24"/>
        </w:rPr>
        <w:t xml:space="preserve"> </w:t>
      </w:r>
      <w:r w:rsidRPr="0034010C">
        <w:rPr>
          <w:rFonts w:ascii="Arial" w:hAnsi="Arial" w:cs="Arial"/>
          <w:sz w:val="24"/>
          <w:szCs w:val="24"/>
        </w:rPr>
        <w:t>IHC: inner hair cell. OHC: outer hair cell. IPC: inner pillar cell. IPhC: inner phalangeal cell.</w:t>
      </w:r>
      <w:r>
        <w:rPr>
          <w:rFonts w:ascii="Arial" w:hAnsi="Arial" w:cs="Arial"/>
          <w:sz w:val="24"/>
          <w:szCs w:val="24"/>
        </w:rPr>
        <w:t xml:space="preserve"> </w:t>
      </w:r>
    </w:p>
    <w:p w14:paraId="19C6069F" w14:textId="3BC47AAE" w:rsidR="006152D3" w:rsidRDefault="0085564B" w:rsidP="006152D3">
      <w:pPr>
        <w:spacing w:line="480" w:lineRule="auto"/>
        <w:rPr>
          <w:rFonts w:ascii="Arial" w:hAnsi="Arial" w:cs="Arial"/>
          <w:b/>
          <w:sz w:val="24"/>
          <w:szCs w:val="24"/>
        </w:rPr>
      </w:pPr>
      <w:bookmarkStart w:id="0" w:name="_GoBack"/>
      <w:bookmarkEnd w:id="0"/>
      <w:r>
        <w:rPr>
          <w:rFonts w:ascii="Arial" w:hAnsi="Arial" w:cs="Arial"/>
          <w:b/>
          <w:sz w:val="24"/>
          <w:szCs w:val="24"/>
        </w:rPr>
        <w:lastRenderedPageBreak/>
        <w:t>Supplementary Figure 3</w:t>
      </w:r>
    </w:p>
    <w:p w14:paraId="5CF8C81E" w14:textId="3087FE21" w:rsidR="006152D3" w:rsidRDefault="00CB622A" w:rsidP="00C723A1">
      <w:pPr>
        <w:spacing w:line="480" w:lineRule="auto"/>
        <w:rPr>
          <w:rFonts w:ascii="Arial" w:hAnsi="Arial" w:cs="Arial"/>
          <w:b/>
          <w:sz w:val="24"/>
          <w:szCs w:val="24"/>
        </w:rPr>
      </w:pPr>
      <w:r>
        <w:rPr>
          <w:rFonts w:ascii="Arial" w:hAnsi="Arial" w:cs="Arial"/>
          <w:b/>
          <w:noProof/>
          <w:sz w:val="24"/>
          <w:szCs w:val="24"/>
        </w:rPr>
        <w:drawing>
          <wp:inline distT="0" distB="0" distL="0" distR="0" wp14:anchorId="6C2D138C" wp14:editId="750B6E92">
            <wp:extent cx="5669280" cy="3186978"/>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Fig3_fin.tif"/>
                    <pic:cNvPicPr/>
                  </pic:nvPicPr>
                  <pic:blipFill rotWithShape="1">
                    <a:blip r:embed="rId9">
                      <a:extLst>
                        <a:ext uri="{28A0092B-C50C-407E-A947-70E740481C1C}">
                          <a14:useLocalDpi xmlns:a14="http://schemas.microsoft.com/office/drawing/2010/main" val="0"/>
                        </a:ext>
                      </a:extLst>
                    </a:blip>
                    <a:srcRect l="9732" t="20730" r="7399" b="53066"/>
                    <a:stretch/>
                  </pic:blipFill>
                  <pic:spPr bwMode="auto">
                    <a:xfrm>
                      <a:off x="0" y="0"/>
                      <a:ext cx="5669280" cy="3186978"/>
                    </a:xfrm>
                    <a:prstGeom prst="rect">
                      <a:avLst/>
                    </a:prstGeom>
                    <a:ln>
                      <a:noFill/>
                    </a:ln>
                    <a:extLst>
                      <a:ext uri="{53640926-AAD7-44D8-BBD7-CCE9431645EC}">
                        <a14:shadowObscured xmlns:a14="http://schemas.microsoft.com/office/drawing/2010/main"/>
                      </a:ext>
                    </a:extLst>
                  </pic:spPr>
                </pic:pic>
              </a:graphicData>
            </a:graphic>
          </wp:inline>
        </w:drawing>
      </w:r>
    </w:p>
    <w:p w14:paraId="0FB76E07" w14:textId="3F75AF8B" w:rsidR="0073619D" w:rsidRPr="00DE2C8A" w:rsidRDefault="0085564B" w:rsidP="00056095">
      <w:pPr>
        <w:spacing w:line="240" w:lineRule="auto"/>
        <w:rPr>
          <w:rFonts w:ascii="Arial" w:hAnsi="Arial" w:cs="Arial"/>
          <w:sz w:val="24"/>
          <w:szCs w:val="24"/>
        </w:rPr>
      </w:pPr>
      <w:r>
        <w:rPr>
          <w:rFonts w:ascii="Arial" w:hAnsi="Arial" w:cs="Arial"/>
          <w:b/>
          <w:sz w:val="24"/>
          <w:szCs w:val="24"/>
        </w:rPr>
        <w:t>Supplementary Figure 3</w:t>
      </w:r>
      <w:r w:rsidR="0073619D" w:rsidRPr="00E02415">
        <w:rPr>
          <w:rFonts w:ascii="Arial" w:hAnsi="Arial" w:cs="Arial"/>
          <w:b/>
          <w:sz w:val="24"/>
          <w:szCs w:val="24"/>
        </w:rPr>
        <w:t xml:space="preserve">: </w:t>
      </w:r>
      <w:r w:rsidR="0073619D">
        <w:rPr>
          <w:rFonts w:ascii="Arial" w:hAnsi="Arial" w:cs="Arial"/>
          <w:b/>
          <w:sz w:val="24"/>
          <w:szCs w:val="24"/>
        </w:rPr>
        <w:t xml:space="preserve">AAV8BP2 causes inflammation in the cochlea. </w:t>
      </w:r>
      <w:r w:rsidR="0073619D">
        <w:rPr>
          <w:rFonts w:ascii="Arial" w:hAnsi="Arial" w:cs="Arial"/>
          <w:sz w:val="24"/>
          <w:szCs w:val="24"/>
        </w:rPr>
        <w:t>(</w:t>
      </w:r>
      <w:r w:rsidR="0073619D" w:rsidRPr="00DE2C8A">
        <w:rPr>
          <w:rFonts w:ascii="Arial" w:hAnsi="Arial" w:cs="Arial"/>
          <w:b/>
          <w:sz w:val="24"/>
          <w:szCs w:val="24"/>
        </w:rPr>
        <w:t>a</w:t>
      </w:r>
      <w:r w:rsidR="0073619D">
        <w:rPr>
          <w:rFonts w:ascii="Arial" w:hAnsi="Arial" w:cs="Arial"/>
          <w:sz w:val="24"/>
          <w:szCs w:val="24"/>
        </w:rPr>
        <w:t>) Examination of the cochlea after AAV2.7m8-GFP injection using hematoxylin and eosin (H&amp;E) stain showed no evidence of inflammatory cell infiltration. (</w:t>
      </w:r>
      <w:r w:rsidR="0073619D" w:rsidRPr="00024043">
        <w:rPr>
          <w:rFonts w:ascii="Arial" w:hAnsi="Arial" w:cs="Arial"/>
          <w:b/>
          <w:sz w:val="24"/>
          <w:szCs w:val="24"/>
        </w:rPr>
        <w:t>b</w:t>
      </w:r>
      <w:r w:rsidR="0073619D">
        <w:rPr>
          <w:rFonts w:ascii="Arial" w:hAnsi="Arial" w:cs="Arial"/>
          <w:sz w:val="24"/>
          <w:szCs w:val="24"/>
        </w:rPr>
        <w:t xml:space="preserve">) In contrast, infiltration of inflammatory cells was seen in the cochlea after AAV8BP2 injection. SV: scala vestibuli. SM: scala media. ST: scala tympani. </w:t>
      </w:r>
      <w:r w:rsidR="00056095" w:rsidRPr="0034010C">
        <w:rPr>
          <w:rFonts w:ascii="Arial" w:hAnsi="Arial" w:cs="Arial"/>
          <w:sz w:val="24"/>
          <w:szCs w:val="24"/>
        </w:rPr>
        <w:t xml:space="preserve">Scale bar represents 250 </w:t>
      </w:r>
      <w:r w:rsidR="00056095" w:rsidRPr="0034010C">
        <w:rPr>
          <w:rFonts w:ascii="Symbol" w:hAnsi="Symbol" w:cs="Arial"/>
          <w:sz w:val="24"/>
          <w:szCs w:val="24"/>
        </w:rPr>
        <w:t></w:t>
      </w:r>
      <w:r w:rsidR="00056095" w:rsidRPr="0034010C">
        <w:rPr>
          <w:rFonts w:ascii="Arial" w:hAnsi="Arial" w:cs="Arial"/>
          <w:sz w:val="24"/>
          <w:szCs w:val="24"/>
        </w:rPr>
        <w:t>m.</w:t>
      </w:r>
    </w:p>
    <w:p w14:paraId="6AB87328" w14:textId="77777777" w:rsidR="00EC0383" w:rsidRDefault="00EC0383" w:rsidP="00E94F05">
      <w:pPr>
        <w:spacing w:line="480" w:lineRule="auto"/>
        <w:rPr>
          <w:rFonts w:ascii="Arial" w:hAnsi="Arial" w:cs="Arial"/>
          <w:b/>
          <w:sz w:val="24"/>
          <w:szCs w:val="24"/>
        </w:rPr>
      </w:pPr>
    </w:p>
    <w:p w14:paraId="2B9F216D" w14:textId="77777777" w:rsidR="00EC0383" w:rsidRDefault="00EC0383" w:rsidP="00E94F05">
      <w:pPr>
        <w:spacing w:line="480" w:lineRule="auto"/>
        <w:rPr>
          <w:rFonts w:ascii="Arial" w:hAnsi="Arial" w:cs="Arial"/>
          <w:b/>
          <w:sz w:val="24"/>
          <w:szCs w:val="24"/>
        </w:rPr>
      </w:pPr>
    </w:p>
    <w:p w14:paraId="1E9036F1" w14:textId="77777777" w:rsidR="00EC0383" w:rsidRDefault="00EC0383" w:rsidP="00E94F05">
      <w:pPr>
        <w:spacing w:line="480" w:lineRule="auto"/>
        <w:rPr>
          <w:rFonts w:ascii="Arial" w:hAnsi="Arial" w:cs="Arial"/>
          <w:b/>
          <w:sz w:val="24"/>
          <w:szCs w:val="24"/>
        </w:rPr>
      </w:pPr>
    </w:p>
    <w:p w14:paraId="19F5F502" w14:textId="77777777" w:rsidR="00EC0383" w:rsidRDefault="00EC0383" w:rsidP="00E94F05">
      <w:pPr>
        <w:spacing w:line="480" w:lineRule="auto"/>
        <w:rPr>
          <w:rFonts w:ascii="Arial" w:hAnsi="Arial" w:cs="Arial"/>
          <w:b/>
          <w:sz w:val="24"/>
          <w:szCs w:val="24"/>
        </w:rPr>
      </w:pPr>
    </w:p>
    <w:p w14:paraId="60AFAB19" w14:textId="77777777" w:rsidR="00EC0383" w:rsidRDefault="00EC0383" w:rsidP="00E94F05">
      <w:pPr>
        <w:spacing w:line="480" w:lineRule="auto"/>
        <w:rPr>
          <w:rFonts w:ascii="Arial" w:hAnsi="Arial" w:cs="Arial"/>
          <w:b/>
          <w:sz w:val="24"/>
          <w:szCs w:val="24"/>
        </w:rPr>
      </w:pPr>
    </w:p>
    <w:p w14:paraId="462BFE54" w14:textId="77777777" w:rsidR="00EC0383" w:rsidRDefault="00EC0383" w:rsidP="00E94F05">
      <w:pPr>
        <w:spacing w:line="480" w:lineRule="auto"/>
        <w:rPr>
          <w:rFonts w:ascii="Arial" w:hAnsi="Arial" w:cs="Arial"/>
          <w:b/>
          <w:sz w:val="24"/>
          <w:szCs w:val="24"/>
        </w:rPr>
      </w:pPr>
    </w:p>
    <w:p w14:paraId="030637DF" w14:textId="77777777" w:rsidR="004F1A32" w:rsidRDefault="004F1A32" w:rsidP="00E94F05">
      <w:pPr>
        <w:spacing w:line="480" w:lineRule="auto"/>
        <w:rPr>
          <w:rFonts w:ascii="Arial" w:hAnsi="Arial" w:cs="Arial"/>
          <w:b/>
          <w:sz w:val="24"/>
          <w:szCs w:val="24"/>
        </w:rPr>
      </w:pPr>
    </w:p>
    <w:p w14:paraId="1A50AF0D" w14:textId="216D8EA6" w:rsidR="00E94F05" w:rsidRDefault="0085564B" w:rsidP="00E94F05">
      <w:pPr>
        <w:spacing w:line="480" w:lineRule="auto"/>
        <w:rPr>
          <w:rFonts w:ascii="Arial" w:hAnsi="Arial" w:cs="Arial"/>
          <w:b/>
          <w:sz w:val="24"/>
          <w:szCs w:val="24"/>
        </w:rPr>
      </w:pPr>
      <w:r>
        <w:rPr>
          <w:rFonts w:ascii="Arial" w:hAnsi="Arial" w:cs="Arial"/>
          <w:b/>
          <w:sz w:val="24"/>
          <w:szCs w:val="24"/>
        </w:rPr>
        <w:lastRenderedPageBreak/>
        <w:t>Supplementary Figure 4</w:t>
      </w:r>
    </w:p>
    <w:p w14:paraId="7FF6FBF6" w14:textId="1DAA627F" w:rsidR="00E94F05" w:rsidRDefault="000C372F" w:rsidP="00E94F05">
      <w:pPr>
        <w:spacing w:line="480" w:lineRule="auto"/>
        <w:rPr>
          <w:rFonts w:ascii="Arial" w:hAnsi="Arial" w:cs="Arial"/>
          <w:b/>
          <w:sz w:val="24"/>
          <w:szCs w:val="24"/>
        </w:rPr>
      </w:pPr>
      <w:r>
        <w:rPr>
          <w:rFonts w:ascii="Arial" w:hAnsi="Arial" w:cs="Arial"/>
          <w:b/>
          <w:noProof/>
          <w:sz w:val="24"/>
          <w:szCs w:val="24"/>
        </w:rPr>
        <w:drawing>
          <wp:inline distT="0" distB="0" distL="0" distR="0" wp14:anchorId="2C91517E" wp14:editId="3ABC92F6">
            <wp:extent cx="5760720" cy="558419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Fig4_fin.tif"/>
                    <pic:cNvPicPr/>
                  </pic:nvPicPr>
                  <pic:blipFill rotWithShape="1">
                    <a:blip r:embed="rId10">
                      <a:extLst>
                        <a:ext uri="{28A0092B-C50C-407E-A947-70E740481C1C}">
                          <a14:useLocalDpi xmlns:a14="http://schemas.microsoft.com/office/drawing/2010/main" val="0"/>
                        </a:ext>
                      </a:extLst>
                    </a:blip>
                    <a:srcRect l="4129" t="24710" r="8880" b="27858"/>
                    <a:stretch/>
                  </pic:blipFill>
                  <pic:spPr bwMode="auto">
                    <a:xfrm>
                      <a:off x="0" y="0"/>
                      <a:ext cx="5760720" cy="5584191"/>
                    </a:xfrm>
                    <a:prstGeom prst="rect">
                      <a:avLst/>
                    </a:prstGeom>
                    <a:ln>
                      <a:noFill/>
                    </a:ln>
                    <a:extLst>
                      <a:ext uri="{53640926-AAD7-44D8-BBD7-CCE9431645EC}">
                        <a14:shadowObscured xmlns:a14="http://schemas.microsoft.com/office/drawing/2010/main"/>
                      </a:ext>
                    </a:extLst>
                  </pic:spPr>
                </pic:pic>
              </a:graphicData>
            </a:graphic>
          </wp:inline>
        </w:drawing>
      </w:r>
    </w:p>
    <w:p w14:paraId="53E9DF50" w14:textId="33FD737C" w:rsidR="0073619D" w:rsidRDefault="0085564B" w:rsidP="0073619D">
      <w:pPr>
        <w:spacing w:line="240" w:lineRule="auto"/>
        <w:rPr>
          <w:rFonts w:ascii="Arial" w:hAnsi="Arial" w:cs="Arial"/>
          <w:sz w:val="24"/>
          <w:szCs w:val="24"/>
        </w:rPr>
      </w:pPr>
      <w:r>
        <w:rPr>
          <w:rFonts w:ascii="Arial" w:hAnsi="Arial" w:cs="Arial"/>
          <w:b/>
          <w:sz w:val="24"/>
          <w:szCs w:val="24"/>
        </w:rPr>
        <w:t>Supplementary Figure 4</w:t>
      </w:r>
      <w:r w:rsidR="0073619D" w:rsidRPr="00E02415">
        <w:rPr>
          <w:rFonts w:ascii="Arial" w:hAnsi="Arial" w:cs="Arial"/>
          <w:b/>
          <w:sz w:val="24"/>
          <w:szCs w:val="24"/>
        </w:rPr>
        <w:t xml:space="preserve">: </w:t>
      </w:r>
      <w:r w:rsidR="0073619D">
        <w:rPr>
          <w:rFonts w:ascii="Arial" w:hAnsi="Arial" w:cs="Arial"/>
          <w:b/>
          <w:sz w:val="24"/>
          <w:szCs w:val="24"/>
        </w:rPr>
        <w:t xml:space="preserve">AAV8BP2 does not cause hearing loss and increased circling at lower concentration. (a) </w:t>
      </w:r>
      <w:r w:rsidR="0073619D">
        <w:rPr>
          <w:rFonts w:ascii="Arial" w:hAnsi="Arial" w:cs="Arial"/>
          <w:sz w:val="24"/>
          <w:szCs w:val="24"/>
        </w:rPr>
        <w:t>Posterior canal injection of AAV8BP2 at 0.5</w:t>
      </w:r>
      <w:r w:rsidR="003E39C1">
        <w:rPr>
          <w:rFonts w:ascii="Arial" w:hAnsi="Arial" w:cs="Arial"/>
          <w:sz w:val="24"/>
          <w:szCs w:val="24"/>
        </w:rPr>
        <w:t>5</w:t>
      </w:r>
      <w:r w:rsidR="0073619D">
        <w:rPr>
          <w:rFonts w:ascii="Arial" w:hAnsi="Arial" w:cs="Arial"/>
          <w:sz w:val="24"/>
          <w:szCs w:val="24"/>
        </w:rPr>
        <w:t>x10</w:t>
      </w:r>
      <w:r w:rsidR="0073619D" w:rsidRPr="00B7013C">
        <w:rPr>
          <w:rFonts w:ascii="Arial" w:hAnsi="Arial" w:cs="Arial"/>
          <w:sz w:val="24"/>
          <w:szCs w:val="24"/>
          <w:vertAlign w:val="superscript"/>
        </w:rPr>
        <w:t>10</w:t>
      </w:r>
      <w:r w:rsidR="00B9199E">
        <w:rPr>
          <w:rFonts w:ascii="Arial" w:hAnsi="Arial" w:cs="Arial"/>
          <w:sz w:val="24"/>
          <w:szCs w:val="24"/>
        </w:rPr>
        <w:t xml:space="preserve"> </w:t>
      </w:r>
      <w:r w:rsidR="00683BCF">
        <w:rPr>
          <w:rFonts w:ascii="Arial" w:hAnsi="Arial" w:cs="Arial"/>
          <w:sz w:val="24"/>
          <w:szCs w:val="24"/>
        </w:rPr>
        <w:t>genome copies (</w:t>
      </w:r>
      <w:r w:rsidR="00B9199E">
        <w:rPr>
          <w:rFonts w:ascii="Arial" w:hAnsi="Arial" w:cs="Arial"/>
          <w:sz w:val="24"/>
          <w:szCs w:val="24"/>
        </w:rPr>
        <w:t>G</w:t>
      </w:r>
      <w:r w:rsidR="0073619D">
        <w:rPr>
          <w:rFonts w:ascii="Arial" w:hAnsi="Arial" w:cs="Arial"/>
          <w:sz w:val="24"/>
          <w:szCs w:val="24"/>
        </w:rPr>
        <w:t>C</w:t>
      </w:r>
      <w:r w:rsidR="00683BCF">
        <w:rPr>
          <w:rFonts w:ascii="Arial" w:hAnsi="Arial" w:cs="Arial"/>
          <w:sz w:val="24"/>
          <w:szCs w:val="24"/>
        </w:rPr>
        <w:t>)</w:t>
      </w:r>
      <w:r w:rsidR="0073619D" w:rsidRPr="00B7013C">
        <w:rPr>
          <w:rFonts w:ascii="Arial" w:hAnsi="Arial" w:cs="Arial"/>
          <w:sz w:val="24"/>
          <w:szCs w:val="24"/>
        </w:rPr>
        <w:t xml:space="preserve"> (AAV8BP2 0.5</w:t>
      </w:r>
      <w:r w:rsidR="003E39C1">
        <w:rPr>
          <w:rFonts w:ascii="Arial" w:hAnsi="Arial" w:cs="Arial"/>
          <w:sz w:val="24"/>
          <w:szCs w:val="24"/>
        </w:rPr>
        <w:t>5</w:t>
      </w:r>
      <w:r w:rsidR="0073619D" w:rsidRPr="00B7013C">
        <w:rPr>
          <w:rFonts w:ascii="Arial" w:hAnsi="Arial" w:cs="Arial"/>
          <w:sz w:val="24"/>
          <w:szCs w:val="24"/>
        </w:rPr>
        <w:t>e10)</w:t>
      </w:r>
      <w:r w:rsidR="0073619D">
        <w:rPr>
          <w:rFonts w:ascii="Arial" w:hAnsi="Arial" w:cs="Arial"/>
          <w:sz w:val="24"/>
          <w:szCs w:val="24"/>
        </w:rPr>
        <w:t xml:space="preserve"> caused no ABR threshold elevation compared to non-injected control mice. (</w:t>
      </w:r>
      <w:r w:rsidR="0073619D" w:rsidRPr="00B7013C">
        <w:rPr>
          <w:rFonts w:ascii="Arial" w:hAnsi="Arial" w:cs="Arial"/>
          <w:b/>
          <w:sz w:val="24"/>
          <w:szCs w:val="24"/>
        </w:rPr>
        <w:t>b</w:t>
      </w:r>
      <w:r w:rsidR="0073619D">
        <w:rPr>
          <w:rFonts w:ascii="Arial" w:hAnsi="Arial" w:cs="Arial"/>
          <w:sz w:val="24"/>
          <w:szCs w:val="24"/>
        </w:rPr>
        <w:t>) Posterior canal injection of AAV8BP2 at 0.5</w:t>
      </w:r>
      <w:r w:rsidR="003E39C1">
        <w:rPr>
          <w:rFonts w:ascii="Arial" w:hAnsi="Arial" w:cs="Arial"/>
          <w:sz w:val="24"/>
          <w:szCs w:val="24"/>
        </w:rPr>
        <w:t>5</w:t>
      </w:r>
      <w:r w:rsidR="0073619D">
        <w:rPr>
          <w:rFonts w:ascii="Arial" w:hAnsi="Arial" w:cs="Arial"/>
          <w:sz w:val="24"/>
          <w:szCs w:val="24"/>
        </w:rPr>
        <w:t>x10</w:t>
      </w:r>
      <w:r w:rsidR="0073619D" w:rsidRPr="00B7013C">
        <w:rPr>
          <w:rFonts w:ascii="Arial" w:hAnsi="Arial" w:cs="Arial"/>
          <w:sz w:val="24"/>
          <w:szCs w:val="24"/>
          <w:vertAlign w:val="superscript"/>
        </w:rPr>
        <w:t>10</w:t>
      </w:r>
      <w:r w:rsidR="00B9199E">
        <w:rPr>
          <w:rFonts w:ascii="Arial" w:hAnsi="Arial" w:cs="Arial"/>
          <w:sz w:val="24"/>
          <w:szCs w:val="24"/>
        </w:rPr>
        <w:t xml:space="preserve"> G</w:t>
      </w:r>
      <w:r w:rsidR="0073619D">
        <w:rPr>
          <w:rFonts w:ascii="Arial" w:hAnsi="Arial" w:cs="Arial"/>
          <w:sz w:val="24"/>
          <w:szCs w:val="24"/>
        </w:rPr>
        <w:t>C</w:t>
      </w:r>
      <w:r w:rsidR="0073619D" w:rsidRPr="00B7013C">
        <w:rPr>
          <w:rFonts w:ascii="Arial" w:hAnsi="Arial" w:cs="Arial"/>
          <w:sz w:val="24"/>
          <w:szCs w:val="24"/>
        </w:rPr>
        <w:t xml:space="preserve"> (AAV8BP2 0.5</w:t>
      </w:r>
      <w:r w:rsidR="003E39C1">
        <w:rPr>
          <w:rFonts w:ascii="Arial" w:hAnsi="Arial" w:cs="Arial"/>
          <w:sz w:val="24"/>
          <w:szCs w:val="24"/>
        </w:rPr>
        <w:t>5</w:t>
      </w:r>
      <w:r w:rsidR="0073619D" w:rsidRPr="00B7013C">
        <w:rPr>
          <w:rFonts w:ascii="Arial" w:hAnsi="Arial" w:cs="Arial"/>
          <w:sz w:val="24"/>
          <w:szCs w:val="24"/>
        </w:rPr>
        <w:t>e10)</w:t>
      </w:r>
      <w:r w:rsidR="0073619D">
        <w:rPr>
          <w:rFonts w:ascii="Arial" w:hAnsi="Arial" w:cs="Arial"/>
          <w:sz w:val="24"/>
          <w:szCs w:val="24"/>
        </w:rPr>
        <w:t xml:space="preserve"> caused no elevation in circling behavior compared to non-injected control mice.</w:t>
      </w:r>
      <w:r w:rsidR="003E7339">
        <w:rPr>
          <w:rFonts w:ascii="Arial" w:hAnsi="Arial" w:cs="Arial"/>
          <w:sz w:val="24"/>
          <w:szCs w:val="24"/>
        </w:rPr>
        <w:t xml:space="preserve"> </w:t>
      </w:r>
      <w:r w:rsidR="003E7339" w:rsidRPr="0034010C">
        <w:rPr>
          <w:rFonts w:ascii="Arial" w:hAnsi="Arial" w:cs="Arial"/>
          <w:sz w:val="24"/>
          <w:szCs w:val="24"/>
        </w:rPr>
        <w:t xml:space="preserve">Error bars represent standard errors. Open circles represent average </w:t>
      </w:r>
      <w:r w:rsidR="008850AF" w:rsidRPr="0034010C">
        <w:rPr>
          <w:rFonts w:ascii="Arial" w:hAnsi="Arial" w:cs="Arial"/>
          <w:sz w:val="24"/>
          <w:szCs w:val="24"/>
        </w:rPr>
        <w:t>value</w:t>
      </w:r>
      <w:r w:rsidR="003E7339" w:rsidRPr="0034010C">
        <w:rPr>
          <w:rFonts w:ascii="Arial" w:hAnsi="Arial" w:cs="Arial"/>
          <w:sz w:val="24"/>
          <w:szCs w:val="24"/>
        </w:rPr>
        <w:t xml:space="preserve"> of each animal. </w:t>
      </w:r>
      <w:proofErr w:type="gramStart"/>
      <w:r w:rsidR="00810FF9" w:rsidRPr="0034010C">
        <w:rPr>
          <w:rFonts w:ascii="Arial" w:hAnsi="Arial" w:cs="Arial"/>
          <w:sz w:val="24"/>
          <w:szCs w:val="24"/>
        </w:rPr>
        <w:t>n</w:t>
      </w:r>
      <w:proofErr w:type="gramEnd"/>
      <w:r w:rsidR="00810FF9" w:rsidRPr="0034010C">
        <w:rPr>
          <w:rFonts w:ascii="Arial" w:hAnsi="Arial" w:cs="Arial"/>
          <w:sz w:val="24"/>
          <w:szCs w:val="24"/>
        </w:rPr>
        <w:t xml:space="preserve"> represents the number of animals tested. Source data are provided as a Source Data file.</w:t>
      </w:r>
      <w:r w:rsidR="0073619D" w:rsidRPr="0034010C">
        <w:rPr>
          <w:rFonts w:ascii="Arial" w:hAnsi="Arial" w:cs="Arial"/>
          <w:sz w:val="24"/>
          <w:szCs w:val="24"/>
        </w:rPr>
        <w:t xml:space="preserve"> (</w:t>
      </w:r>
      <w:r w:rsidR="0073619D" w:rsidRPr="003E7339">
        <w:rPr>
          <w:rFonts w:ascii="Arial" w:hAnsi="Arial" w:cs="Arial"/>
          <w:b/>
          <w:sz w:val="24"/>
          <w:szCs w:val="24"/>
        </w:rPr>
        <w:t>c</w:t>
      </w:r>
      <w:r w:rsidR="0073619D">
        <w:rPr>
          <w:rFonts w:ascii="Arial" w:hAnsi="Arial" w:cs="Arial"/>
          <w:sz w:val="24"/>
          <w:szCs w:val="24"/>
        </w:rPr>
        <w:t>) The infection efficiency of IHCs and OHCs is lower when AAV8BP2 is delivered at 0.5</w:t>
      </w:r>
      <w:r w:rsidR="003E39C1">
        <w:rPr>
          <w:rFonts w:ascii="Arial" w:hAnsi="Arial" w:cs="Arial"/>
          <w:sz w:val="24"/>
          <w:szCs w:val="24"/>
        </w:rPr>
        <w:t>5</w:t>
      </w:r>
      <w:r w:rsidR="0073619D">
        <w:rPr>
          <w:rFonts w:ascii="Arial" w:hAnsi="Arial" w:cs="Arial"/>
          <w:sz w:val="24"/>
          <w:szCs w:val="24"/>
        </w:rPr>
        <w:t>x10</w:t>
      </w:r>
      <w:r w:rsidR="0073619D" w:rsidRPr="00B7013C">
        <w:rPr>
          <w:rFonts w:ascii="Arial" w:hAnsi="Arial" w:cs="Arial"/>
          <w:sz w:val="24"/>
          <w:szCs w:val="24"/>
          <w:vertAlign w:val="superscript"/>
        </w:rPr>
        <w:t>10</w:t>
      </w:r>
      <w:r w:rsidR="00B9199E">
        <w:rPr>
          <w:rFonts w:ascii="Arial" w:hAnsi="Arial" w:cs="Arial"/>
          <w:sz w:val="24"/>
          <w:szCs w:val="24"/>
        </w:rPr>
        <w:t xml:space="preserve"> G</w:t>
      </w:r>
      <w:r w:rsidR="0073619D">
        <w:rPr>
          <w:rFonts w:ascii="Arial" w:hAnsi="Arial" w:cs="Arial"/>
          <w:sz w:val="24"/>
          <w:szCs w:val="24"/>
        </w:rPr>
        <w:t>C compared to 1</w:t>
      </w:r>
      <w:r w:rsidR="003E39C1">
        <w:rPr>
          <w:rFonts w:ascii="Arial" w:hAnsi="Arial" w:cs="Arial"/>
          <w:sz w:val="24"/>
          <w:szCs w:val="24"/>
        </w:rPr>
        <w:t>.10</w:t>
      </w:r>
      <w:r w:rsidR="0073619D">
        <w:rPr>
          <w:rFonts w:ascii="Arial" w:hAnsi="Arial" w:cs="Arial"/>
          <w:sz w:val="24"/>
          <w:szCs w:val="24"/>
        </w:rPr>
        <w:t>x10</w:t>
      </w:r>
      <w:r w:rsidR="0073619D" w:rsidRPr="00B7013C">
        <w:rPr>
          <w:rFonts w:ascii="Arial" w:hAnsi="Arial" w:cs="Arial"/>
          <w:sz w:val="24"/>
          <w:szCs w:val="24"/>
          <w:vertAlign w:val="superscript"/>
        </w:rPr>
        <w:t xml:space="preserve">10 </w:t>
      </w:r>
      <w:r w:rsidR="00B9199E">
        <w:rPr>
          <w:rFonts w:ascii="Arial" w:hAnsi="Arial" w:cs="Arial"/>
          <w:sz w:val="24"/>
          <w:szCs w:val="24"/>
        </w:rPr>
        <w:t>GC</w:t>
      </w:r>
      <w:r w:rsidR="00790BD7">
        <w:rPr>
          <w:rFonts w:ascii="Arial" w:hAnsi="Arial" w:cs="Arial"/>
          <w:sz w:val="24"/>
          <w:szCs w:val="24"/>
        </w:rPr>
        <w:t xml:space="preserve"> Images taken from cochlear apex. </w:t>
      </w:r>
      <w:r w:rsidR="00562DF6">
        <w:rPr>
          <w:rFonts w:ascii="Arial" w:hAnsi="Arial" w:cs="Arial"/>
          <w:sz w:val="24"/>
          <w:szCs w:val="24"/>
        </w:rPr>
        <w:t xml:space="preserve">Scale bar represents 20 </w:t>
      </w:r>
      <w:r w:rsidR="00562DF6" w:rsidRPr="00562DF6">
        <w:rPr>
          <w:rFonts w:ascii="Symbol" w:hAnsi="Symbol" w:cs="Arial"/>
          <w:sz w:val="24"/>
          <w:szCs w:val="24"/>
        </w:rPr>
        <w:t></w:t>
      </w:r>
      <w:r w:rsidR="00562DF6">
        <w:rPr>
          <w:rFonts w:ascii="Arial" w:hAnsi="Arial" w:cs="Arial"/>
          <w:sz w:val="24"/>
          <w:szCs w:val="24"/>
        </w:rPr>
        <w:t xml:space="preserve">m. </w:t>
      </w:r>
    </w:p>
    <w:p w14:paraId="1BD51AB0" w14:textId="0B270104" w:rsidR="00637583" w:rsidRPr="0034010C" w:rsidRDefault="00637583" w:rsidP="00C723A1">
      <w:pPr>
        <w:spacing w:line="480" w:lineRule="auto"/>
        <w:rPr>
          <w:rFonts w:ascii="Arial" w:hAnsi="Arial" w:cs="Arial"/>
          <w:b/>
          <w:sz w:val="24"/>
          <w:szCs w:val="24"/>
        </w:rPr>
      </w:pPr>
      <w:r w:rsidRPr="0034010C">
        <w:rPr>
          <w:rFonts w:ascii="Arial" w:hAnsi="Arial" w:cs="Arial"/>
          <w:b/>
          <w:sz w:val="24"/>
          <w:szCs w:val="24"/>
        </w:rPr>
        <w:lastRenderedPageBreak/>
        <w:t>Supplementary Table 1</w:t>
      </w:r>
    </w:p>
    <w:p w14:paraId="61653356" w14:textId="0477FDBB" w:rsidR="00491641" w:rsidRDefault="00491641" w:rsidP="00C723A1">
      <w:pPr>
        <w:spacing w:line="480" w:lineRule="auto"/>
        <w:rPr>
          <w:rFonts w:ascii="Arial" w:hAnsi="Arial" w:cs="Arial"/>
          <w:b/>
          <w:sz w:val="24"/>
          <w:szCs w:val="24"/>
        </w:rPr>
      </w:pPr>
      <w:r w:rsidRPr="0034010C">
        <w:rPr>
          <w:rFonts w:ascii="Arial" w:hAnsi="Arial" w:cs="Arial"/>
          <w:b/>
          <w:sz w:val="24"/>
          <w:szCs w:val="24"/>
        </w:rPr>
        <w:t>Viral infection efficiency</w:t>
      </w:r>
    </w:p>
    <w:tbl>
      <w:tblPr>
        <w:tblW w:w="5465" w:type="dxa"/>
        <w:tblLook w:val="04A0" w:firstRow="1" w:lastRow="0" w:firstColumn="1" w:lastColumn="0" w:noHBand="0" w:noVBand="1"/>
      </w:tblPr>
      <w:tblGrid>
        <w:gridCol w:w="1620"/>
        <w:gridCol w:w="760"/>
        <w:gridCol w:w="760"/>
        <w:gridCol w:w="825"/>
        <w:gridCol w:w="760"/>
        <w:gridCol w:w="740"/>
      </w:tblGrid>
      <w:tr w:rsidR="00DC2EB2" w:rsidRPr="00DC2EB2" w14:paraId="562AAC30" w14:textId="77777777" w:rsidTr="00F45DB3">
        <w:trPr>
          <w:trHeight w:val="315"/>
        </w:trPr>
        <w:tc>
          <w:tcPr>
            <w:tcW w:w="1620" w:type="dxa"/>
            <w:tcBorders>
              <w:top w:val="nil"/>
              <w:left w:val="nil"/>
              <w:bottom w:val="double" w:sz="6" w:space="0" w:color="auto"/>
              <w:right w:val="nil"/>
            </w:tcBorders>
            <w:shd w:val="clear" w:color="auto" w:fill="auto"/>
            <w:noWrap/>
            <w:vAlign w:val="bottom"/>
            <w:hideMark/>
          </w:tcPr>
          <w:p w14:paraId="0D456E70" w14:textId="77777777" w:rsidR="00DC2EB2" w:rsidRPr="00DC2EB2" w:rsidRDefault="00DC2EB2" w:rsidP="00DC2EB2">
            <w:pPr>
              <w:spacing w:after="0" w:line="240" w:lineRule="auto"/>
              <w:rPr>
                <w:rFonts w:ascii="Calibri" w:eastAsia="Times New Roman" w:hAnsi="Calibri" w:cs="Times New Roman"/>
                <w:color w:val="000000"/>
              </w:rPr>
            </w:pPr>
            <w:r w:rsidRPr="00DC2EB2">
              <w:rPr>
                <w:rFonts w:ascii="Calibri" w:eastAsia="Times New Roman" w:hAnsi="Calibri" w:cs="Times New Roman"/>
                <w:color w:val="000000"/>
              </w:rPr>
              <w:t> </w:t>
            </w:r>
          </w:p>
        </w:tc>
        <w:tc>
          <w:tcPr>
            <w:tcW w:w="760" w:type="dxa"/>
            <w:tcBorders>
              <w:top w:val="nil"/>
              <w:left w:val="nil"/>
              <w:bottom w:val="double" w:sz="6" w:space="0" w:color="auto"/>
              <w:right w:val="nil"/>
            </w:tcBorders>
            <w:shd w:val="clear" w:color="auto" w:fill="auto"/>
            <w:noWrap/>
            <w:vAlign w:val="bottom"/>
            <w:hideMark/>
          </w:tcPr>
          <w:p w14:paraId="3BAA71B7" w14:textId="77777777" w:rsidR="00DC2EB2" w:rsidRPr="00DC2EB2" w:rsidRDefault="00DC2EB2" w:rsidP="00DC2EB2">
            <w:pPr>
              <w:spacing w:after="0" w:line="240" w:lineRule="auto"/>
              <w:jc w:val="center"/>
              <w:rPr>
                <w:rFonts w:ascii="Calibri" w:eastAsia="Times New Roman" w:hAnsi="Calibri" w:cs="Times New Roman"/>
                <w:b/>
                <w:bCs/>
                <w:color w:val="000000"/>
              </w:rPr>
            </w:pPr>
            <w:r w:rsidRPr="00DC2EB2">
              <w:rPr>
                <w:rFonts w:ascii="Calibri" w:eastAsia="Times New Roman" w:hAnsi="Calibri" w:cs="Times New Roman"/>
                <w:b/>
                <w:bCs/>
                <w:color w:val="000000"/>
              </w:rPr>
              <w:t>IHC</w:t>
            </w:r>
          </w:p>
        </w:tc>
        <w:tc>
          <w:tcPr>
            <w:tcW w:w="760" w:type="dxa"/>
            <w:tcBorders>
              <w:top w:val="nil"/>
              <w:left w:val="nil"/>
              <w:bottom w:val="double" w:sz="6" w:space="0" w:color="auto"/>
              <w:right w:val="nil"/>
            </w:tcBorders>
            <w:shd w:val="clear" w:color="auto" w:fill="auto"/>
            <w:noWrap/>
            <w:vAlign w:val="bottom"/>
            <w:hideMark/>
          </w:tcPr>
          <w:p w14:paraId="14D947B5" w14:textId="77777777" w:rsidR="00DC2EB2" w:rsidRPr="00DC2EB2" w:rsidRDefault="00DC2EB2" w:rsidP="00DC2EB2">
            <w:pPr>
              <w:spacing w:after="0" w:line="240" w:lineRule="auto"/>
              <w:jc w:val="center"/>
              <w:rPr>
                <w:rFonts w:ascii="Calibri" w:eastAsia="Times New Roman" w:hAnsi="Calibri" w:cs="Times New Roman"/>
                <w:b/>
                <w:bCs/>
                <w:color w:val="000000"/>
              </w:rPr>
            </w:pPr>
            <w:r w:rsidRPr="00DC2EB2">
              <w:rPr>
                <w:rFonts w:ascii="Calibri" w:eastAsia="Times New Roman" w:hAnsi="Calibri" w:cs="Times New Roman"/>
                <w:b/>
                <w:bCs/>
                <w:color w:val="000000"/>
              </w:rPr>
              <w:t>OHC</w:t>
            </w:r>
          </w:p>
        </w:tc>
        <w:tc>
          <w:tcPr>
            <w:tcW w:w="825" w:type="dxa"/>
            <w:tcBorders>
              <w:top w:val="nil"/>
              <w:left w:val="nil"/>
              <w:bottom w:val="double" w:sz="6" w:space="0" w:color="auto"/>
              <w:right w:val="nil"/>
            </w:tcBorders>
            <w:shd w:val="clear" w:color="auto" w:fill="auto"/>
            <w:noWrap/>
            <w:vAlign w:val="bottom"/>
            <w:hideMark/>
          </w:tcPr>
          <w:p w14:paraId="6EA0B681" w14:textId="77777777" w:rsidR="00DC2EB2" w:rsidRPr="00DC2EB2" w:rsidRDefault="00DC2EB2" w:rsidP="00DC2EB2">
            <w:pPr>
              <w:spacing w:after="0" w:line="240" w:lineRule="auto"/>
              <w:jc w:val="center"/>
              <w:rPr>
                <w:rFonts w:ascii="Calibri" w:eastAsia="Times New Roman" w:hAnsi="Calibri" w:cs="Times New Roman"/>
                <w:b/>
                <w:bCs/>
                <w:color w:val="000000"/>
              </w:rPr>
            </w:pPr>
            <w:r w:rsidRPr="00DC2EB2">
              <w:rPr>
                <w:rFonts w:ascii="Calibri" w:eastAsia="Times New Roman" w:hAnsi="Calibri" w:cs="Times New Roman"/>
                <w:b/>
                <w:bCs/>
                <w:color w:val="000000"/>
              </w:rPr>
              <w:t>Utricle</w:t>
            </w:r>
          </w:p>
        </w:tc>
        <w:tc>
          <w:tcPr>
            <w:tcW w:w="760" w:type="dxa"/>
            <w:tcBorders>
              <w:top w:val="nil"/>
              <w:left w:val="nil"/>
              <w:bottom w:val="double" w:sz="6" w:space="0" w:color="auto"/>
              <w:right w:val="nil"/>
            </w:tcBorders>
            <w:shd w:val="clear" w:color="auto" w:fill="auto"/>
            <w:noWrap/>
            <w:vAlign w:val="bottom"/>
            <w:hideMark/>
          </w:tcPr>
          <w:p w14:paraId="26866535" w14:textId="77777777" w:rsidR="00DC2EB2" w:rsidRPr="00DC2EB2" w:rsidRDefault="00DC2EB2" w:rsidP="00DC2EB2">
            <w:pPr>
              <w:spacing w:after="0" w:line="240" w:lineRule="auto"/>
              <w:jc w:val="center"/>
              <w:rPr>
                <w:rFonts w:ascii="Calibri" w:eastAsia="Times New Roman" w:hAnsi="Calibri" w:cs="Times New Roman"/>
                <w:b/>
                <w:bCs/>
                <w:color w:val="000000"/>
              </w:rPr>
            </w:pPr>
            <w:r w:rsidRPr="00DC2EB2">
              <w:rPr>
                <w:rFonts w:ascii="Calibri" w:eastAsia="Times New Roman" w:hAnsi="Calibri" w:cs="Times New Roman"/>
                <w:b/>
                <w:bCs/>
                <w:color w:val="000000"/>
              </w:rPr>
              <w:t>IPC</w:t>
            </w:r>
          </w:p>
        </w:tc>
        <w:tc>
          <w:tcPr>
            <w:tcW w:w="740" w:type="dxa"/>
            <w:tcBorders>
              <w:top w:val="nil"/>
              <w:left w:val="nil"/>
              <w:bottom w:val="double" w:sz="6" w:space="0" w:color="auto"/>
              <w:right w:val="nil"/>
            </w:tcBorders>
            <w:shd w:val="clear" w:color="auto" w:fill="auto"/>
            <w:noWrap/>
            <w:vAlign w:val="bottom"/>
            <w:hideMark/>
          </w:tcPr>
          <w:p w14:paraId="0CE55CED" w14:textId="77777777" w:rsidR="00DC2EB2" w:rsidRPr="00DC2EB2" w:rsidRDefault="00DC2EB2" w:rsidP="00DC2EB2">
            <w:pPr>
              <w:spacing w:after="0" w:line="240" w:lineRule="auto"/>
              <w:jc w:val="center"/>
              <w:rPr>
                <w:rFonts w:ascii="Calibri" w:eastAsia="Times New Roman" w:hAnsi="Calibri" w:cs="Times New Roman"/>
                <w:b/>
                <w:bCs/>
                <w:color w:val="000000"/>
              </w:rPr>
            </w:pPr>
            <w:r w:rsidRPr="00DC2EB2">
              <w:rPr>
                <w:rFonts w:ascii="Calibri" w:eastAsia="Times New Roman" w:hAnsi="Calibri" w:cs="Times New Roman"/>
                <w:b/>
                <w:bCs/>
                <w:color w:val="000000"/>
              </w:rPr>
              <w:t>IPhC</w:t>
            </w:r>
          </w:p>
        </w:tc>
      </w:tr>
      <w:tr w:rsidR="00DC2EB2" w:rsidRPr="00DC2EB2" w14:paraId="23C0F3E7" w14:textId="77777777" w:rsidTr="00F45DB3">
        <w:trPr>
          <w:trHeight w:val="615"/>
        </w:trPr>
        <w:tc>
          <w:tcPr>
            <w:tcW w:w="1620" w:type="dxa"/>
            <w:tcBorders>
              <w:top w:val="nil"/>
              <w:left w:val="nil"/>
              <w:bottom w:val="nil"/>
              <w:right w:val="nil"/>
            </w:tcBorders>
            <w:shd w:val="clear" w:color="auto" w:fill="auto"/>
            <w:hideMark/>
          </w:tcPr>
          <w:p w14:paraId="3E1CA134" w14:textId="4C58C410" w:rsidR="00DC2EB2" w:rsidRPr="00DC2EB2" w:rsidRDefault="00DC2EB2" w:rsidP="00DC2EB2">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AAV2.7m8 </w:t>
            </w:r>
          </w:p>
        </w:tc>
        <w:tc>
          <w:tcPr>
            <w:tcW w:w="760" w:type="dxa"/>
            <w:tcBorders>
              <w:top w:val="nil"/>
              <w:left w:val="nil"/>
              <w:bottom w:val="nil"/>
              <w:right w:val="nil"/>
            </w:tcBorders>
            <w:shd w:val="clear" w:color="auto" w:fill="auto"/>
            <w:vAlign w:val="bottom"/>
            <w:hideMark/>
          </w:tcPr>
          <w:p w14:paraId="6B6113B7"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84.1 (5.66)</w:t>
            </w:r>
          </w:p>
        </w:tc>
        <w:tc>
          <w:tcPr>
            <w:tcW w:w="760" w:type="dxa"/>
            <w:tcBorders>
              <w:top w:val="nil"/>
              <w:left w:val="nil"/>
              <w:bottom w:val="nil"/>
              <w:right w:val="nil"/>
            </w:tcBorders>
            <w:shd w:val="clear" w:color="auto" w:fill="auto"/>
            <w:vAlign w:val="bottom"/>
            <w:hideMark/>
          </w:tcPr>
          <w:p w14:paraId="063E4CCB"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83.1 (6.17)</w:t>
            </w:r>
          </w:p>
        </w:tc>
        <w:tc>
          <w:tcPr>
            <w:tcW w:w="825" w:type="dxa"/>
            <w:tcBorders>
              <w:top w:val="nil"/>
              <w:left w:val="nil"/>
              <w:bottom w:val="nil"/>
              <w:right w:val="nil"/>
            </w:tcBorders>
            <w:shd w:val="clear" w:color="auto" w:fill="auto"/>
            <w:vAlign w:val="bottom"/>
            <w:hideMark/>
          </w:tcPr>
          <w:p w14:paraId="1F14BE39" w14:textId="1C9E9983"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27.5</w:t>
            </w:r>
            <w:r w:rsidR="00921492">
              <w:rPr>
                <w:rFonts w:ascii="Calibri" w:eastAsia="Times New Roman" w:hAnsi="Calibri" w:cs="Times New Roman"/>
                <w:color w:val="000000"/>
              </w:rPr>
              <w:t xml:space="preserve"> (9.65</w:t>
            </w:r>
            <w:r w:rsidRPr="00DC2EB2">
              <w:rPr>
                <w:rFonts w:ascii="Calibri" w:eastAsia="Times New Roman" w:hAnsi="Calibri" w:cs="Times New Roman"/>
                <w:color w:val="000000"/>
              </w:rPr>
              <w:t>)</w:t>
            </w:r>
          </w:p>
        </w:tc>
        <w:tc>
          <w:tcPr>
            <w:tcW w:w="760" w:type="dxa"/>
            <w:tcBorders>
              <w:top w:val="nil"/>
              <w:left w:val="nil"/>
              <w:bottom w:val="nil"/>
              <w:right w:val="nil"/>
            </w:tcBorders>
            <w:shd w:val="clear" w:color="auto" w:fill="auto"/>
            <w:vAlign w:val="bottom"/>
            <w:hideMark/>
          </w:tcPr>
          <w:p w14:paraId="79D24634" w14:textId="345FE451" w:rsidR="00DC2EB2" w:rsidRPr="00DC2EB2" w:rsidRDefault="00D96245"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86.1 (4.56</w:t>
            </w:r>
            <w:r w:rsidR="00DC2EB2" w:rsidRPr="00DC2EB2">
              <w:rPr>
                <w:rFonts w:ascii="Calibri" w:eastAsia="Times New Roman" w:hAnsi="Calibri" w:cs="Times New Roman"/>
                <w:color w:val="000000"/>
              </w:rPr>
              <w:t>)</w:t>
            </w:r>
          </w:p>
        </w:tc>
        <w:tc>
          <w:tcPr>
            <w:tcW w:w="740" w:type="dxa"/>
            <w:tcBorders>
              <w:top w:val="nil"/>
              <w:left w:val="nil"/>
              <w:bottom w:val="nil"/>
              <w:right w:val="nil"/>
            </w:tcBorders>
            <w:shd w:val="clear" w:color="auto" w:fill="auto"/>
            <w:vAlign w:val="bottom"/>
            <w:hideMark/>
          </w:tcPr>
          <w:p w14:paraId="12DC2D42"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61.4 (9.30)</w:t>
            </w:r>
          </w:p>
        </w:tc>
      </w:tr>
      <w:tr w:rsidR="00DC2EB2" w:rsidRPr="00DC2EB2" w14:paraId="0C0F2F47" w14:textId="77777777" w:rsidTr="00F45DB3">
        <w:trPr>
          <w:trHeight w:val="600"/>
        </w:trPr>
        <w:tc>
          <w:tcPr>
            <w:tcW w:w="1620" w:type="dxa"/>
            <w:tcBorders>
              <w:top w:val="nil"/>
              <w:left w:val="nil"/>
              <w:bottom w:val="nil"/>
              <w:right w:val="nil"/>
            </w:tcBorders>
            <w:shd w:val="clear" w:color="auto" w:fill="auto"/>
            <w:hideMark/>
          </w:tcPr>
          <w:p w14:paraId="797E46EE" w14:textId="77777777" w:rsidR="00DC2EB2" w:rsidRDefault="00DC2EB2" w:rsidP="00DC2EB2">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AAV8BP2 </w:t>
            </w:r>
          </w:p>
          <w:p w14:paraId="3C599DDD" w14:textId="1CC14B7A" w:rsidR="00DC2EB2" w:rsidRPr="00DC2EB2" w:rsidRDefault="00DC2EB2" w:rsidP="00DC2EB2">
            <w:pPr>
              <w:spacing w:after="0" w:line="240" w:lineRule="auto"/>
              <w:rPr>
                <w:rFonts w:ascii="Calibri" w:eastAsia="Times New Roman" w:hAnsi="Calibri" w:cs="Times New Roman"/>
                <w:b/>
                <w:bCs/>
                <w:color w:val="000000"/>
              </w:rPr>
            </w:pPr>
          </w:p>
        </w:tc>
        <w:tc>
          <w:tcPr>
            <w:tcW w:w="760" w:type="dxa"/>
            <w:tcBorders>
              <w:top w:val="nil"/>
              <w:left w:val="nil"/>
              <w:bottom w:val="nil"/>
              <w:right w:val="nil"/>
            </w:tcBorders>
            <w:shd w:val="clear" w:color="auto" w:fill="auto"/>
            <w:vAlign w:val="bottom"/>
            <w:hideMark/>
          </w:tcPr>
          <w:p w14:paraId="550A02EC"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55.7 (9.53)</w:t>
            </w:r>
          </w:p>
        </w:tc>
        <w:tc>
          <w:tcPr>
            <w:tcW w:w="760" w:type="dxa"/>
            <w:tcBorders>
              <w:top w:val="nil"/>
              <w:left w:val="nil"/>
              <w:bottom w:val="nil"/>
              <w:right w:val="nil"/>
            </w:tcBorders>
            <w:shd w:val="clear" w:color="auto" w:fill="auto"/>
            <w:vAlign w:val="bottom"/>
            <w:hideMark/>
          </w:tcPr>
          <w:p w14:paraId="7C1EF731" w14:textId="39D260AC" w:rsidR="00DC2EB2" w:rsidRPr="00DC2EB2" w:rsidRDefault="00261980"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44.1 (7.94</w:t>
            </w:r>
            <w:r w:rsidR="00DC2EB2" w:rsidRPr="00DC2EB2">
              <w:rPr>
                <w:rFonts w:ascii="Calibri" w:eastAsia="Times New Roman" w:hAnsi="Calibri" w:cs="Times New Roman"/>
                <w:color w:val="000000"/>
              </w:rPr>
              <w:t>)</w:t>
            </w:r>
          </w:p>
        </w:tc>
        <w:tc>
          <w:tcPr>
            <w:tcW w:w="825" w:type="dxa"/>
            <w:tcBorders>
              <w:top w:val="nil"/>
              <w:left w:val="nil"/>
              <w:bottom w:val="nil"/>
              <w:right w:val="nil"/>
            </w:tcBorders>
            <w:shd w:val="clear" w:color="auto" w:fill="auto"/>
            <w:vAlign w:val="bottom"/>
            <w:hideMark/>
          </w:tcPr>
          <w:p w14:paraId="4AFDFC60" w14:textId="6A8FA450" w:rsidR="00DC2EB2" w:rsidRPr="00DC2EB2" w:rsidRDefault="00921492"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34.2 (9.84</w:t>
            </w:r>
            <w:r w:rsidR="00DC2EB2" w:rsidRPr="00DC2EB2">
              <w:rPr>
                <w:rFonts w:ascii="Calibri" w:eastAsia="Times New Roman" w:hAnsi="Calibri" w:cs="Times New Roman"/>
                <w:color w:val="000000"/>
              </w:rPr>
              <w:t>)</w:t>
            </w:r>
          </w:p>
        </w:tc>
        <w:tc>
          <w:tcPr>
            <w:tcW w:w="760" w:type="dxa"/>
            <w:tcBorders>
              <w:top w:val="nil"/>
              <w:left w:val="nil"/>
              <w:bottom w:val="nil"/>
              <w:right w:val="nil"/>
            </w:tcBorders>
            <w:shd w:val="clear" w:color="auto" w:fill="auto"/>
            <w:vAlign w:val="bottom"/>
            <w:hideMark/>
          </w:tcPr>
          <w:p w14:paraId="2DD027F9" w14:textId="77777777" w:rsidR="00791CF7" w:rsidRDefault="00791CF7"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0</w:t>
            </w:r>
          </w:p>
          <w:p w14:paraId="0CC7C62B" w14:textId="50B43E8B"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(0)</w:t>
            </w:r>
          </w:p>
        </w:tc>
        <w:tc>
          <w:tcPr>
            <w:tcW w:w="740" w:type="dxa"/>
            <w:tcBorders>
              <w:top w:val="nil"/>
              <w:left w:val="nil"/>
              <w:bottom w:val="nil"/>
              <w:right w:val="nil"/>
            </w:tcBorders>
            <w:shd w:val="clear" w:color="auto" w:fill="auto"/>
            <w:vAlign w:val="bottom"/>
            <w:hideMark/>
          </w:tcPr>
          <w:p w14:paraId="18845DFA" w14:textId="77777777" w:rsidR="00791CF7"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 xml:space="preserve">0 </w:t>
            </w:r>
          </w:p>
          <w:p w14:paraId="670A2A8C" w14:textId="2E91555B"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(0)</w:t>
            </w:r>
          </w:p>
        </w:tc>
      </w:tr>
      <w:tr w:rsidR="00DC2EB2" w:rsidRPr="00DC2EB2" w14:paraId="26806729" w14:textId="77777777" w:rsidTr="00F45DB3">
        <w:trPr>
          <w:trHeight w:val="600"/>
        </w:trPr>
        <w:tc>
          <w:tcPr>
            <w:tcW w:w="1620" w:type="dxa"/>
            <w:tcBorders>
              <w:top w:val="nil"/>
              <w:left w:val="nil"/>
              <w:bottom w:val="nil"/>
              <w:right w:val="nil"/>
            </w:tcBorders>
            <w:shd w:val="clear" w:color="auto" w:fill="auto"/>
            <w:hideMark/>
          </w:tcPr>
          <w:p w14:paraId="5ED1CE56" w14:textId="77777777" w:rsidR="00DC2EB2" w:rsidRDefault="00DC2EB2" w:rsidP="00DC2EB2">
            <w:pPr>
              <w:spacing w:after="0" w:line="240" w:lineRule="auto"/>
              <w:rPr>
                <w:rFonts w:ascii="Calibri" w:eastAsia="Times New Roman" w:hAnsi="Calibri" w:cs="Times New Roman"/>
                <w:b/>
                <w:bCs/>
                <w:color w:val="000000"/>
              </w:rPr>
            </w:pPr>
            <w:r w:rsidRPr="00DC2EB2">
              <w:rPr>
                <w:rFonts w:ascii="Calibri" w:eastAsia="Times New Roman" w:hAnsi="Calibri" w:cs="Times New Roman"/>
                <w:b/>
                <w:bCs/>
                <w:color w:val="000000"/>
              </w:rPr>
              <w:t>AAV2</w:t>
            </w:r>
          </w:p>
          <w:p w14:paraId="08A84CE7" w14:textId="4E1B2668" w:rsidR="00DC2EB2" w:rsidRPr="00DC2EB2" w:rsidRDefault="00DC2EB2" w:rsidP="00DC2EB2">
            <w:pPr>
              <w:spacing w:after="0" w:line="240" w:lineRule="auto"/>
              <w:rPr>
                <w:rFonts w:ascii="Calibri" w:eastAsia="Times New Roman" w:hAnsi="Calibri" w:cs="Times New Roman"/>
                <w:b/>
                <w:bCs/>
                <w:color w:val="000000"/>
              </w:rPr>
            </w:pPr>
          </w:p>
        </w:tc>
        <w:tc>
          <w:tcPr>
            <w:tcW w:w="760" w:type="dxa"/>
            <w:tcBorders>
              <w:top w:val="nil"/>
              <w:left w:val="nil"/>
              <w:bottom w:val="nil"/>
              <w:right w:val="nil"/>
            </w:tcBorders>
            <w:shd w:val="clear" w:color="auto" w:fill="auto"/>
            <w:vAlign w:val="bottom"/>
            <w:hideMark/>
          </w:tcPr>
          <w:p w14:paraId="3B9AF749"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43.6 (13.5)</w:t>
            </w:r>
          </w:p>
        </w:tc>
        <w:tc>
          <w:tcPr>
            <w:tcW w:w="760" w:type="dxa"/>
            <w:tcBorders>
              <w:top w:val="nil"/>
              <w:left w:val="nil"/>
              <w:bottom w:val="nil"/>
              <w:right w:val="nil"/>
            </w:tcBorders>
            <w:shd w:val="clear" w:color="auto" w:fill="auto"/>
            <w:vAlign w:val="bottom"/>
            <w:hideMark/>
          </w:tcPr>
          <w:p w14:paraId="430D7C4B"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54.5 (12.7)</w:t>
            </w:r>
          </w:p>
        </w:tc>
        <w:tc>
          <w:tcPr>
            <w:tcW w:w="825" w:type="dxa"/>
            <w:tcBorders>
              <w:top w:val="nil"/>
              <w:left w:val="nil"/>
              <w:bottom w:val="nil"/>
              <w:right w:val="nil"/>
            </w:tcBorders>
            <w:shd w:val="clear" w:color="auto" w:fill="auto"/>
            <w:vAlign w:val="bottom"/>
            <w:hideMark/>
          </w:tcPr>
          <w:p w14:paraId="77661BBD" w14:textId="3D103AC1" w:rsidR="00DC2EB2" w:rsidRPr="00DC2EB2" w:rsidRDefault="00921492"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32.4 (6.16</w:t>
            </w:r>
            <w:r w:rsidR="00DC2EB2" w:rsidRPr="00DC2EB2">
              <w:rPr>
                <w:rFonts w:ascii="Calibri" w:eastAsia="Times New Roman" w:hAnsi="Calibri" w:cs="Times New Roman"/>
                <w:color w:val="000000"/>
              </w:rPr>
              <w:t>)</w:t>
            </w:r>
          </w:p>
        </w:tc>
        <w:tc>
          <w:tcPr>
            <w:tcW w:w="760" w:type="dxa"/>
            <w:tcBorders>
              <w:top w:val="nil"/>
              <w:left w:val="nil"/>
              <w:bottom w:val="nil"/>
              <w:right w:val="nil"/>
            </w:tcBorders>
            <w:shd w:val="clear" w:color="auto" w:fill="auto"/>
            <w:vAlign w:val="bottom"/>
            <w:hideMark/>
          </w:tcPr>
          <w:p w14:paraId="23432157"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60.3 (7.96)</w:t>
            </w:r>
          </w:p>
        </w:tc>
        <w:tc>
          <w:tcPr>
            <w:tcW w:w="740" w:type="dxa"/>
            <w:tcBorders>
              <w:top w:val="nil"/>
              <w:left w:val="nil"/>
              <w:bottom w:val="nil"/>
              <w:right w:val="nil"/>
            </w:tcBorders>
            <w:shd w:val="clear" w:color="auto" w:fill="auto"/>
            <w:vAlign w:val="bottom"/>
            <w:hideMark/>
          </w:tcPr>
          <w:p w14:paraId="0A9563AA" w14:textId="77777777" w:rsidR="00791CF7"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 xml:space="preserve">0 </w:t>
            </w:r>
          </w:p>
          <w:p w14:paraId="6162CDDC" w14:textId="10B1A862"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(0)</w:t>
            </w:r>
          </w:p>
        </w:tc>
      </w:tr>
      <w:tr w:rsidR="00DC2EB2" w:rsidRPr="00DC2EB2" w14:paraId="32CD31E9" w14:textId="77777777" w:rsidTr="00F45DB3">
        <w:trPr>
          <w:trHeight w:val="600"/>
        </w:trPr>
        <w:tc>
          <w:tcPr>
            <w:tcW w:w="1620" w:type="dxa"/>
            <w:tcBorders>
              <w:top w:val="nil"/>
              <w:left w:val="nil"/>
              <w:bottom w:val="nil"/>
              <w:right w:val="nil"/>
            </w:tcBorders>
            <w:shd w:val="clear" w:color="auto" w:fill="auto"/>
            <w:hideMark/>
          </w:tcPr>
          <w:p w14:paraId="0198BCEA" w14:textId="77777777" w:rsidR="00DC2EB2" w:rsidRDefault="00DC2EB2" w:rsidP="00DC2EB2">
            <w:pPr>
              <w:spacing w:after="0" w:line="240" w:lineRule="auto"/>
              <w:rPr>
                <w:rFonts w:ascii="Calibri" w:eastAsia="Times New Roman" w:hAnsi="Calibri" w:cs="Times New Roman"/>
                <w:b/>
                <w:bCs/>
                <w:color w:val="000000"/>
              </w:rPr>
            </w:pPr>
            <w:r w:rsidRPr="00DC2EB2">
              <w:rPr>
                <w:rFonts w:ascii="Calibri" w:eastAsia="Times New Roman" w:hAnsi="Calibri" w:cs="Times New Roman"/>
                <w:b/>
                <w:bCs/>
                <w:color w:val="000000"/>
              </w:rPr>
              <w:t>AAV8</w:t>
            </w:r>
          </w:p>
          <w:p w14:paraId="27025B80" w14:textId="4D9FECA3" w:rsidR="00DC2EB2" w:rsidRPr="00DC2EB2" w:rsidRDefault="00DC2EB2" w:rsidP="00DC2EB2">
            <w:pPr>
              <w:spacing w:after="0" w:line="240" w:lineRule="auto"/>
              <w:rPr>
                <w:rFonts w:ascii="Calibri" w:eastAsia="Times New Roman" w:hAnsi="Calibri" w:cs="Times New Roman"/>
                <w:b/>
                <w:bCs/>
                <w:color w:val="000000"/>
              </w:rPr>
            </w:pPr>
          </w:p>
        </w:tc>
        <w:tc>
          <w:tcPr>
            <w:tcW w:w="760" w:type="dxa"/>
            <w:tcBorders>
              <w:top w:val="nil"/>
              <w:left w:val="nil"/>
              <w:bottom w:val="nil"/>
              <w:right w:val="nil"/>
            </w:tcBorders>
            <w:shd w:val="clear" w:color="auto" w:fill="auto"/>
            <w:vAlign w:val="bottom"/>
            <w:hideMark/>
          </w:tcPr>
          <w:p w14:paraId="207CFB8B"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86.0 (5.34)</w:t>
            </w:r>
          </w:p>
        </w:tc>
        <w:tc>
          <w:tcPr>
            <w:tcW w:w="760" w:type="dxa"/>
            <w:tcBorders>
              <w:top w:val="nil"/>
              <w:left w:val="nil"/>
              <w:bottom w:val="nil"/>
              <w:right w:val="nil"/>
            </w:tcBorders>
            <w:shd w:val="clear" w:color="auto" w:fill="auto"/>
            <w:vAlign w:val="bottom"/>
            <w:hideMark/>
          </w:tcPr>
          <w:p w14:paraId="75CAC641"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51.7 (5.95)</w:t>
            </w:r>
          </w:p>
        </w:tc>
        <w:tc>
          <w:tcPr>
            <w:tcW w:w="825" w:type="dxa"/>
            <w:tcBorders>
              <w:top w:val="nil"/>
              <w:left w:val="nil"/>
              <w:bottom w:val="nil"/>
              <w:right w:val="nil"/>
            </w:tcBorders>
            <w:shd w:val="clear" w:color="auto" w:fill="auto"/>
            <w:vAlign w:val="bottom"/>
            <w:hideMark/>
          </w:tcPr>
          <w:p w14:paraId="7F24A5BE" w14:textId="7782993E" w:rsidR="00DC2EB2" w:rsidRPr="00DC2EB2" w:rsidRDefault="00921492"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93.3 (2.15</w:t>
            </w:r>
            <w:r w:rsidR="00DC2EB2" w:rsidRPr="00DC2EB2">
              <w:rPr>
                <w:rFonts w:ascii="Calibri" w:eastAsia="Times New Roman" w:hAnsi="Calibri" w:cs="Times New Roman"/>
                <w:color w:val="000000"/>
              </w:rPr>
              <w:t>)</w:t>
            </w:r>
          </w:p>
        </w:tc>
        <w:tc>
          <w:tcPr>
            <w:tcW w:w="760" w:type="dxa"/>
            <w:tcBorders>
              <w:top w:val="nil"/>
              <w:left w:val="nil"/>
              <w:bottom w:val="nil"/>
              <w:right w:val="nil"/>
            </w:tcBorders>
            <w:shd w:val="clear" w:color="auto" w:fill="auto"/>
            <w:vAlign w:val="bottom"/>
            <w:hideMark/>
          </w:tcPr>
          <w:p w14:paraId="3BF76D39" w14:textId="214C81CF" w:rsidR="00DC2EB2" w:rsidRPr="00DC2EB2" w:rsidRDefault="00D96245"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50.4 (7.49</w:t>
            </w:r>
            <w:r w:rsidR="00DC2EB2" w:rsidRPr="00DC2EB2">
              <w:rPr>
                <w:rFonts w:ascii="Calibri" w:eastAsia="Times New Roman" w:hAnsi="Calibri" w:cs="Times New Roman"/>
                <w:color w:val="000000"/>
              </w:rPr>
              <w:t>)</w:t>
            </w:r>
          </w:p>
        </w:tc>
        <w:tc>
          <w:tcPr>
            <w:tcW w:w="740" w:type="dxa"/>
            <w:tcBorders>
              <w:top w:val="nil"/>
              <w:left w:val="nil"/>
              <w:bottom w:val="nil"/>
              <w:right w:val="nil"/>
            </w:tcBorders>
            <w:shd w:val="clear" w:color="auto" w:fill="auto"/>
            <w:vAlign w:val="bottom"/>
            <w:hideMark/>
          </w:tcPr>
          <w:p w14:paraId="76EFCE1F" w14:textId="77777777" w:rsidR="00791CF7"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0</w:t>
            </w:r>
          </w:p>
          <w:p w14:paraId="1E25FFA5" w14:textId="5E3D764A"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 xml:space="preserve"> (0)</w:t>
            </w:r>
          </w:p>
        </w:tc>
      </w:tr>
      <w:tr w:rsidR="00DC2EB2" w:rsidRPr="00DC2EB2" w14:paraId="7423783E" w14:textId="77777777" w:rsidTr="00F45DB3">
        <w:trPr>
          <w:trHeight w:val="600"/>
        </w:trPr>
        <w:tc>
          <w:tcPr>
            <w:tcW w:w="1620" w:type="dxa"/>
            <w:tcBorders>
              <w:top w:val="nil"/>
              <w:left w:val="nil"/>
              <w:bottom w:val="single" w:sz="4" w:space="0" w:color="auto"/>
              <w:right w:val="nil"/>
            </w:tcBorders>
            <w:shd w:val="clear" w:color="auto" w:fill="auto"/>
            <w:hideMark/>
          </w:tcPr>
          <w:p w14:paraId="050090BD" w14:textId="483A2E6B" w:rsidR="00DC2EB2" w:rsidRPr="00DC2EB2" w:rsidRDefault="00DC2EB2" w:rsidP="00DC2EB2">
            <w:pPr>
              <w:spacing w:after="0" w:line="240" w:lineRule="auto"/>
              <w:rPr>
                <w:rFonts w:ascii="Calibri" w:eastAsia="Times New Roman" w:hAnsi="Calibri" w:cs="Times New Roman"/>
                <w:b/>
                <w:bCs/>
                <w:color w:val="000000"/>
              </w:rPr>
            </w:pPr>
            <w:r w:rsidRPr="00DC2EB2">
              <w:rPr>
                <w:rFonts w:ascii="Calibri" w:eastAsia="Times New Roman" w:hAnsi="Calibri" w:cs="Times New Roman"/>
                <w:b/>
                <w:bCs/>
                <w:color w:val="000000"/>
              </w:rPr>
              <w:t>Anc80L65</w:t>
            </w:r>
            <w:r>
              <w:rPr>
                <w:rFonts w:ascii="Calibri" w:eastAsia="Times New Roman" w:hAnsi="Calibri" w:cs="Times New Roman"/>
                <w:b/>
                <w:bCs/>
                <w:color w:val="000000"/>
              </w:rPr>
              <w:t xml:space="preserve"> </w:t>
            </w:r>
          </w:p>
        </w:tc>
        <w:tc>
          <w:tcPr>
            <w:tcW w:w="760" w:type="dxa"/>
            <w:tcBorders>
              <w:top w:val="nil"/>
              <w:left w:val="nil"/>
              <w:bottom w:val="single" w:sz="4" w:space="0" w:color="auto"/>
              <w:right w:val="nil"/>
            </w:tcBorders>
            <w:shd w:val="clear" w:color="auto" w:fill="auto"/>
            <w:vAlign w:val="bottom"/>
            <w:hideMark/>
          </w:tcPr>
          <w:p w14:paraId="01BD5504" w14:textId="62A8EFCE" w:rsidR="00DC2EB2" w:rsidRPr="00DC2EB2" w:rsidRDefault="00261980"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94.0 (3.63</w:t>
            </w:r>
            <w:r w:rsidR="00DC2EB2" w:rsidRPr="00DC2EB2">
              <w:rPr>
                <w:rFonts w:ascii="Calibri" w:eastAsia="Times New Roman" w:hAnsi="Calibri" w:cs="Times New Roman"/>
                <w:color w:val="000000"/>
              </w:rPr>
              <w:t>)</w:t>
            </w:r>
          </w:p>
        </w:tc>
        <w:tc>
          <w:tcPr>
            <w:tcW w:w="760" w:type="dxa"/>
            <w:tcBorders>
              <w:top w:val="nil"/>
              <w:left w:val="nil"/>
              <w:bottom w:val="single" w:sz="4" w:space="0" w:color="auto"/>
              <w:right w:val="nil"/>
            </w:tcBorders>
            <w:shd w:val="clear" w:color="auto" w:fill="auto"/>
            <w:vAlign w:val="bottom"/>
            <w:hideMark/>
          </w:tcPr>
          <w:p w14:paraId="57733053" w14:textId="1EF14093" w:rsidR="00DC2EB2" w:rsidRPr="00DC2EB2" w:rsidRDefault="00261980" w:rsidP="00DC2EB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67.0 (4.32</w:t>
            </w:r>
            <w:r w:rsidR="00DC2EB2" w:rsidRPr="00DC2EB2">
              <w:rPr>
                <w:rFonts w:ascii="Calibri" w:eastAsia="Times New Roman" w:hAnsi="Calibri" w:cs="Times New Roman"/>
                <w:color w:val="000000"/>
              </w:rPr>
              <w:t>)</w:t>
            </w:r>
          </w:p>
        </w:tc>
        <w:tc>
          <w:tcPr>
            <w:tcW w:w="825" w:type="dxa"/>
            <w:tcBorders>
              <w:top w:val="nil"/>
              <w:left w:val="nil"/>
              <w:bottom w:val="single" w:sz="4" w:space="0" w:color="auto"/>
              <w:right w:val="nil"/>
            </w:tcBorders>
            <w:shd w:val="clear" w:color="auto" w:fill="auto"/>
            <w:vAlign w:val="bottom"/>
            <w:hideMark/>
          </w:tcPr>
          <w:p w14:paraId="7911D0FE" w14:textId="58D40332"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 xml:space="preserve">67.7 </w:t>
            </w:r>
            <w:r w:rsidR="00921492">
              <w:rPr>
                <w:rFonts w:ascii="Calibri" w:eastAsia="Times New Roman" w:hAnsi="Calibri" w:cs="Times New Roman"/>
                <w:color w:val="000000"/>
              </w:rPr>
              <w:t>(2.46</w:t>
            </w:r>
            <w:r w:rsidRPr="00DC2EB2">
              <w:rPr>
                <w:rFonts w:ascii="Calibri" w:eastAsia="Times New Roman" w:hAnsi="Calibri" w:cs="Times New Roman"/>
                <w:color w:val="000000"/>
              </w:rPr>
              <w:t>)</w:t>
            </w:r>
          </w:p>
        </w:tc>
        <w:tc>
          <w:tcPr>
            <w:tcW w:w="760" w:type="dxa"/>
            <w:tcBorders>
              <w:top w:val="nil"/>
              <w:left w:val="nil"/>
              <w:bottom w:val="single" w:sz="4" w:space="0" w:color="auto"/>
              <w:right w:val="nil"/>
            </w:tcBorders>
            <w:shd w:val="clear" w:color="auto" w:fill="auto"/>
            <w:vAlign w:val="bottom"/>
            <w:hideMark/>
          </w:tcPr>
          <w:p w14:paraId="3B8BA63F" w14:textId="77777777"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75.3 (4.94)</w:t>
            </w:r>
          </w:p>
        </w:tc>
        <w:tc>
          <w:tcPr>
            <w:tcW w:w="740" w:type="dxa"/>
            <w:tcBorders>
              <w:top w:val="nil"/>
              <w:left w:val="nil"/>
              <w:bottom w:val="single" w:sz="4" w:space="0" w:color="auto"/>
              <w:right w:val="nil"/>
            </w:tcBorders>
            <w:shd w:val="clear" w:color="auto" w:fill="auto"/>
            <w:vAlign w:val="bottom"/>
            <w:hideMark/>
          </w:tcPr>
          <w:p w14:paraId="0D7B3E1B" w14:textId="77777777" w:rsidR="00791CF7"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 xml:space="preserve">0 </w:t>
            </w:r>
          </w:p>
          <w:p w14:paraId="77759008" w14:textId="12D8427C" w:rsidR="00DC2EB2" w:rsidRPr="00DC2EB2" w:rsidRDefault="00DC2EB2" w:rsidP="00DC2EB2">
            <w:pPr>
              <w:spacing w:after="0" w:line="240" w:lineRule="auto"/>
              <w:jc w:val="center"/>
              <w:rPr>
                <w:rFonts w:ascii="Calibri" w:eastAsia="Times New Roman" w:hAnsi="Calibri" w:cs="Times New Roman"/>
                <w:color w:val="000000"/>
              </w:rPr>
            </w:pPr>
            <w:r w:rsidRPr="00DC2EB2">
              <w:rPr>
                <w:rFonts w:ascii="Calibri" w:eastAsia="Times New Roman" w:hAnsi="Calibri" w:cs="Times New Roman"/>
                <w:color w:val="000000"/>
              </w:rPr>
              <w:t>(0)</w:t>
            </w:r>
          </w:p>
        </w:tc>
      </w:tr>
    </w:tbl>
    <w:p w14:paraId="2CEECB47" w14:textId="6A0F34F3" w:rsidR="00010BE5" w:rsidRPr="00272380" w:rsidRDefault="001E0A93" w:rsidP="001E0A93">
      <w:pPr>
        <w:spacing w:line="240" w:lineRule="auto"/>
        <w:rPr>
          <w:rFonts w:ascii="Arial" w:hAnsi="Arial" w:cs="Arial"/>
          <w:sz w:val="20"/>
          <w:szCs w:val="20"/>
        </w:rPr>
      </w:pPr>
      <w:r w:rsidRPr="00272380">
        <w:rPr>
          <w:rFonts w:ascii="Arial" w:hAnsi="Arial" w:cs="Arial"/>
          <w:sz w:val="20"/>
          <w:szCs w:val="20"/>
        </w:rPr>
        <w:t>Infection efficiency of A</w:t>
      </w:r>
      <w:r w:rsidR="00DC2EB2" w:rsidRPr="00272380">
        <w:rPr>
          <w:rFonts w:ascii="Arial" w:hAnsi="Arial" w:cs="Arial"/>
          <w:sz w:val="20"/>
          <w:szCs w:val="20"/>
        </w:rPr>
        <w:t>AVs in various cell types in the inner ear</w:t>
      </w:r>
      <w:r w:rsidRPr="00272380">
        <w:rPr>
          <w:rFonts w:ascii="Arial" w:hAnsi="Arial" w:cs="Arial"/>
          <w:sz w:val="20"/>
          <w:szCs w:val="20"/>
        </w:rPr>
        <w:t xml:space="preserve">. The infection rate (%) as well as the standard </w:t>
      </w:r>
      <w:r w:rsidR="00DC2EB2" w:rsidRPr="00272380">
        <w:rPr>
          <w:rFonts w:ascii="Arial" w:hAnsi="Arial" w:cs="Arial"/>
          <w:sz w:val="20"/>
          <w:szCs w:val="20"/>
        </w:rPr>
        <w:t>error</w:t>
      </w:r>
      <w:r w:rsidRPr="00272380">
        <w:rPr>
          <w:rFonts w:ascii="Arial" w:hAnsi="Arial" w:cs="Arial"/>
          <w:sz w:val="20"/>
          <w:szCs w:val="20"/>
        </w:rPr>
        <w:t xml:space="preserve"> (in parenthesis) are shown. </w:t>
      </w:r>
      <w:r w:rsidR="00DC2EB2" w:rsidRPr="00272380">
        <w:rPr>
          <w:rFonts w:ascii="Arial" w:hAnsi="Arial" w:cs="Arial"/>
          <w:sz w:val="20"/>
          <w:szCs w:val="20"/>
        </w:rPr>
        <w:t xml:space="preserve">IHC: inner hair cell. OHC: outer hair cell. IPC: inner pillar cell. IPhC: inner phalangeal cell. </w:t>
      </w:r>
    </w:p>
    <w:sectPr w:rsidR="00010BE5" w:rsidRPr="00272380" w:rsidSect="003C5D57">
      <w:footerReference w:type="default" r:id="rId11"/>
      <w:pgSz w:w="12240" w:h="15840"/>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988C78" w16cid:durableId="1E54E9EA"/>
  <w16cid:commentId w16cid:paraId="23117DF4" w16cid:durableId="1E54EA2D"/>
  <w16cid:commentId w16cid:paraId="79755C7E" w16cid:durableId="1E54EA85"/>
  <w16cid:commentId w16cid:paraId="2114CC2E" w16cid:durableId="1E54EAD8"/>
  <w16cid:commentId w16cid:paraId="089378ED" w16cid:durableId="1E54EB52"/>
  <w16cid:commentId w16cid:paraId="3764CDF6" w16cid:durableId="1E54EBA4"/>
  <w16cid:commentId w16cid:paraId="20F50604" w16cid:durableId="1E54EC62"/>
  <w16cid:commentId w16cid:paraId="79B255D4" w16cid:durableId="1E550B6B"/>
  <w16cid:commentId w16cid:paraId="73DE6956" w16cid:durableId="1E550BBD"/>
  <w16cid:commentId w16cid:paraId="178A20E6" w16cid:durableId="1E550C5B"/>
  <w16cid:commentId w16cid:paraId="27C4F6E8" w16cid:durableId="1E550C83"/>
  <w16cid:commentId w16cid:paraId="26339E15" w16cid:durableId="1E550CFC"/>
  <w16cid:commentId w16cid:paraId="64D1077D" w16cid:durableId="1E550D95"/>
  <w16cid:commentId w16cid:paraId="5476E782" w16cid:durableId="1E550E8A"/>
  <w16cid:commentId w16cid:paraId="1E968403" w16cid:durableId="1E550EE9"/>
  <w16cid:commentId w16cid:paraId="165A5F9B" w16cid:durableId="1E550F51"/>
  <w16cid:commentId w16cid:paraId="308B7429" w16cid:durableId="1E550F86"/>
  <w16cid:commentId w16cid:paraId="15A71927" w16cid:durableId="1E550FAE"/>
  <w16cid:commentId w16cid:paraId="70D50E39" w16cid:durableId="1E550FD6"/>
  <w16cid:commentId w16cid:paraId="01B143F9" w16cid:durableId="1E550FF5"/>
  <w16cid:commentId w16cid:paraId="4703B26A" w16cid:durableId="1E551064"/>
  <w16cid:commentId w16cid:paraId="73C0A897" w16cid:durableId="1E551129"/>
  <w16cid:commentId w16cid:paraId="1372F84B" w16cid:durableId="1E5511CC"/>
  <w16cid:commentId w16cid:paraId="763F916D" w16cid:durableId="1E5511ED"/>
  <w16cid:commentId w16cid:paraId="7AF7A68B" w16cid:durableId="1E551243"/>
  <w16cid:commentId w16cid:paraId="64319B68" w16cid:durableId="1E5512D0"/>
  <w16cid:commentId w16cid:paraId="3D1C388F" w16cid:durableId="1E55130B"/>
  <w16cid:commentId w16cid:paraId="253879A4" w16cid:durableId="1E5513EF"/>
  <w16cid:commentId w16cid:paraId="2BB6FC2C" w16cid:durableId="1E551430"/>
  <w16cid:commentId w16cid:paraId="37F9260B" w16cid:durableId="1E5514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31E84" w14:textId="77777777" w:rsidR="00537293" w:rsidRDefault="00537293" w:rsidP="00780BE9">
      <w:pPr>
        <w:spacing w:after="0" w:line="240" w:lineRule="auto"/>
      </w:pPr>
      <w:r>
        <w:separator/>
      </w:r>
    </w:p>
  </w:endnote>
  <w:endnote w:type="continuationSeparator" w:id="0">
    <w:p w14:paraId="1258C4B0" w14:textId="77777777" w:rsidR="00537293" w:rsidRDefault="00537293" w:rsidP="00780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8221261"/>
      <w:docPartObj>
        <w:docPartGallery w:val="Page Numbers (Bottom of Page)"/>
        <w:docPartUnique/>
      </w:docPartObj>
    </w:sdtPr>
    <w:sdtEndPr>
      <w:rPr>
        <w:noProof/>
      </w:rPr>
    </w:sdtEndPr>
    <w:sdtContent>
      <w:p w14:paraId="7B332AFD" w14:textId="339CF4DB" w:rsidR="00E37BFD" w:rsidRDefault="00E37BFD">
        <w:pPr>
          <w:pStyle w:val="Footer"/>
          <w:jc w:val="center"/>
        </w:pPr>
        <w:r>
          <w:fldChar w:fldCharType="begin"/>
        </w:r>
        <w:r>
          <w:instrText xml:space="preserve"> PAGE   \* MERGEFORMAT </w:instrText>
        </w:r>
        <w:r>
          <w:fldChar w:fldCharType="separate"/>
        </w:r>
        <w:r w:rsidR="003F6EAC">
          <w:rPr>
            <w:noProof/>
          </w:rPr>
          <w:t>5</w:t>
        </w:r>
        <w:r>
          <w:rPr>
            <w:noProof/>
          </w:rPr>
          <w:fldChar w:fldCharType="end"/>
        </w:r>
      </w:p>
    </w:sdtContent>
  </w:sdt>
  <w:p w14:paraId="0598F221" w14:textId="77777777" w:rsidR="00E37BFD" w:rsidRDefault="00E37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47B05" w14:textId="77777777" w:rsidR="00537293" w:rsidRDefault="00537293" w:rsidP="00780BE9">
      <w:pPr>
        <w:spacing w:after="0" w:line="240" w:lineRule="auto"/>
      </w:pPr>
      <w:r>
        <w:separator/>
      </w:r>
    </w:p>
  </w:footnote>
  <w:footnote w:type="continuationSeparator" w:id="0">
    <w:p w14:paraId="2F0D2BE1" w14:textId="77777777" w:rsidR="00537293" w:rsidRDefault="00537293" w:rsidP="00780B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Nature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awprrzs4fa92qet0r3xzxxdwvepew59d9dx&quot;&gt;WC_Library&lt;record-ids&gt;&lt;item&gt;539&lt;/item&gt;&lt;item&gt;1470&lt;/item&gt;&lt;item&gt;1471&lt;/item&gt;&lt;item&gt;1572&lt;/item&gt;&lt;item&gt;1731&lt;/item&gt;&lt;item&gt;1747&lt;/item&gt;&lt;item&gt;1748&lt;/item&gt;&lt;item&gt;1769&lt;/item&gt;&lt;item&gt;1779&lt;/item&gt;&lt;item&gt;1781&lt;/item&gt;&lt;item&gt;1828&lt;/item&gt;&lt;item&gt;1830&lt;/item&gt;&lt;item&gt;1838&lt;/item&gt;&lt;item&gt;1859&lt;/item&gt;&lt;item&gt;1867&lt;/item&gt;&lt;item&gt;1869&lt;/item&gt;&lt;item&gt;1893&lt;/item&gt;&lt;item&gt;1919&lt;/item&gt;&lt;item&gt;1920&lt;/item&gt;&lt;item&gt;1922&lt;/item&gt;&lt;item&gt;1923&lt;/item&gt;&lt;item&gt;1930&lt;/item&gt;&lt;item&gt;1931&lt;/item&gt;&lt;item&gt;1933&lt;/item&gt;&lt;item&gt;1947&lt;/item&gt;&lt;item&gt;1951&lt;/item&gt;&lt;item&gt;2099&lt;/item&gt;&lt;item&gt;2101&lt;/item&gt;&lt;/record-ids&gt;&lt;/item&gt;&lt;/Libraries&gt;"/>
  </w:docVars>
  <w:rsids>
    <w:rsidRoot w:val="00B24389"/>
    <w:rsid w:val="00004FDA"/>
    <w:rsid w:val="00006879"/>
    <w:rsid w:val="00010BE5"/>
    <w:rsid w:val="000139AD"/>
    <w:rsid w:val="000171B5"/>
    <w:rsid w:val="00021083"/>
    <w:rsid w:val="000221F3"/>
    <w:rsid w:val="00023B82"/>
    <w:rsid w:val="00024043"/>
    <w:rsid w:val="000240E9"/>
    <w:rsid w:val="00030017"/>
    <w:rsid w:val="00032F98"/>
    <w:rsid w:val="00034D41"/>
    <w:rsid w:val="000513B5"/>
    <w:rsid w:val="00051841"/>
    <w:rsid w:val="0005331F"/>
    <w:rsid w:val="00056095"/>
    <w:rsid w:val="00056B1B"/>
    <w:rsid w:val="00061370"/>
    <w:rsid w:val="00064316"/>
    <w:rsid w:val="000664F2"/>
    <w:rsid w:val="00072858"/>
    <w:rsid w:val="00077EB3"/>
    <w:rsid w:val="0008021F"/>
    <w:rsid w:val="0008629A"/>
    <w:rsid w:val="000910C5"/>
    <w:rsid w:val="000936AA"/>
    <w:rsid w:val="0009667C"/>
    <w:rsid w:val="00097BE5"/>
    <w:rsid w:val="000A037A"/>
    <w:rsid w:val="000A1DF4"/>
    <w:rsid w:val="000A2D78"/>
    <w:rsid w:val="000B4522"/>
    <w:rsid w:val="000B5BA4"/>
    <w:rsid w:val="000B6460"/>
    <w:rsid w:val="000C372F"/>
    <w:rsid w:val="000D701C"/>
    <w:rsid w:val="000D7EED"/>
    <w:rsid w:val="000E0543"/>
    <w:rsid w:val="000E50CA"/>
    <w:rsid w:val="000F5FBA"/>
    <w:rsid w:val="000F71BD"/>
    <w:rsid w:val="0010301A"/>
    <w:rsid w:val="00103E7B"/>
    <w:rsid w:val="00106303"/>
    <w:rsid w:val="001160B6"/>
    <w:rsid w:val="00116588"/>
    <w:rsid w:val="001172EC"/>
    <w:rsid w:val="001175E7"/>
    <w:rsid w:val="001343E6"/>
    <w:rsid w:val="00142600"/>
    <w:rsid w:val="001433C9"/>
    <w:rsid w:val="0014614A"/>
    <w:rsid w:val="0015308A"/>
    <w:rsid w:val="00154578"/>
    <w:rsid w:val="001547E9"/>
    <w:rsid w:val="00154853"/>
    <w:rsid w:val="00156892"/>
    <w:rsid w:val="00161D0F"/>
    <w:rsid w:val="0016259D"/>
    <w:rsid w:val="0016352E"/>
    <w:rsid w:val="0017111E"/>
    <w:rsid w:val="00180BCD"/>
    <w:rsid w:val="00181318"/>
    <w:rsid w:val="00182E60"/>
    <w:rsid w:val="00194F24"/>
    <w:rsid w:val="001957F6"/>
    <w:rsid w:val="00195AD1"/>
    <w:rsid w:val="001A69AF"/>
    <w:rsid w:val="001B1421"/>
    <w:rsid w:val="001B4E71"/>
    <w:rsid w:val="001B6722"/>
    <w:rsid w:val="001C17B7"/>
    <w:rsid w:val="001C4D6A"/>
    <w:rsid w:val="001C6905"/>
    <w:rsid w:val="001D122C"/>
    <w:rsid w:val="001D2A06"/>
    <w:rsid w:val="001E000E"/>
    <w:rsid w:val="001E0A93"/>
    <w:rsid w:val="001E6613"/>
    <w:rsid w:val="001F37CA"/>
    <w:rsid w:val="001F65EF"/>
    <w:rsid w:val="001F6D1C"/>
    <w:rsid w:val="0021261C"/>
    <w:rsid w:val="00214AAB"/>
    <w:rsid w:val="00223EC4"/>
    <w:rsid w:val="00225187"/>
    <w:rsid w:val="00226C4B"/>
    <w:rsid w:val="00234FCB"/>
    <w:rsid w:val="00243270"/>
    <w:rsid w:val="0024595F"/>
    <w:rsid w:val="00247F4D"/>
    <w:rsid w:val="00256100"/>
    <w:rsid w:val="002614C9"/>
    <w:rsid w:val="00261980"/>
    <w:rsid w:val="00262A56"/>
    <w:rsid w:val="002669E7"/>
    <w:rsid w:val="00272380"/>
    <w:rsid w:val="00272BCA"/>
    <w:rsid w:val="0029403B"/>
    <w:rsid w:val="002A29FF"/>
    <w:rsid w:val="002A4EC0"/>
    <w:rsid w:val="002B4A77"/>
    <w:rsid w:val="002B4F5D"/>
    <w:rsid w:val="002B6B42"/>
    <w:rsid w:val="002C3EAA"/>
    <w:rsid w:val="002C5B78"/>
    <w:rsid w:val="002D145E"/>
    <w:rsid w:val="002E2D2E"/>
    <w:rsid w:val="002E676B"/>
    <w:rsid w:val="002F37F7"/>
    <w:rsid w:val="002F58D7"/>
    <w:rsid w:val="002F7122"/>
    <w:rsid w:val="003002A3"/>
    <w:rsid w:val="00306102"/>
    <w:rsid w:val="0030662F"/>
    <w:rsid w:val="00314D51"/>
    <w:rsid w:val="00323B4F"/>
    <w:rsid w:val="00332F41"/>
    <w:rsid w:val="00336264"/>
    <w:rsid w:val="0033737F"/>
    <w:rsid w:val="0034010C"/>
    <w:rsid w:val="00340728"/>
    <w:rsid w:val="00355F80"/>
    <w:rsid w:val="003603FE"/>
    <w:rsid w:val="00360DD4"/>
    <w:rsid w:val="003638EA"/>
    <w:rsid w:val="003717CD"/>
    <w:rsid w:val="00371C72"/>
    <w:rsid w:val="00381F55"/>
    <w:rsid w:val="00383676"/>
    <w:rsid w:val="00385331"/>
    <w:rsid w:val="003858B9"/>
    <w:rsid w:val="00397919"/>
    <w:rsid w:val="003B19C2"/>
    <w:rsid w:val="003B1DAF"/>
    <w:rsid w:val="003C3CDD"/>
    <w:rsid w:val="003C4ABB"/>
    <w:rsid w:val="003C5D57"/>
    <w:rsid w:val="003D3F1F"/>
    <w:rsid w:val="003D4B1D"/>
    <w:rsid w:val="003D4CC9"/>
    <w:rsid w:val="003E39C1"/>
    <w:rsid w:val="003E46C5"/>
    <w:rsid w:val="003E7339"/>
    <w:rsid w:val="003E7A48"/>
    <w:rsid w:val="003F6EAC"/>
    <w:rsid w:val="0040417A"/>
    <w:rsid w:val="00405679"/>
    <w:rsid w:val="00414A96"/>
    <w:rsid w:val="0041689C"/>
    <w:rsid w:val="00436A0B"/>
    <w:rsid w:val="004410EE"/>
    <w:rsid w:val="004433E2"/>
    <w:rsid w:val="00444B86"/>
    <w:rsid w:val="00444D11"/>
    <w:rsid w:val="0044595C"/>
    <w:rsid w:val="00446A4E"/>
    <w:rsid w:val="00446BE4"/>
    <w:rsid w:val="0044718E"/>
    <w:rsid w:val="00453BC4"/>
    <w:rsid w:val="004557C6"/>
    <w:rsid w:val="0047071A"/>
    <w:rsid w:val="00471AB5"/>
    <w:rsid w:val="00484881"/>
    <w:rsid w:val="00491105"/>
    <w:rsid w:val="00491118"/>
    <w:rsid w:val="00491641"/>
    <w:rsid w:val="00491643"/>
    <w:rsid w:val="004A2D66"/>
    <w:rsid w:val="004A3AC4"/>
    <w:rsid w:val="004A5887"/>
    <w:rsid w:val="004A6673"/>
    <w:rsid w:val="004A6843"/>
    <w:rsid w:val="004B15B2"/>
    <w:rsid w:val="004B24E6"/>
    <w:rsid w:val="004B55C3"/>
    <w:rsid w:val="004B5614"/>
    <w:rsid w:val="004B563B"/>
    <w:rsid w:val="004B6D8D"/>
    <w:rsid w:val="004C3616"/>
    <w:rsid w:val="004D040F"/>
    <w:rsid w:val="004D39F1"/>
    <w:rsid w:val="004D49F1"/>
    <w:rsid w:val="004D69CD"/>
    <w:rsid w:val="004E0F96"/>
    <w:rsid w:val="004E1524"/>
    <w:rsid w:val="004E6E98"/>
    <w:rsid w:val="004F1A32"/>
    <w:rsid w:val="004F69CB"/>
    <w:rsid w:val="00502E38"/>
    <w:rsid w:val="00504483"/>
    <w:rsid w:val="0052077C"/>
    <w:rsid w:val="00537293"/>
    <w:rsid w:val="00546186"/>
    <w:rsid w:val="00551016"/>
    <w:rsid w:val="00562DF6"/>
    <w:rsid w:val="00566A76"/>
    <w:rsid w:val="00566F75"/>
    <w:rsid w:val="0056749E"/>
    <w:rsid w:val="00574458"/>
    <w:rsid w:val="005748B9"/>
    <w:rsid w:val="005817F8"/>
    <w:rsid w:val="0058191A"/>
    <w:rsid w:val="00581E69"/>
    <w:rsid w:val="005873E6"/>
    <w:rsid w:val="00591376"/>
    <w:rsid w:val="005914EE"/>
    <w:rsid w:val="00592581"/>
    <w:rsid w:val="00592BAC"/>
    <w:rsid w:val="005A04E4"/>
    <w:rsid w:val="005A14CB"/>
    <w:rsid w:val="005A18A2"/>
    <w:rsid w:val="005A23C0"/>
    <w:rsid w:val="005A26A8"/>
    <w:rsid w:val="005A6FAD"/>
    <w:rsid w:val="005A773B"/>
    <w:rsid w:val="005B7367"/>
    <w:rsid w:val="005C0645"/>
    <w:rsid w:val="005C0A00"/>
    <w:rsid w:val="005C106F"/>
    <w:rsid w:val="005C4E32"/>
    <w:rsid w:val="005D2BD9"/>
    <w:rsid w:val="005D42A5"/>
    <w:rsid w:val="005E5C24"/>
    <w:rsid w:val="005E7EDB"/>
    <w:rsid w:val="005F3D7B"/>
    <w:rsid w:val="00601DEF"/>
    <w:rsid w:val="006123AE"/>
    <w:rsid w:val="00614AB7"/>
    <w:rsid w:val="006152D3"/>
    <w:rsid w:val="00617809"/>
    <w:rsid w:val="006208FE"/>
    <w:rsid w:val="006307C4"/>
    <w:rsid w:val="006369B2"/>
    <w:rsid w:val="00637583"/>
    <w:rsid w:val="00640B9B"/>
    <w:rsid w:val="00645C5D"/>
    <w:rsid w:val="00646C43"/>
    <w:rsid w:val="00647D8C"/>
    <w:rsid w:val="00650FB8"/>
    <w:rsid w:val="00652B36"/>
    <w:rsid w:val="00652BFD"/>
    <w:rsid w:val="00652C08"/>
    <w:rsid w:val="00660042"/>
    <w:rsid w:val="00662063"/>
    <w:rsid w:val="006721CB"/>
    <w:rsid w:val="0067459B"/>
    <w:rsid w:val="006831B2"/>
    <w:rsid w:val="00683BCF"/>
    <w:rsid w:val="00693637"/>
    <w:rsid w:val="006936F0"/>
    <w:rsid w:val="006A66E5"/>
    <w:rsid w:val="006B2181"/>
    <w:rsid w:val="006B29FF"/>
    <w:rsid w:val="006B7346"/>
    <w:rsid w:val="006C2F62"/>
    <w:rsid w:val="006D1471"/>
    <w:rsid w:val="006D18BF"/>
    <w:rsid w:val="006D4B07"/>
    <w:rsid w:val="006E0395"/>
    <w:rsid w:val="006E3B7B"/>
    <w:rsid w:val="006E788C"/>
    <w:rsid w:val="006F2934"/>
    <w:rsid w:val="006F30CC"/>
    <w:rsid w:val="006F659E"/>
    <w:rsid w:val="00700077"/>
    <w:rsid w:val="00700565"/>
    <w:rsid w:val="00700C42"/>
    <w:rsid w:val="007025FF"/>
    <w:rsid w:val="00703471"/>
    <w:rsid w:val="00704992"/>
    <w:rsid w:val="0070540B"/>
    <w:rsid w:val="007110DB"/>
    <w:rsid w:val="007172A9"/>
    <w:rsid w:val="00726A8B"/>
    <w:rsid w:val="00730671"/>
    <w:rsid w:val="007309E4"/>
    <w:rsid w:val="00730AB7"/>
    <w:rsid w:val="00732AED"/>
    <w:rsid w:val="00733329"/>
    <w:rsid w:val="00736136"/>
    <w:rsid w:val="0073619D"/>
    <w:rsid w:val="00736505"/>
    <w:rsid w:val="00742CDC"/>
    <w:rsid w:val="0074357A"/>
    <w:rsid w:val="007468DF"/>
    <w:rsid w:val="00753D01"/>
    <w:rsid w:val="00756205"/>
    <w:rsid w:val="00757DCC"/>
    <w:rsid w:val="00757F49"/>
    <w:rsid w:val="00760D88"/>
    <w:rsid w:val="007638BA"/>
    <w:rsid w:val="00765288"/>
    <w:rsid w:val="00767675"/>
    <w:rsid w:val="00770FEB"/>
    <w:rsid w:val="007741DD"/>
    <w:rsid w:val="00776667"/>
    <w:rsid w:val="00780BE9"/>
    <w:rsid w:val="00781DE9"/>
    <w:rsid w:val="007855D7"/>
    <w:rsid w:val="0078625A"/>
    <w:rsid w:val="0079097F"/>
    <w:rsid w:val="00790BD7"/>
    <w:rsid w:val="00791A14"/>
    <w:rsid w:val="00791CF7"/>
    <w:rsid w:val="00796428"/>
    <w:rsid w:val="00797091"/>
    <w:rsid w:val="007B6C2A"/>
    <w:rsid w:val="007B6E0F"/>
    <w:rsid w:val="007C2822"/>
    <w:rsid w:val="007C48B4"/>
    <w:rsid w:val="007D45E3"/>
    <w:rsid w:val="007D7FDF"/>
    <w:rsid w:val="007E4A96"/>
    <w:rsid w:val="007F1FCE"/>
    <w:rsid w:val="007F2A3A"/>
    <w:rsid w:val="007F6373"/>
    <w:rsid w:val="00800C57"/>
    <w:rsid w:val="00804B75"/>
    <w:rsid w:val="00810FF9"/>
    <w:rsid w:val="00812082"/>
    <w:rsid w:val="00813236"/>
    <w:rsid w:val="008156EA"/>
    <w:rsid w:val="00820FAB"/>
    <w:rsid w:val="008260E0"/>
    <w:rsid w:val="008324A0"/>
    <w:rsid w:val="00840988"/>
    <w:rsid w:val="0084324C"/>
    <w:rsid w:val="00846ED8"/>
    <w:rsid w:val="0085249F"/>
    <w:rsid w:val="0085455B"/>
    <w:rsid w:val="0085564B"/>
    <w:rsid w:val="008568C4"/>
    <w:rsid w:val="0086400A"/>
    <w:rsid w:val="00865A42"/>
    <w:rsid w:val="00866D8D"/>
    <w:rsid w:val="0087289B"/>
    <w:rsid w:val="008756D7"/>
    <w:rsid w:val="00876BBF"/>
    <w:rsid w:val="008818C9"/>
    <w:rsid w:val="008850AF"/>
    <w:rsid w:val="00887377"/>
    <w:rsid w:val="008910D1"/>
    <w:rsid w:val="008A12FB"/>
    <w:rsid w:val="008A5993"/>
    <w:rsid w:val="008A7AAC"/>
    <w:rsid w:val="008B045E"/>
    <w:rsid w:val="008B0E93"/>
    <w:rsid w:val="008B4648"/>
    <w:rsid w:val="008D7C43"/>
    <w:rsid w:val="008E548D"/>
    <w:rsid w:val="008F42CF"/>
    <w:rsid w:val="009065EB"/>
    <w:rsid w:val="0091602F"/>
    <w:rsid w:val="009175F9"/>
    <w:rsid w:val="00917865"/>
    <w:rsid w:val="009200D1"/>
    <w:rsid w:val="0092075E"/>
    <w:rsid w:val="0092092C"/>
    <w:rsid w:val="00921373"/>
    <w:rsid w:val="00921492"/>
    <w:rsid w:val="009409ED"/>
    <w:rsid w:val="0094430C"/>
    <w:rsid w:val="00955B6C"/>
    <w:rsid w:val="00962253"/>
    <w:rsid w:val="009643FF"/>
    <w:rsid w:val="00967FC9"/>
    <w:rsid w:val="00984F09"/>
    <w:rsid w:val="00985D01"/>
    <w:rsid w:val="00986B5B"/>
    <w:rsid w:val="00986F73"/>
    <w:rsid w:val="0099686A"/>
    <w:rsid w:val="00996D9A"/>
    <w:rsid w:val="00996ECE"/>
    <w:rsid w:val="00997041"/>
    <w:rsid w:val="009A2B19"/>
    <w:rsid w:val="009A3D4E"/>
    <w:rsid w:val="009A5F01"/>
    <w:rsid w:val="009A6DB2"/>
    <w:rsid w:val="009A6F30"/>
    <w:rsid w:val="009A7CFF"/>
    <w:rsid w:val="009B0E24"/>
    <w:rsid w:val="009B3F67"/>
    <w:rsid w:val="009B440A"/>
    <w:rsid w:val="009B572D"/>
    <w:rsid w:val="009C13DD"/>
    <w:rsid w:val="009C77EF"/>
    <w:rsid w:val="009D6502"/>
    <w:rsid w:val="009E0334"/>
    <w:rsid w:val="009E05C5"/>
    <w:rsid w:val="009E4583"/>
    <w:rsid w:val="009E768B"/>
    <w:rsid w:val="009F01CC"/>
    <w:rsid w:val="009F1F7B"/>
    <w:rsid w:val="009F1FD7"/>
    <w:rsid w:val="009F26CF"/>
    <w:rsid w:val="009F3891"/>
    <w:rsid w:val="009F3C24"/>
    <w:rsid w:val="009F3E6F"/>
    <w:rsid w:val="00A00B06"/>
    <w:rsid w:val="00A01808"/>
    <w:rsid w:val="00A04C71"/>
    <w:rsid w:val="00A1258A"/>
    <w:rsid w:val="00A3210D"/>
    <w:rsid w:val="00A41A8C"/>
    <w:rsid w:val="00A43C5C"/>
    <w:rsid w:val="00A4495F"/>
    <w:rsid w:val="00A61D88"/>
    <w:rsid w:val="00A62544"/>
    <w:rsid w:val="00A62845"/>
    <w:rsid w:val="00A63D6E"/>
    <w:rsid w:val="00A64AEA"/>
    <w:rsid w:val="00A750B5"/>
    <w:rsid w:val="00A8293A"/>
    <w:rsid w:val="00A82DC0"/>
    <w:rsid w:val="00A873B6"/>
    <w:rsid w:val="00A9211C"/>
    <w:rsid w:val="00A94942"/>
    <w:rsid w:val="00A97D08"/>
    <w:rsid w:val="00A97E06"/>
    <w:rsid w:val="00AA11D7"/>
    <w:rsid w:val="00AA2E7C"/>
    <w:rsid w:val="00AB3EF1"/>
    <w:rsid w:val="00AB7871"/>
    <w:rsid w:val="00AC4CD2"/>
    <w:rsid w:val="00AC62E3"/>
    <w:rsid w:val="00AD304F"/>
    <w:rsid w:val="00AD3BDA"/>
    <w:rsid w:val="00AD3C36"/>
    <w:rsid w:val="00AD4ACB"/>
    <w:rsid w:val="00AD70F9"/>
    <w:rsid w:val="00AE1E81"/>
    <w:rsid w:val="00AE3BE4"/>
    <w:rsid w:val="00AE471A"/>
    <w:rsid w:val="00AE5939"/>
    <w:rsid w:val="00B014A7"/>
    <w:rsid w:val="00B02D94"/>
    <w:rsid w:val="00B11920"/>
    <w:rsid w:val="00B139C1"/>
    <w:rsid w:val="00B24389"/>
    <w:rsid w:val="00B24E3C"/>
    <w:rsid w:val="00B30429"/>
    <w:rsid w:val="00B45EEC"/>
    <w:rsid w:val="00B52B41"/>
    <w:rsid w:val="00B5530B"/>
    <w:rsid w:val="00B56CA2"/>
    <w:rsid w:val="00B61D49"/>
    <w:rsid w:val="00B657EB"/>
    <w:rsid w:val="00B7013C"/>
    <w:rsid w:val="00B75438"/>
    <w:rsid w:val="00B81712"/>
    <w:rsid w:val="00B902A1"/>
    <w:rsid w:val="00B9199E"/>
    <w:rsid w:val="00B94981"/>
    <w:rsid w:val="00B951BB"/>
    <w:rsid w:val="00B955C4"/>
    <w:rsid w:val="00BA0688"/>
    <w:rsid w:val="00BA29D8"/>
    <w:rsid w:val="00BA3FBA"/>
    <w:rsid w:val="00BB78FB"/>
    <w:rsid w:val="00BC37B6"/>
    <w:rsid w:val="00BC3EAA"/>
    <w:rsid w:val="00BC6199"/>
    <w:rsid w:val="00BD230D"/>
    <w:rsid w:val="00BD5195"/>
    <w:rsid w:val="00BF6E69"/>
    <w:rsid w:val="00C0049E"/>
    <w:rsid w:val="00C00CDE"/>
    <w:rsid w:val="00C04845"/>
    <w:rsid w:val="00C104F6"/>
    <w:rsid w:val="00C1158E"/>
    <w:rsid w:val="00C15C2D"/>
    <w:rsid w:val="00C17D35"/>
    <w:rsid w:val="00C23E45"/>
    <w:rsid w:val="00C31866"/>
    <w:rsid w:val="00C33140"/>
    <w:rsid w:val="00C40D94"/>
    <w:rsid w:val="00C441BA"/>
    <w:rsid w:val="00C50343"/>
    <w:rsid w:val="00C60E99"/>
    <w:rsid w:val="00C71ABA"/>
    <w:rsid w:val="00C723A1"/>
    <w:rsid w:val="00C72928"/>
    <w:rsid w:val="00C734E2"/>
    <w:rsid w:val="00C744A0"/>
    <w:rsid w:val="00C7722B"/>
    <w:rsid w:val="00C80882"/>
    <w:rsid w:val="00C90BBC"/>
    <w:rsid w:val="00C934C0"/>
    <w:rsid w:val="00C946F2"/>
    <w:rsid w:val="00CA600C"/>
    <w:rsid w:val="00CA7773"/>
    <w:rsid w:val="00CA7AD2"/>
    <w:rsid w:val="00CB453C"/>
    <w:rsid w:val="00CB5B22"/>
    <w:rsid w:val="00CB622A"/>
    <w:rsid w:val="00CB6BE7"/>
    <w:rsid w:val="00CB6E36"/>
    <w:rsid w:val="00CB7903"/>
    <w:rsid w:val="00CC39B5"/>
    <w:rsid w:val="00CC39F3"/>
    <w:rsid w:val="00CC5C48"/>
    <w:rsid w:val="00CC5FB8"/>
    <w:rsid w:val="00CD0046"/>
    <w:rsid w:val="00CD29E2"/>
    <w:rsid w:val="00CE12CA"/>
    <w:rsid w:val="00CE17F3"/>
    <w:rsid w:val="00CE35DA"/>
    <w:rsid w:val="00CE662F"/>
    <w:rsid w:val="00CF12F3"/>
    <w:rsid w:val="00CF165D"/>
    <w:rsid w:val="00CF4A81"/>
    <w:rsid w:val="00CF5121"/>
    <w:rsid w:val="00CF7442"/>
    <w:rsid w:val="00D069C2"/>
    <w:rsid w:val="00D20D59"/>
    <w:rsid w:val="00D2177E"/>
    <w:rsid w:val="00D247BD"/>
    <w:rsid w:val="00D26664"/>
    <w:rsid w:val="00D307C5"/>
    <w:rsid w:val="00D354CB"/>
    <w:rsid w:val="00D424E6"/>
    <w:rsid w:val="00D455D5"/>
    <w:rsid w:val="00D52D75"/>
    <w:rsid w:val="00D56718"/>
    <w:rsid w:val="00D572B8"/>
    <w:rsid w:val="00D621F3"/>
    <w:rsid w:val="00D63072"/>
    <w:rsid w:val="00D70403"/>
    <w:rsid w:val="00D71807"/>
    <w:rsid w:val="00D72B30"/>
    <w:rsid w:val="00D76604"/>
    <w:rsid w:val="00D77220"/>
    <w:rsid w:val="00D8204A"/>
    <w:rsid w:val="00D85A6E"/>
    <w:rsid w:val="00D96245"/>
    <w:rsid w:val="00DA546D"/>
    <w:rsid w:val="00DB06CD"/>
    <w:rsid w:val="00DB12DC"/>
    <w:rsid w:val="00DB21F4"/>
    <w:rsid w:val="00DB32CC"/>
    <w:rsid w:val="00DB71CF"/>
    <w:rsid w:val="00DC0480"/>
    <w:rsid w:val="00DC2EB2"/>
    <w:rsid w:val="00DC39D7"/>
    <w:rsid w:val="00DD288E"/>
    <w:rsid w:val="00DD3078"/>
    <w:rsid w:val="00DD489A"/>
    <w:rsid w:val="00DE2AF0"/>
    <w:rsid w:val="00DE2C8A"/>
    <w:rsid w:val="00DE43CA"/>
    <w:rsid w:val="00DE4884"/>
    <w:rsid w:val="00DE5C2B"/>
    <w:rsid w:val="00DF6AF4"/>
    <w:rsid w:val="00E000C3"/>
    <w:rsid w:val="00E014FB"/>
    <w:rsid w:val="00E02415"/>
    <w:rsid w:val="00E0336E"/>
    <w:rsid w:val="00E0730D"/>
    <w:rsid w:val="00E118CA"/>
    <w:rsid w:val="00E17272"/>
    <w:rsid w:val="00E2019E"/>
    <w:rsid w:val="00E226D3"/>
    <w:rsid w:val="00E22A6E"/>
    <w:rsid w:val="00E3320B"/>
    <w:rsid w:val="00E33E13"/>
    <w:rsid w:val="00E3411E"/>
    <w:rsid w:val="00E35D98"/>
    <w:rsid w:val="00E35E0B"/>
    <w:rsid w:val="00E37A4C"/>
    <w:rsid w:val="00E37BFD"/>
    <w:rsid w:val="00E37E0E"/>
    <w:rsid w:val="00E43F8C"/>
    <w:rsid w:val="00E4616C"/>
    <w:rsid w:val="00E46728"/>
    <w:rsid w:val="00E51705"/>
    <w:rsid w:val="00E51AE9"/>
    <w:rsid w:val="00E53C32"/>
    <w:rsid w:val="00E550FA"/>
    <w:rsid w:val="00E55970"/>
    <w:rsid w:val="00E661F4"/>
    <w:rsid w:val="00E66441"/>
    <w:rsid w:val="00E727DF"/>
    <w:rsid w:val="00E74E84"/>
    <w:rsid w:val="00E80E0E"/>
    <w:rsid w:val="00E84E57"/>
    <w:rsid w:val="00E94F05"/>
    <w:rsid w:val="00EA55CB"/>
    <w:rsid w:val="00EB01E7"/>
    <w:rsid w:val="00EB1B93"/>
    <w:rsid w:val="00EB2727"/>
    <w:rsid w:val="00EB4169"/>
    <w:rsid w:val="00EB4C77"/>
    <w:rsid w:val="00EC0383"/>
    <w:rsid w:val="00EC50F3"/>
    <w:rsid w:val="00EC5C75"/>
    <w:rsid w:val="00ED3D40"/>
    <w:rsid w:val="00ED4820"/>
    <w:rsid w:val="00ED78D6"/>
    <w:rsid w:val="00EE17AF"/>
    <w:rsid w:val="00EE4E37"/>
    <w:rsid w:val="00EE6A90"/>
    <w:rsid w:val="00EF027A"/>
    <w:rsid w:val="00EF54D9"/>
    <w:rsid w:val="00F0022F"/>
    <w:rsid w:val="00F00D94"/>
    <w:rsid w:val="00F0105A"/>
    <w:rsid w:val="00F02B9A"/>
    <w:rsid w:val="00F052A5"/>
    <w:rsid w:val="00F07D7D"/>
    <w:rsid w:val="00F22477"/>
    <w:rsid w:val="00F22552"/>
    <w:rsid w:val="00F26FCF"/>
    <w:rsid w:val="00F3430E"/>
    <w:rsid w:val="00F3763E"/>
    <w:rsid w:val="00F44493"/>
    <w:rsid w:val="00F45DB3"/>
    <w:rsid w:val="00F46639"/>
    <w:rsid w:val="00F532AB"/>
    <w:rsid w:val="00F562EA"/>
    <w:rsid w:val="00F6019F"/>
    <w:rsid w:val="00F708E8"/>
    <w:rsid w:val="00F72E02"/>
    <w:rsid w:val="00F77E34"/>
    <w:rsid w:val="00F80808"/>
    <w:rsid w:val="00F87F8A"/>
    <w:rsid w:val="00F921D8"/>
    <w:rsid w:val="00F93CEE"/>
    <w:rsid w:val="00F94E6A"/>
    <w:rsid w:val="00FA2A8A"/>
    <w:rsid w:val="00FA41C5"/>
    <w:rsid w:val="00FB050A"/>
    <w:rsid w:val="00FB2AAF"/>
    <w:rsid w:val="00FC59FF"/>
    <w:rsid w:val="00FD3DD3"/>
    <w:rsid w:val="00FF145C"/>
    <w:rsid w:val="00FF3B2D"/>
    <w:rsid w:val="00FF403F"/>
    <w:rsid w:val="00FF48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268095"/>
  <w15:docId w15:val="{526ABA5D-2BED-4F9E-9CBA-268BFD4B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D7D"/>
    <w:rPr>
      <w:color w:val="0563C1" w:themeColor="hyperlink"/>
      <w:u w:val="single"/>
    </w:rPr>
  </w:style>
  <w:style w:type="paragraph" w:customStyle="1" w:styleId="h-lead">
    <w:name w:val="h-lead"/>
    <w:basedOn w:val="Normal"/>
    <w:uiPriority w:val="99"/>
    <w:rsid w:val="00CC39F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rsid w:val="00CC39F3"/>
  </w:style>
  <w:style w:type="paragraph" w:styleId="ListParagraph">
    <w:name w:val="List Paragraph"/>
    <w:basedOn w:val="Normal"/>
    <w:uiPriority w:val="34"/>
    <w:qFormat/>
    <w:rsid w:val="006B7346"/>
    <w:pPr>
      <w:ind w:left="720"/>
      <w:contextualSpacing/>
    </w:pPr>
  </w:style>
  <w:style w:type="paragraph" w:customStyle="1" w:styleId="Acknowledgement">
    <w:name w:val="Acknowledgement"/>
    <w:basedOn w:val="Normal"/>
    <w:rsid w:val="00272BCA"/>
    <w:pPr>
      <w:spacing w:before="120" w:after="0" w:line="240" w:lineRule="auto"/>
      <w:ind w:left="720" w:hanging="720"/>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84098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0988"/>
    <w:rPr>
      <w:rFonts w:ascii="Lucida Grande" w:hAnsi="Lucida Grande" w:cs="Lucida Grande"/>
      <w:sz w:val="18"/>
      <w:szCs w:val="18"/>
    </w:rPr>
  </w:style>
  <w:style w:type="character" w:styleId="CommentReference">
    <w:name w:val="annotation reference"/>
    <w:basedOn w:val="DefaultParagraphFont"/>
    <w:uiPriority w:val="99"/>
    <w:semiHidden/>
    <w:unhideWhenUsed/>
    <w:rsid w:val="00796428"/>
    <w:rPr>
      <w:sz w:val="18"/>
      <w:szCs w:val="18"/>
    </w:rPr>
  </w:style>
  <w:style w:type="paragraph" w:styleId="CommentText">
    <w:name w:val="annotation text"/>
    <w:basedOn w:val="Normal"/>
    <w:link w:val="CommentTextChar"/>
    <w:uiPriority w:val="99"/>
    <w:semiHidden/>
    <w:unhideWhenUsed/>
    <w:rsid w:val="00796428"/>
    <w:pPr>
      <w:spacing w:line="240" w:lineRule="auto"/>
    </w:pPr>
    <w:rPr>
      <w:sz w:val="24"/>
      <w:szCs w:val="24"/>
    </w:rPr>
  </w:style>
  <w:style w:type="character" w:customStyle="1" w:styleId="CommentTextChar">
    <w:name w:val="Comment Text Char"/>
    <w:basedOn w:val="DefaultParagraphFont"/>
    <w:link w:val="CommentText"/>
    <w:uiPriority w:val="99"/>
    <w:semiHidden/>
    <w:rsid w:val="00796428"/>
    <w:rPr>
      <w:sz w:val="24"/>
      <w:szCs w:val="24"/>
    </w:rPr>
  </w:style>
  <w:style w:type="paragraph" w:styleId="CommentSubject">
    <w:name w:val="annotation subject"/>
    <w:basedOn w:val="CommentText"/>
    <w:next w:val="CommentText"/>
    <w:link w:val="CommentSubjectChar"/>
    <w:uiPriority w:val="99"/>
    <w:semiHidden/>
    <w:unhideWhenUsed/>
    <w:rsid w:val="00796428"/>
    <w:rPr>
      <w:b/>
      <w:bCs/>
      <w:sz w:val="20"/>
      <w:szCs w:val="20"/>
    </w:rPr>
  </w:style>
  <w:style w:type="character" w:customStyle="1" w:styleId="CommentSubjectChar">
    <w:name w:val="Comment Subject Char"/>
    <w:basedOn w:val="CommentTextChar"/>
    <w:link w:val="CommentSubject"/>
    <w:uiPriority w:val="99"/>
    <w:semiHidden/>
    <w:rsid w:val="00796428"/>
    <w:rPr>
      <w:b/>
      <w:bCs/>
      <w:sz w:val="20"/>
      <w:szCs w:val="20"/>
    </w:rPr>
  </w:style>
  <w:style w:type="character" w:styleId="PlaceholderText">
    <w:name w:val="Placeholder Text"/>
    <w:basedOn w:val="DefaultParagraphFont"/>
    <w:uiPriority w:val="99"/>
    <w:semiHidden/>
    <w:rsid w:val="004A6843"/>
    <w:rPr>
      <w:color w:val="808080"/>
    </w:rPr>
  </w:style>
  <w:style w:type="character" w:styleId="LineNumber">
    <w:name w:val="line number"/>
    <w:basedOn w:val="DefaultParagraphFont"/>
    <w:uiPriority w:val="99"/>
    <w:semiHidden/>
    <w:unhideWhenUsed/>
    <w:rsid w:val="003C5D57"/>
  </w:style>
  <w:style w:type="paragraph" w:styleId="Header">
    <w:name w:val="header"/>
    <w:basedOn w:val="Normal"/>
    <w:link w:val="HeaderChar"/>
    <w:uiPriority w:val="99"/>
    <w:unhideWhenUsed/>
    <w:rsid w:val="00780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BE9"/>
  </w:style>
  <w:style w:type="paragraph" w:styleId="Footer">
    <w:name w:val="footer"/>
    <w:basedOn w:val="Normal"/>
    <w:link w:val="FooterChar"/>
    <w:uiPriority w:val="99"/>
    <w:unhideWhenUsed/>
    <w:rsid w:val="00780B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BE9"/>
  </w:style>
  <w:style w:type="character" w:customStyle="1" w:styleId="st1">
    <w:name w:val="st1"/>
    <w:basedOn w:val="DefaultParagraphFont"/>
    <w:rsid w:val="00717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76680">
      <w:bodyDiv w:val="1"/>
      <w:marLeft w:val="0"/>
      <w:marRight w:val="0"/>
      <w:marTop w:val="0"/>
      <w:marBottom w:val="0"/>
      <w:divBdr>
        <w:top w:val="none" w:sz="0" w:space="0" w:color="auto"/>
        <w:left w:val="none" w:sz="0" w:space="0" w:color="auto"/>
        <w:bottom w:val="none" w:sz="0" w:space="0" w:color="auto"/>
        <w:right w:val="none" w:sz="0" w:space="0" w:color="auto"/>
      </w:divBdr>
    </w:div>
    <w:div w:id="407271362">
      <w:bodyDiv w:val="1"/>
      <w:marLeft w:val="0"/>
      <w:marRight w:val="0"/>
      <w:marTop w:val="0"/>
      <w:marBottom w:val="0"/>
      <w:divBdr>
        <w:top w:val="none" w:sz="0" w:space="0" w:color="auto"/>
        <w:left w:val="none" w:sz="0" w:space="0" w:color="auto"/>
        <w:bottom w:val="none" w:sz="0" w:space="0" w:color="auto"/>
        <w:right w:val="none" w:sz="0" w:space="0" w:color="auto"/>
      </w:divBdr>
    </w:div>
    <w:div w:id="589965487">
      <w:bodyDiv w:val="1"/>
      <w:marLeft w:val="0"/>
      <w:marRight w:val="0"/>
      <w:marTop w:val="0"/>
      <w:marBottom w:val="0"/>
      <w:divBdr>
        <w:top w:val="none" w:sz="0" w:space="0" w:color="auto"/>
        <w:left w:val="none" w:sz="0" w:space="0" w:color="auto"/>
        <w:bottom w:val="none" w:sz="0" w:space="0" w:color="auto"/>
        <w:right w:val="none" w:sz="0" w:space="0" w:color="auto"/>
      </w:divBdr>
      <w:divsChild>
        <w:div w:id="2086874972">
          <w:marLeft w:val="0"/>
          <w:marRight w:val="0"/>
          <w:marTop w:val="0"/>
          <w:marBottom w:val="0"/>
          <w:divBdr>
            <w:top w:val="none" w:sz="0" w:space="0" w:color="auto"/>
            <w:left w:val="none" w:sz="0" w:space="0" w:color="auto"/>
            <w:bottom w:val="none" w:sz="0" w:space="0" w:color="auto"/>
            <w:right w:val="none" w:sz="0" w:space="0" w:color="auto"/>
          </w:divBdr>
        </w:div>
        <w:div w:id="1988588419">
          <w:marLeft w:val="0"/>
          <w:marRight w:val="0"/>
          <w:marTop w:val="0"/>
          <w:marBottom w:val="0"/>
          <w:divBdr>
            <w:top w:val="none" w:sz="0" w:space="0" w:color="auto"/>
            <w:left w:val="none" w:sz="0" w:space="0" w:color="auto"/>
            <w:bottom w:val="none" w:sz="0" w:space="0" w:color="auto"/>
            <w:right w:val="none" w:sz="0" w:space="0" w:color="auto"/>
          </w:divBdr>
        </w:div>
        <w:div w:id="29260849">
          <w:marLeft w:val="0"/>
          <w:marRight w:val="0"/>
          <w:marTop w:val="0"/>
          <w:marBottom w:val="0"/>
          <w:divBdr>
            <w:top w:val="none" w:sz="0" w:space="0" w:color="auto"/>
            <w:left w:val="none" w:sz="0" w:space="0" w:color="auto"/>
            <w:bottom w:val="none" w:sz="0" w:space="0" w:color="auto"/>
            <w:right w:val="none" w:sz="0" w:space="0" w:color="auto"/>
          </w:divBdr>
        </w:div>
      </w:divsChild>
    </w:div>
    <w:div w:id="684092070">
      <w:bodyDiv w:val="1"/>
      <w:marLeft w:val="0"/>
      <w:marRight w:val="0"/>
      <w:marTop w:val="0"/>
      <w:marBottom w:val="0"/>
      <w:divBdr>
        <w:top w:val="none" w:sz="0" w:space="0" w:color="auto"/>
        <w:left w:val="none" w:sz="0" w:space="0" w:color="auto"/>
        <w:bottom w:val="none" w:sz="0" w:space="0" w:color="auto"/>
        <w:right w:val="none" w:sz="0" w:space="0" w:color="auto"/>
      </w:divBdr>
    </w:div>
    <w:div w:id="876088937">
      <w:bodyDiv w:val="1"/>
      <w:marLeft w:val="0"/>
      <w:marRight w:val="0"/>
      <w:marTop w:val="0"/>
      <w:marBottom w:val="0"/>
      <w:divBdr>
        <w:top w:val="none" w:sz="0" w:space="0" w:color="auto"/>
        <w:left w:val="none" w:sz="0" w:space="0" w:color="auto"/>
        <w:bottom w:val="none" w:sz="0" w:space="0" w:color="auto"/>
        <w:right w:val="none" w:sz="0" w:space="0" w:color="auto"/>
      </w:divBdr>
    </w:div>
    <w:div w:id="149279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ntTable" Target="fontTable.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B2EF4-24B4-48D7-8B84-D98046CFC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Wade Chien</dc:creator>
  <cp:keywords/>
  <dc:description/>
  <cp:lastModifiedBy>Wade Chien</cp:lastModifiedBy>
  <cp:revision>4</cp:revision>
  <dcterms:created xsi:type="dcterms:W3CDTF">2018-12-14T17:33:00Z</dcterms:created>
  <dcterms:modified xsi:type="dcterms:W3CDTF">2018-12-17T23:40:00Z</dcterms:modified>
</cp:coreProperties>
</file>