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F417DC" w14:textId="77777777" w:rsidR="009D3DDB" w:rsidRDefault="009D3DDB" w:rsidP="009D3DDB">
      <w:pPr>
        <w:pStyle w:val="Heading1"/>
      </w:pPr>
    </w:p>
    <w:p w14:paraId="75446148" w14:textId="77777777" w:rsidR="009D3DDB" w:rsidRDefault="009D3DDB" w:rsidP="009D3DDB">
      <w:pPr>
        <w:pStyle w:val="Heading1"/>
      </w:pPr>
    </w:p>
    <w:p w14:paraId="5B550BDA" w14:textId="77777777" w:rsidR="009D3DDB" w:rsidRDefault="009D3DDB" w:rsidP="00412C3B">
      <w:pPr>
        <w:pStyle w:val="Heading1"/>
      </w:pPr>
      <w:r w:rsidRPr="009D3DDB">
        <w:t>Supplementary Information</w:t>
      </w:r>
    </w:p>
    <w:p w14:paraId="68B49E68" w14:textId="77777777" w:rsidR="009D3DDB" w:rsidRDefault="009D3DDB" w:rsidP="009D3DDB">
      <w:pPr>
        <w:rPr>
          <w:lang w:val="en-GB"/>
        </w:rPr>
      </w:pPr>
    </w:p>
    <w:p w14:paraId="742DF16A" w14:textId="77777777" w:rsidR="009D3DDB" w:rsidRPr="009D3DDB" w:rsidRDefault="009D3DDB" w:rsidP="009D3DDB">
      <w:pPr>
        <w:rPr>
          <w:lang w:val="en-GB"/>
        </w:rPr>
      </w:pPr>
    </w:p>
    <w:p w14:paraId="21937675" w14:textId="77777777" w:rsidR="009F0C4C" w:rsidRPr="00AF0540" w:rsidRDefault="009F0C4C" w:rsidP="009D3DDB">
      <w:pPr>
        <w:pStyle w:val="Heading1"/>
        <w:rPr>
          <w:caps/>
          <w:sz w:val="34"/>
          <w:szCs w:val="34"/>
        </w:rPr>
      </w:pPr>
      <w:r w:rsidRPr="00AF0540">
        <w:rPr>
          <w:sz w:val="34"/>
          <w:szCs w:val="34"/>
        </w:rPr>
        <w:t>Optimal dosing of dihydroartemisinin-piperaquine for seasonal malaria chemoprevention in young children</w:t>
      </w:r>
    </w:p>
    <w:p w14:paraId="31341F3A" w14:textId="77777777" w:rsidR="009D3DDB" w:rsidRDefault="009D3DDB" w:rsidP="009D3DDB">
      <w:pPr>
        <w:rPr>
          <w:lang w:val="en-GB"/>
        </w:rPr>
      </w:pPr>
    </w:p>
    <w:p w14:paraId="379EBACE" w14:textId="77777777" w:rsidR="009D3DDB" w:rsidRPr="009D3DDB" w:rsidRDefault="009D3DDB" w:rsidP="009D3DDB">
      <w:pPr>
        <w:rPr>
          <w:lang w:val="en-GB"/>
        </w:rPr>
      </w:pPr>
    </w:p>
    <w:p w14:paraId="5F71364B" w14:textId="77777777" w:rsidR="009D3DDB" w:rsidRDefault="009D3DDB" w:rsidP="009D3DDB">
      <w:pPr>
        <w:jc w:val="center"/>
        <w:rPr>
          <w:lang w:val="en-GB"/>
        </w:rPr>
      </w:pPr>
      <w:r>
        <w:rPr>
          <w:lang w:val="en-GB"/>
        </w:rPr>
        <w:t>Chotsiri, et al.</w:t>
      </w:r>
    </w:p>
    <w:p w14:paraId="153CC3B3" w14:textId="77777777" w:rsidR="009D3DDB" w:rsidRDefault="009D3DDB" w:rsidP="009D3DDB">
      <w:pPr>
        <w:rPr>
          <w:lang w:val="en-GB"/>
        </w:rPr>
      </w:pPr>
      <w:r>
        <w:rPr>
          <w:lang w:val="en-GB"/>
        </w:rPr>
        <w:br w:type="page"/>
      </w:r>
      <w:bookmarkStart w:id="0" w:name="_GoBack"/>
      <w:bookmarkEnd w:id="0"/>
    </w:p>
    <w:p w14:paraId="572C6572" w14:textId="77777777" w:rsidR="0089701F" w:rsidRPr="005F2E8E" w:rsidRDefault="009F0C4C" w:rsidP="009D3DDB">
      <w:pPr>
        <w:pStyle w:val="Heading1"/>
      </w:pPr>
      <w:r w:rsidRPr="009D3DDB">
        <w:lastRenderedPageBreak/>
        <w:t>Supplementary F</w:t>
      </w:r>
      <w:r w:rsidRPr="00FE2F56">
        <w:t>igures</w:t>
      </w:r>
    </w:p>
    <w:p w14:paraId="5D3CA1D3" w14:textId="77777777" w:rsidR="0089701F" w:rsidRDefault="0089701F" w:rsidP="009F0C4C">
      <w:pPr>
        <w:spacing w:line="360" w:lineRule="auto"/>
        <w:jc w:val="center"/>
        <w:rPr>
          <w:noProof/>
          <w:lang w:val="en-GB" w:bidi="th-TH"/>
        </w:rPr>
      </w:pPr>
    </w:p>
    <w:p w14:paraId="7A190C91" w14:textId="77777777" w:rsidR="0089701F" w:rsidRDefault="0089701F" w:rsidP="00CC58DE">
      <w:pPr>
        <w:spacing w:line="360" w:lineRule="auto"/>
        <w:jc w:val="center"/>
        <w:rPr>
          <w:lang w:val="en-GB"/>
        </w:rPr>
      </w:pPr>
    </w:p>
    <w:p w14:paraId="2E040C9D" w14:textId="4DA142C1" w:rsidR="00271A98" w:rsidRDefault="00FF7FC3" w:rsidP="00CC58DE">
      <w:pPr>
        <w:spacing w:line="360" w:lineRule="auto"/>
        <w:jc w:val="center"/>
        <w:rPr>
          <w:lang w:val="en-GB"/>
        </w:rPr>
      </w:pPr>
      <w:r>
        <w:rPr>
          <w:lang w:val="en-GB"/>
        </w:rPr>
        <w:pict w14:anchorId="3E8AB8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4in">
            <v:imagedata r:id="rId7" o:title="FigureS2_NCOMMS"/>
          </v:shape>
        </w:pict>
      </w:r>
    </w:p>
    <w:p w14:paraId="6C64B946" w14:textId="06131C7B" w:rsidR="0089701F" w:rsidRDefault="00A720F0" w:rsidP="00CC58DE">
      <w:pPr>
        <w:spacing w:line="360" w:lineRule="auto"/>
        <w:rPr>
          <w:lang w:val="en-GB"/>
        </w:rPr>
      </w:pPr>
      <w:r>
        <w:rPr>
          <w:b/>
          <w:bCs/>
          <w:lang w:val="en-GB"/>
        </w:rPr>
        <w:t xml:space="preserve">Supplementary </w:t>
      </w:r>
      <w:r w:rsidR="0089701F">
        <w:rPr>
          <w:b/>
          <w:bCs/>
          <w:lang w:val="en-GB"/>
        </w:rPr>
        <w:t>Figure 1</w:t>
      </w:r>
      <w:r w:rsidR="0089701F" w:rsidRPr="009D3DDB">
        <w:rPr>
          <w:b/>
          <w:bCs/>
          <w:lang w:val="en-GB"/>
        </w:rPr>
        <w:t>. A linear regression of observed piperaquine capillary and venous plasma concentrations.</w:t>
      </w:r>
      <w:r w:rsidR="00420D35">
        <w:rPr>
          <w:lang w:val="en-GB"/>
        </w:rPr>
        <w:t xml:space="preserve"> </w:t>
      </w:r>
      <w:r w:rsidR="00377BC9">
        <w:rPr>
          <w:lang w:val="en-GB"/>
        </w:rPr>
        <w:t>The solid</w:t>
      </w:r>
      <w:r w:rsidR="00420D35">
        <w:rPr>
          <w:lang w:val="en-GB"/>
        </w:rPr>
        <w:t xml:space="preserve"> blue line is a linear regression slope</w:t>
      </w:r>
      <w:r w:rsidR="00377BC9">
        <w:rPr>
          <w:lang w:val="en-GB"/>
        </w:rPr>
        <w:t xml:space="preserve"> (</w:t>
      </w:r>
      <w:r w:rsidR="00420D35">
        <w:rPr>
          <w:lang w:val="en-GB"/>
        </w:rPr>
        <w:t>predicted to be 0.4269</w:t>
      </w:r>
      <w:r w:rsidR="00377BC9">
        <w:rPr>
          <w:lang w:val="en-GB"/>
        </w:rPr>
        <w:t>;</w:t>
      </w:r>
      <w:r w:rsidR="00420D35">
        <w:rPr>
          <w:lang w:val="en-GB"/>
        </w:rPr>
        <w:t xml:space="preserve"> 95% CI: 0.3843 to 0.4695)</w:t>
      </w:r>
      <w:r w:rsidR="00271A98">
        <w:rPr>
          <w:lang w:val="en-GB"/>
        </w:rPr>
        <w:t xml:space="preserve"> </w:t>
      </w:r>
      <w:r w:rsidR="00377BC9">
        <w:rPr>
          <w:lang w:val="en-GB"/>
        </w:rPr>
        <w:t>and the s</w:t>
      </w:r>
      <w:r w:rsidR="00420D35">
        <w:rPr>
          <w:lang w:val="en-GB"/>
        </w:rPr>
        <w:t xml:space="preserve">haded area is the 95% confidence interval of </w:t>
      </w:r>
      <w:r w:rsidR="00377BC9">
        <w:rPr>
          <w:lang w:val="en-GB"/>
        </w:rPr>
        <w:t>the predicted slope</w:t>
      </w:r>
      <w:r w:rsidR="00420D35">
        <w:rPr>
          <w:lang w:val="en-GB"/>
        </w:rPr>
        <w:t>.</w:t>
      </w:r>
    </w:p>
    <w:p w14:paraId="6F24B540" w14:textId="77777777" w:rsidR="00842545" w:rsidRDefault="00842545" w:rsidP="00CC58DE">
      <w:pPr>
        <w:spacing w:line="360" w:lineRule="auto"/>
        <w:rPr>
          <w:lang w:val="en-GB"/>
        </w:rPr>
      </w:pPr>
    </w:p>
    <w:p w14:paraId="6E4A5E25" w14:textId="77777777" w:rsidR="00842545" w:rsidRDefault="00842545" w:rsidP="00CC58DE">
      <w:pPr>
        <w:spacing w:line="360" w:lineRule="auto"/>
        <w:rPr>
          <w:lang w:val="en-GB"/>
        </w:rPr>
      </w:pPr>
    </w:p>
    <w:p w14:paraId="360AA20F" w14:textId="77777777" w:rsidR="00842545" w:rsidRPr="0065442C" w:rsidRDefault="00B31A11" w:rsidP="009F0C4C">
      <w:pPr>
        <w:spacing w:after="200" w:line="360" w:lineRule="auto"/>
        <w:rPr>
          <w:lang w:val="en-GB"/>
        </w:rPr>
      </w:pPr>
      <w:r>
        <w:rPr>
          <w:lang w:val="en-GB"/>
        </w:rPr>
        <w:lastRenderedPageBreak/>
        <w:pict w14:anchorId="76AEF6F9">
          <v:shape id="_x0000_i1026" type="#_x0000_t75" style="width:467.3pt;height:350.5pt">
            <v:imagedata r:id="rId8" o:title="FigureS1_NCOMMS"/>
          </v:shape>
        </w:pict>
      </w:r>
    </w:p>
    <w:p w14:paraId="50F7F396" w14:textId="71900E64" w:rsidR="00842545" w:rsidRPr="0065442C" w:rsidRDefault="00A720F0" w:rsidP="00CC58DE">
      <w:pPr>
        <w:pStyle w:val="Caption"/>
        <w:spacing w:line="360" w:lineRule="auto"/>
        <w:rPr>
          <w:lang w:val="en-GB"/>
        </w:rPr>
      </w:pPr>
      <w:bookmarkStart w:id="1" w:name="_Ref352596539"/>
      <w:r>
        <w:rPr>
          <w:b/>
          <w:bCs/>
          <w:lang w:val="en-GB"/>
        </w:rPr>
        <w:t xml:space="preserve">Supplementary </w:t>
      </w:r>
      <w:r w:rsidR="00842545" w:rsidRPr="00CD0C84">
        <w:rPr>
          <w:b/>
          <w:bCs/>
          <w:lang w:val="en-GB"/>
        </w:rPr>
        <w:t>Figure</w:t>
      </w:r>
      <w:bookmarkEnd w:id="1"/>
      <w:r w:rsidR="00842545" w:rsidRPr="00CD0C84">
        <w:rPr>
          <w:b/>
          <w:bCs/>
          <w:lang w:val="en-GB"/>
        </w:rPr>
        <w:t xml:space="preserve"> </w:t>
      </w:r>
      <w:r w:rsidR="00842545">
        <w:rPr>
          <w:b/>
          <w:bCs/>
          <w:lang w:val="en-GB"/>
        </w:rPr>
        <w:t>2</w:t>
      </w:r>
      <w:r w:rsidR="00842545" w:rsidRPr="009D3DDB">
        <w:rPr>
          <w:b/>
          <w:bCs/>
          <w:lang w:val="en-GB"/>
        </w:rPr>
        <w:t>. Goodness-of-fit plot of the final population pharmacokinetic model of piperaquine in children receiving dihydroartemisinin-piperaquine SMC.</w:t>
      </w:r>
      <w:r>
        <w:rPr>
          <w:lang w:val="en-GB"/>
        </w:rPr>
        <w:t xml:space="preserve"> (A) Observed piperaquine concentrations versus population predictions, (B) observed piperaquine concentrations versus individual predictions, (C) conditional weighted residuals versus population predictions, and (D) conditional weighted residuals versus time after dose.</w:t>
      </w:r>
      <w:r w:rsidR="00842545" w:rsidRPr="0065442C">
        <w:rPr>
          <w:lang w:val="en-GB"/>
        </w:rPr>
        <w:t xml:space="preserve"> Open circle</w:t>
      </w:r>
      <w:r w:rsidR="00842545">
        <w:rPr>
          <w:lang w:val="en-GB"/>
        </w:rPr>
        <w:t>s</w:t>
      </w:r>
      <w:r w:rsidR="00842545" w:rsidRPr="0065442C">
        <w:rPr>
          <w:lang w:val="en-GB"/>
        </w:rPr>
        <w:t xml:space="preserve">: observed capillary plasma </w:t>
      </w:r>
      <w:r w:rsidR="00842545">
        <w:rPr>
          <w:lang w:val="en-GB"/>
        </w:rPr>
        <w:t>concentrations</w:t>
      </w:r>
      <w:r w:rsidR="00842545" w:rsidRPr="0065442C">
        <w:rPr>
          <w:lang w:val="en-GB"/>
        </w:rPr>
        <w:t>; open triangle</w:t>
      </w:r>
      <w:r w:rsidR="00842545">
        <w:rPr>
          <w:lang w:val="en-GB"/>
        </w:rPr>
        <w:t>s</w:t>
      </w:r>
      <w:r w:rsidR="00842545" w:rsidRPr="0065442C">
        <w:rPr>
          <w:lang w:val="en-GB"/>
        </w:rPr>
        <w:t xml:space="preserve">: observed venous plasma </w:t>
      </w:r>
      <w:r w:rsidR="00842545">
        <w:rPr>
          <w:lang w:val="en-GB"/>
        </w:rPr>
        <w:t>concentrations</w:t>
      </w:r>
      <w:r w:rsidR="00842545" w:rsidRPr="0065442C">
        <w:rPr>
          <w:lang w:val="en-GB"/>
        </w:rPr>
        <w:t>; solid line</w:t>
      </w:r>
      <w:r w:rsidR="00842545">
        <w:rPr>
          <w:lang w:val="en-GB"/>
        </w:rPr>
        <w:t>s</w:t>
      </w:r>
      <w:r w:rsidR="00842545" w:rsidRPr="0065442C">
        <w:rPr>
          <w:lang w:val="en-GB"/>
        </w:rPr>
        <w:t>: locally weighted least-squares regression</w:t>
      </w:r>
      <w:r w:rsidR="00842545">
        <w:rPr>
          <w:lang w:val="en-GB"/>
        </w:rPr>
        <w:t>s</w:t>
      </w:r>
      <w:r w:rsidR="00842545" w:rsidRPr="0065442C">
        <w:rPr>
          <w:lang w:val="en-GB"/>
        </w:rPr>
        <w:t xml:space="preserve"> based on both capillary and venous data; horizontal dotted line</w:t>
      </w:r>
      <w:r w:rsidR="00842545">
        <w:rPr>
          <w:lang w:val="en-GB"/>
        </w:rPr>
        <w:t>s</w:t>
      </w:r>
      <w:r w:rsidR="00842545" w:rsidRPr="0065442C">
        <w:rPr>
          <w:lang w:val="en-GB"/>
        </w:rPr>
        <w:t xml:space="preserve">: lower limit of quantification </w:t>
      </w:r>
      <w:r w:rsidR="00377BC9">
        <w:rPr>
          <w:lang w:val="en-GB"/>
        </w:rPr>
        <w:t xml:space="preserve">(LLOQ) </w:t>
      </w:r>
      <w:r w:rsidR="00842545" w:rsidRPr="0065442C">
        <w:rPr>
          <w:lang w:val="en-GB"/>
        </w:rPr>
        <w:t>of piperaquine.</w:t>
      </w:r>
    </w:p>
    <w:p w14:paraId="5348AF09" w14:textId="77777777" w:rsidR="00842545" w:rsidRDefault="00842545" w:rsidP="00CC58DE">
      <w:pPr>
        <w:spacing w:line="360" w:lineRule="auto"/>
        <w:rPr>
          <w:lang w:val="en-GB"/>
        </w:rPr>
      </w:pPr>
    </w:p>
    <w:p w14:paraId="266FDB8A" w14:textId="77777777" w:rsidR="0089701F" w:rsidRDefault="0089701F" w:rsidP="009F0C4C">
      <w:pPr>
        <w:spacing w:line="360" w:lineRule="auto"/>
        <w:jc w:val="center"/>
        <w:rPr>
          <w:noProof/>
          <w:lang w:val="en-GB" w:bidi="th-TH"/>
        </w:rPr>
      </w:pPr>
    </w:p>
    <w:p w14:paraId="2C460CDC" w14:textId="77777777" w:rsidR="0089701F" w:rsidRPr="0065442C" w:rsidRDefault="0089701F" w:rsidP="00CC58DE">
      <w:pPr>
        <w:spacing w:line="360" w:lineRule="auto"/>
        <w:jc w:val="center"/>
        <w:rPr>
          <w:lang w:val="en-GB"/>
        </w:rPr>
      </w:pPr>
      <w:r>
        <w:rPr>
          <w:noProof/>
          <w:lang w:val="en-GB" w:bidi="th-TH"/>
        </w:rPr>
        <w:br w:type="page"/>
      </w:r>
      <w:r w:rsidRPr="0065442C">
        <w:rPr>
          <w:noProof/>
          <w:lang w:val="en-GB" w:eastAsia="en-GB" w:bidi="th-TH"/>
        </w:rPr>
        <w:lastRenderedPageBreak/>
        <w:drawing>
          <wp:inline distT="0" distB="0" distL="0" distR="0" wp14:anchorId="3145B3D5" wp14:editId="5A10B224">
            <wp:extent cx="5822950" cy="39573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0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81197" w14:textId="77777777" w:rsidR="0089701F" w:rsidRPr="0065442C" w:rsidRDefault="00A720F0" w:rsidP="00CC58DE">
      <w:pPr>
        <w:pStyle w:val="Caption"/>
        <w:spacing w:line="360" w:lineRule="auto"/>
        <w:rPr>
          <w:lang w:val="en-GB"/>
        </w:rPr>
      </w:pPr>
      <w:r>
        <w:rPr>
          <w:b/>
          <w:bCs/>
          <w:lang w:val="en-GB"/>
        </w:rPr>
        <w:t xml:space="preserve">Supplementary </w:t>
      </w:r>
      <w:r w:rsidR="0089701F" w:rsidRPr="00443ED3">
        <w:rPr>
          <w:b/>
          <w:bCs/>
          <w:lang w:val="en-GB"/>
        </w:rPr>
        <w:t xml:space="preserve">Figure </w:t>
      </w:r>
      <w:r w:rsidR="00762A6B">
        <w:rPr>
          <w:b/>
          <w:bCs/>
          <w:lang w:val="en-GB"/>
        </w:rPr>
        <w:t>3</w:t>
      </w:r>
      <w:r w:rsidR="0089701F" w:rsidRPr="00443ED3">
        <w:rPr>
          <w:b/>
          <w:bCs/>
          <w:lang w:val="en-GB"/>
        </w:rPr>
        <w:t>.</w:t>
      </w:r>
      <w:r w:rsidR="0089701F" w:rsidRPr="0065442C">
        <w:rPr>
          <w:lang w:val="en-GB"/>
        </w:rPr>
        <w:t xml:space="preserve"> </w:t>
      </w:r>
      <w:r w:rsidR="0089701F" w:rsidRPr="009D3DDB">
        <w:rPr>
          <w:b/>
          <w:bCs/>
          <w:lang w:val="en-GB"/>
        </w:rPr>
        <w:t>Relationship of parasite count at the time of detection (day 0) and the approximated start of the blood stage infection (i.e. time-to-event censoring interval).</w:t>
      </w:r>
      <w:r w:rsidR="0089701F" w:rsidRPr="0065442C">
        <w:rPr>
          <w:lang w:val="en-GB"/>
        </w:rPr>
        <w:t xml:space="preserve"> The censoring interval begins </w:t>
      </w:r>
      <w:r w:rsidR="0089701F">
        <w:rPr>
          <w:lang w:val="en-GB"/>
        </w:rPr>
        <w:t>(</w:t>
      </w:r>
      <w:r w:rsidR="0089701F" w:rsidRPr="0065442C">
        <w:rPr>
          <w:lang w:val="en-GB"/>
        </w:rPr>
        <w:t>solid lines</w:t>
      </w:r>
      <w:r w:rsidR="0089701F">
        <w:rPr>
          <w:lang w:val="en-GB"/>
        </w:rPr>
        <w:t>)</w:t>
      </w:r>
      <w:r w:rsidR="0089701F" w:rsidRPr="0065442C" w:rsidDel="00134CAD">
        <w:rPr>
          <w:lang w:val="en-GB"/>
        </w:rPr>
        <w:t xml:space="preserve"> </w:t>
      </w:r>
      <w:r w:rsidR="0089701F">
        <w:rPr>
          <w:lang w:val="en-GB"/>
        </w:rPr>
        <w:t>by using</w:t>
      </w:r>
      <w:r w:rsidR="0089701F" w:rsidRPr="0065442C">
        <w:rPr>
          <w:lang w:val="en-GB"/>
        </w:rPr>
        <w:t xml:space="preserve"> </w:t>
      </w:r>
      <w:r w:rsidR="0089701F">
        <w:rPr>
          <w:lang w:val="en-GB"/>
        </w:rPr>
        <w:t xml:space="preserve">a relatively </w:t>
      </w:r>
      <w:r w:rsidR="0089701F" w:rsidRPr="0065442C">
        <w:rPr>
          <w:lang w:val="en-GB"/>
        </w:rPr>
        <w:t xml:space="preserve">low </w:t>
      </w:r>
      <w:r w:rsidR="0089701F">
        <w:rPr>
          <w:lang w:val="en-GB"/>
        </w:rPr>
        <w:t>parasite density</w:t>
      </w:r>
      <w:r w:rsidR="0089701F" w:rsidRPr="0065442C">
        <w:rPr>
          <w:lang w:val="en-GB"/>
        </w:rPr>
        <w:t xml:space="preserve"> (</w:t>
      </w:r>
      <w:r w:rsidR="0089701F" w:rsidRPr="0065442C">
        <w:rPr>
          <w:szCs w:val="28"/>
          <w:lang w:val="en-GB" w:bidi="th-TH"/>
        </w:rPr>
        <w:t>~10</w:t>
      </w:r>
      <w:r w:rsidR="0089701F" w:rsidRPr="0065442C">
        <w:rPr>
          <w:szCs w:val="28"/>
          <w:vertAlign w:val="superscript"/>
          <w:lang w:val="en-GB" w:bidi="th-TH"/>
        </w:rPr>
        <w:t>4</w:t>
      </w:r>
      <w:r w:rsidR="0089701F" w:rsidRPr="0065442C">
        <w:rPr>
          <w:lang w:val="en-GB"/>
        </w:rPr>
        <w:t xml:space="preserve">) and </w:t>
      </w:r>
      <w:r w:rsidR="0089701F">
        <w:rPr>
          <w:lang w:val="en-GB"/>
        </w:rPr>
        <w:t>slow</w:t>
      </w:r>
      <w:r w:rsidR="0089701F" w:rsidRPr="0065442C">
        <w:rPr>
          <w:lang w:val="en-GB"/>
        </w:rPr>
        <w:t xml:space="preserve"> growth rate (~5-fold increase every 48 hours)</w:t>
      </w:r>
      <w:r w:rsidR="0089701F">
        <w:rPr>
          <w:lang w:val="en-GB"/>
        </w:rPr>
        <w:t xml:space="preserve"> back-extrapolation</w:t>
      </w:r>
      <w:r w:rsidR="0089701F" w:rsidRPr="0065442C">
        <w:rPr>
          <w:lang w:val="en-GB"/>
        </w:rPr>
        <w:t xml:space="preserve">, </w:t>
      </w:r>
      <w:r w:rsidR="0089701F">
        <w:rPr>
          <w:lang w:val="en-GB"/>
        </w:rPr>
        <w:t>and</w:t>
      </w:r>
      <w:r w:rsidR="0089701F" w:rsidRPr="0065442C">
        <w:rPr>
          <w:lang w:val="en-GB"/>
        </w:rPr>
        <w:t xml:space="preserve"> the censoring interval ends </w:t>
      </w:r>
      <w:r w:rsidR="0089701F">
        <w:rPr>
          <w:lang w:val="en-GB"/>
        </w:rPr>
        <w:t>(</w:t>
      </w:r>
      <w:r w:rsidR="0089701F" w:rsidRPr="0065442C">
        <w:rPr>
          <w:lang w:val="en-GB"/>
        </w:rPr>
        <w:t>dashed lines</w:t>
      </w:r>
      <w:r w:rsidR="0089701F">
        <w:rPr>
          <w:lang w:val="en-GB"/>
        </w:rPr>
        <w:t>) by using a</w:t>
      </w:r>
      <w:r w:rsidR="0089701F" w:rsidRPr="0065442C">
        <w:rPr>
          <w:lang w:val="en-GB"/>
        </w:rPr>
        <w:t xml:space="preserve"> </w:t>
      </w:r>
      <w:r w:rsidR="0089701F">
        <w:rPr>
          <w:lang w:val="en-GB"/>
        </w:rPr>
        <w:t>relatively</w:t>
      </w:r>
      <w:r w:rsidR="0089701F" w:rsidRPr="0065442C">
        <w:rPr>
          <w:lang w:val="en-GB"/>
        </w:rPr>
        <w:t xml:space="preserve"> high </w:t>
      </w:r>
      <w:r w:rsidR="0089701F">
        <w:rPr>
          <w:lang w:val="en-GB"/>
        </w:rPr>
        <w:t>parasite density</w:t>
      </w:r>
      <w:r w:rsidR="0089701F" w:rsidRPr="0065442C">
        <w:rPr>
          <w:lang w:val="en-GB"/>
        </w:rPr>
        <w:t xml:space="preserve"> (~10</w:t>
      </w:r>
      <w:r w:rsidR="0089701F" w:rsidRPr="0065442C">
        <w:rPr>
          <w:vertAlign w:val="superscript"/>
          <w:lang w:val="en-GB"/>
        </w:rPr>
        <w:t>5</w:t>
      </w:r>
      <w:r w:rsidR="0089701F" w:rsidRPr="0065442C">
        <w:rPr>
          <w:lang w:val="en-GB"/>
        </w:rPr>
        <w:t xml:space="preserve">) and </w:t>
      </w:r>
      <w:r w:rsidR="0089701F">
        <w:rPr>
          <w:lang w:val="en-GB"/>
        </w:rPr>
        <w:t>fast</w:t>
      </w:r>
      <w:r w:rsidR="0089701F" w:rsidRPr="0065442C">
        <w:rPr>
          <w:lang w:val="en-GB"/>
        </w:rPr>
        <w:t xml:space="preserve"> growth rate (~10-fold increase every 48 hours)</w:t>
      </w:r>
      <w:r w:rsidR="0089701F">
        <w:rPr>
          <w:lang w:val="en-GB"/>
        </w:rPr>
        <w:t xml:space="preserve"> back-extrapolation</w:t>
      </w:r>
      <w:r w:rsidR="0089701F" w:rsidRPr="0065442C">
        <w:rPr>
          <w:lang w:val="en-GB"/>
        </w:rPr>
        <w:t xml:space="preserve">. </w:t>
      </w:r>
      <w:r w:rsidR="0089701F">
        <w:rPr>
          <w:lang w:val="en-GB"/>
        </w:rPr>
        <w:t>This is illustrated by a</w:t>
      </w:r>
      <w:r w:rsidR="0089701F" w:rsidRPr="0065442C">
        <w:rPr>
          <w:lang w:val="en-GB"/>
        </w:rPr>
        <w:t xml:space="preserve"> patient </w:t>
      </w:r>
      <w:r w:rsidR="0089701F">
        <w:rPr>
          <w:lang w:val="en-GB"/>
        </w:rPr>
        <w:t>(</w:t>
      </w:r>
      <w:r w:rsidR="0089701F" w:rsidRPr="0065442C">
        <w:rPr>
          <w:lang w:val="en-GB"/>
        </w:rPr>
        <w:t>blue line</w:t>
      </w:r>
      <w:r w:rsidR="0089701F">
        <w:rPr>
          <w:lang w:val="en-GB"/>
        </w:rPr>
        <w:t>s</w:t>
      </w:r>
      <w:r w:rsidR="0089701F" w:rsidRPr="0065442C">
        <w:rPr>
          <w:lang w:val="en-GB"/>
        </w:rPr>
        <w:t>)</w:t>
      </w:r>
      <w:r w:rsidR="0089701F">
        <w:rPr>
          <w:lang w:val="en-GB"/>
        </w:rPr>
        <w:t xml:space="preserve"> </w:t>
      </w:r>
      <w:r w:rsidR="0089701F" w:rsidRPr="0065442C">
        <w:rPr>
          <w:lang w:val="en-GB"/>
        </w:rPr>
        <w:t>present</w:t>
      </w:r>
      <w:r w:rsidR="0089701F">
        <w:rPr>
          <w:lang w:val="en-GB"/>
        </w:rPr>
        <w:t>ing</w:t>
      </w:r>
      <w:r w:rsidR="0089701F" w:rsidRPr="0065442C">
        <w:rPr>
          <w:lang w:val="en-GB"/>
        </w:rPr>
        <w:t xml:space="preserve"> </w:t>
      </w:r>
      <w:r w:rsidR="0089701F">
        <w:rPr>
          <w:lang w:val="en-GB"/>
        </w:rPr>
        <w:t>with a</w:t>
      </w:r>
      <w:r w:rsidR="0089701F" w:rsidRPr="0065442C">
        <w:rPr>
          <w:lang w:val="en-GB"/>
        </w:rPr>
        <w:t xml:space="preserve"> low parasite</w:t>
      </w:r>
      <w:r w:rsidR="0089701F">
        <w:rPr>
          <w:lang w:val="en-GB"/>
        </w:rPr>
        <w:t xml:space="preserve"> count</w:t>
      </w:r>
      <w:r w:rsidR="0089701F" w:rsidRPr="0065442C">
        <w:rPr>
          <w:lang w:val="en-GB"/>
        </w:rPr>
        <w:t xml:space="preserve"> </w:t>
      </w:r>
      <w:r w:rsidR="0089701F">
        <w:rPr>
          <w:lang w:val="en-GB"/>
        </w:rPr>
        <w:t>(</w:t>
      </w:r>
      <w:r w:rsidR="0089701F" w:rsidRPr="0065442C">
        <w:rPr>
          <w:lang w:val="en-GB"/>
        </w:rPr>
        <w:t>~10</w:t>
      </w:r>
      <w:r w:rsidR="0089701F" w:rsidRPr="0065442C">
        <w:rPr>
          <w:vertAlign w:val="superscript"/>
          <w:lang w:val="en-GB"/>
        </w:rPr>
        <w:t>8</w:t>
      </w:r>
      <w:r w:rsidR="0089701F" w:rsidRPr="000131F5">
        <w:rPr>
          <w:lang w:val="en-GB"/>
        </w:rPr>
        <w:t xml:space="preserve">) </w:t>
      </w:r>
      <w:r w:rsidR="0089701F" w:rsidRPr="0065442C">
        <w:rPr>
          <w:lang w:val="en-GB"/>
        </w:rPr>
        <w:t xml:space="preserve">at </w:t>
      </w:r>
      <w:r w:rsidR="0089701F">
        <w:rPr>
          <w:lang w:val="en-GB"/>
        </w:rPr>
        <w:t>detection</w:t>
      </w:r>
      <w:r w:rsidR="0089701F" w:rsidRPr="0065442C">
        <w:rPr>
          <w:lang w:val="en-GB"/>
        </w:rPr>
        <w:t xml:space="preserve">, </w:t>
      </w:r>
      <w:r w:rsidR="0089701F">
        <w:rPr>
          <w:lang w:val="en-GB"/>
        </w:rPr>
        <w:t xml:space="preserve">resulting in a start of the blood stage infection at </w:t>
      </w:r>
      <w:r w:rsidR="0089701F" w:rsidRPr="0065442C">
        <w:rPr>
          <w:lang w:val="en-GB"/>
        </w:rPr>
        <w:t>10.6-5.4 days before</w:t>
      </w:r>
      <w:r w:rsidR="0089701F">
        <w:rPr>
          <w:lang w:val="en-GB"/>
        </w:rPr>
        <w:t xml:space="preserve"> detection</w:t>
      </w:r>
      <w:r w:rsidR="0089701F" w:rsidRPr="0065442C">
        <w:rPr>
          <w:lang w:val="en-GB"/>
        </w:rPr>
        <w:t xml:space="preserve">. </w:t>
      </w:r>
      <w:r w:rsidR="0089701F">
        <w:rPr>
          <w:lang w:val="en-GB"/>
        </w:rPr>
        <w:t>Similarly a patient (red lines) with high parasite count (</w:t>
      </w:r>
      <w:r w:rsidR="0089701F" w:rsidRPr="0065442C">
        <w:rPr>
          <w:lang w:val="en-GB"/>
        </w:rPr>
        <w:t>~10</w:t>
      </w:r>
      <w:r w:rsidR="0089701F">
        <w:rPr>
          <w:vertAlign w:val="superscript"/>
          <w:lang w:val="en-GB"/>
        </w:rPr>
        <w:t>13</w:t>
      </w:r>
      <w:r w:rsidR="0089701F">
        <w:rPr>
          <w:lang w:val="en-GB"/>
        </w:rPr>
        <w:t xml:space="preserve">) at detection, resulting in the start of the blood stage infection at 24.9-15.4 days before detection. </w:t>
      </w:r>
      <w:r w:rsidR="0089701F" w:rsidRPr="0065442C">
        <w:rPr>
          <w:lang w:val="en-GB"/>
        </w:rPr>
        <w:t xml:space="preserve">The total parasite biomass was </w:t>
      </w:r>
      <w:r w:rsidR="0089701F">
        <w:rPr>
          <w:lang w:val="en-GB"/>
        </w:rPr>
        <w:t>calculated as</w:t>
      </w:r>
      <w:r w:rsidR="0089701F" w:rsidRPr="0065442C">
        <w:rPr>
          <w:lang w:val="en-GB"/>
        </w:rPr>
        <w:t xml:space="preserve"> </w:t>
      </w:r>
      <w:r w:rsidR="0089701F">
        <w:rPr>
          <w:lang w:val="en-GB"/>
        </w:rPr>
        <w:t>p</w:t>
      </w:r>
      <w:r w:rsidR="0089701F" w:rsidRPr="0065442C">
        <w:rPr>
          <w:lang w:val="en-GB"/>
        </w:rPr>
        <w:t>eripheral blood parasite count [</w:t>
      </w:r>
      <w:r w:rsidR="0089701F" w:rsidRPr="0065442C">
        <w:rPr>
          <w:lang w:val="en-GB"/>
        </w:rPr>
        <w:sym w:font="Symbol" w:char="F06D"/>
      </w:r>
      <w:r w:rsidR="0089701F" w:rsidRPr="0065442C">
        <w:rPr>
          <w:lang w:val="en-GB"/>
        </w:rPr>
        <w:t>L</w:t>
      </w:r>
      <w:r w:rsidR="0089701F" w:rsidRPr="00E85775">
        <w:rPr>
          <w:vertAlign w:val="superscript"/>
          <w:lang w:val="en-GB"/>
        </w:rPr>
        <w:t>-1</w:t>
      </w:r>
      <w:r w:rsidR="0089701F" w:rsidRPr="0065442C">
        <w:rPr>
          <w:lang w:val="en-GB"/>
        </w:rPr>
        <w:t xml:space="preserve">] × </w:t>
      </w:r>
      <w:r w:rsidR="0089701F">
        <w:rPr>
          <w:lang w:val="en-GB"/>
        </w:rPr>
        <w:t>b</w:t>
      </w:r>
      <w:r w:rsidR="0089701F" w:rsidRPr="0065442C">
        <w:rPr>
          <w:lang w:val="en-GB"/>
        </w:rPr>
        <w:t>ody weight [kg] × 80,000.</w:t>
      </w:r>
    </w:p>
    <w:p w14:paraId="31779424" w14:textId="77777777" w:rsidR="0089701F" w:rsidRDefault="0089701F" w:rsidP="00CC58DE">
      <w:pPr>
        <w:spacing w:line="360" w:lineRule="auto"/>
        <w:rPr>
          <w:lang w:val="en-GB"/>
        </w:rPr>
      </w:pPr>
    </w:p>
    <w:p w14:paraId="537AEB17" w14:textId="77777777" w:rsidR="0089701F" w:rsidRPr="00E90F8B" w:rsidRDefault="0089701F" w:rsidP="00CC58DE">
      <w:pPr>
        <w:spacing w:line="360" w:lineRule="auto"/>
        <w:rPr>
          <w:lang w:val="en-GB"/>
        </w:rPr>
      </w:pPr>
    </w:p>
    <w:p w14:paraId="2D99AC2C" w14:textId="77777777" w:rsidR="0089701F" w:rsidRDefault="0089701F" w:rsidP="009F0C4C">
      <w:pPr>
        <w:spacing w:after="200" w:line="360" w:lineRule="auto"/>
        <w:rPr>
          <w:lang w:val="en-GB"/>
        </w:rPr>
      </w:pPr>
    </w:p>
    <w:p w14:paraId="7B6ECD27" w14:textId="46045C16" w:rsidR="0089701F" w:rsidRDefault="00B31A11" w:rsidP="009F0C4C">
      <w:pPr>
        <w:spacing w:after="200" w:line="360" w:lineRule="auto"/>
        <w:rPr>
          <w:lang w:val="en-GB"/>
        </w:rPr>
      </w:pPr>
      <w:r>
        <w:rPr>
          <w:lang w:val="en-GB"/>
        </w:rPr>
        <w:lastRenderedPageBreak/>
        <w:pict w14:anchorId="2A108221">
          <v:shape id="_x0000_i1027" type="#_x0000_t75" style="width:467.3pt;height:350.5pt">
            <v:imagedata r:id="rId10" o:title="FigureS4_NCOMMS"/>
          </v:shape>
        </w:pict>
      </w:r>
    </w:p>
    <w:p w14:paraId="64C141B5" w14:textId="77777777" w:rsidR="0089701F" w:rsidRDefault="00A720F0" w:rsidP="00CC58DE">
      <w:pPr>
        <w:spacing w:after="200" w:line="360" w:lineRule="auto"/>
        <w:rPr>
          <w:lang w:val="en-GB"/>
        </w:rPr>
      </w:pPr>
      <w:r>
        <w:rPr>
          <w:b/>
          <w:bCs/>
          <w:lang w:val="en-GB"/>
        </w:rPr>
        <w:t xml:space="preserve">Supplementary </w:t>
      </w:r>
      <w:r w:rsidR="0089701F" w:rsidRPr="00443ED3">
        <w:rPr>
          <w:b/>
          <w:bCs/>
          <w:lang w:val="en-GB"/>
        </w:rPr>
        <w:t xml:space="preserve">Figure </w:t>
      </w:r>
      <w:r w:rsidR="00762A6B">
        <w:rPr>
          <w:b/>
          <w:bCs/>
          <w:lang w:val="en-GB"/>
        </w:rPr>
        <w:t>4</w:t>
      </w:r>
      <w:r w:rsidR="0089701F" w:rsidRPr="00443ED3">
        <w:rPr>
          <w:b/>
          <w:bCs/>
          <w:lang w:val="en-GB"/>
        </w:rPr>
        <w:t>.</w:t>
      </w:r>
      <w:r w:rsidR="0089701F">
        <w:rPr>
          <w:lang w:val="en-GB"/>
        </w:rPr>
        <w:t xml:space="preserve"> </w:t>
      </w:r>
      <w:r w:rsidR="0089701F" w:rsidRPr="009D3DDB">
        <w:rPr>
          <w:b/>
          <w:bCs/>
          <w:lang w:val="en-GB"/>
        </w:rPr>
        <w:t xml:space="preserve">Visual predictive plots of the interval-censoring time-to-event model of the internal data stratified by age groups. </w:t>
      </w:r>
      <w:r w:rsidR="0089701F">
        <w:rPr>
          <w:lang w:val="en-GB"/>
        </w:rPr>
        <w:t xml:space="preserve">(A) </w:t>
      </w:r>
      <w:r>
        <w:rPr>
          <w:lang w:val="en-GB"/>
        </w:rPr>
        <w:t>A</w:t>
      </w:r>
      <w:r w:rsidR="0089701F">
        <w:rPr>
          <w:lang w:val="en-GB"/>
        </w:rPr>
        <w:t>ge below 1.25 years, (B) age between 1.25 and 2.50 years, (C) age between 2.50 and 3.75 years, and (D) age above 3.75 years. The observed Kaplan-Meier plots are the black solid lines, and the shaded areas are the 95% prediction intervals</w:t>
      </w:r>
      <w:r>
        <w:rPr>
          <w:lang w:val="en-GB"/>
        </w:rPr>
        <w:t xml:space="preserve"> of the final pharmacodynamic model</w:t>
      </w:r>
      <w:r w:rsidR="0089701F">
        <w:rPr>
          <w:lang w:val="en-GB"/>
        </w:rPr>
        <w:t>.</w:t>
      </w:r>
    </w:p>
    <w:p w14:paraId="6502B65C" w14:textId="77777777" w:rsidR="0089701F" w:rsidRDefault="0089701F" w:rsidP="00CC58DE">
      <w:pPr>
        <w:spacing w:after="200" w:line="360" w:lineRule="auto"/>
        <w:rPr>
          <w:lang w:val="en-GB"/>
        </w:rPr>
      </w:pPr>
    </w:p>
    <w:p w14:paraId="341AE00F" w14:textId="5262DDEE" w:rsidR="0089701F" w:rsidRPr="0065442C" w:rsidRDefault="00B31A11" w:rsidP="00CC58DE">
      <w:pPr>
        <w:spacing w:after="200" w:line="360" w:lineRule="auto"/>
        <w:rPr>
          <w:lang w:val="en-GB"/>
        </w:rPr>
      </w:pPr>
      <w:r>
        <w:rPr>
          <w:lang w:val="en-GB"/>
        </w:rPr>
        <w:lastRenderedPageBreak/>
        <w:pict w14:anchorId="325187E2">
          <v:shape id="_x0000_i1028" type="#_x0000_t75" style="width:467.3pt;height:350.5pt">
            <v:imagedata r:id="rId11" o:title="FigureS5_NCOMMS"/>
          </v:shape>
        </w:pict>
      </w:r>
    </w:p>
    <w:p w14:paraId="061263DD" w14:textId="77777777" w:rsidR="0089701F" w:rsidRDefault="00A720F0" w:rsidP="00CC58DE">
      <w:pPr>
        <w:spacing w:after="200" w:line="360" w:lineRule="auto"/>
        <w:rPr>
          <w:lang w:val="en-GB"/>
        </w:rPr>
      </w:pPr>
      <w:r>
        <w:rPr>
          <w:b/>
          <w:bCs/>
          <w:lang w:val="en-GB"/>
        </w:rPr>
        <w:t xml:space="preserve">Supplementary </w:t>
      </w:r>
      <w:r w:rsidR="0089701F" w:rsidRPr="00443ED3">
        <w:rPr>
          <w:b/>
          <w:bCs/>
          <w:lang w:val="en-GB"/>
        </w:rPr>
        <w:t xml:space="preserve">Figure </w:t>
      </w:r>
      <w:r w:rsidR="00762A6B">
        <w:rPr>
          <w:b/>
          <w:bCs/>
          <w:lang w:val="en-GB"/>
        </w:rPr>
        <w:t>5</w:t>
      </w:r>
      <w:r w:rsidR="0089701F" w:rsidRPr="00443ED3">
        <w:rPr>
          <w:b/>
          <w:bCs/>
          <w:lang w:val="en-GB"/>
        </w:rPr>
        <w:t>.</w:t>
      </w:r>
      <w:r w:rsidR="0089701F">
        <w:rPr>
          <w:lang w:val="en-GB"/>
        </w:rPr>
        <w:t xml:space="preserve"> </w:t>
      </w:r>
      <w:r w:rsidR="0089701F" w:rsidRPr="009D3DDB">
        <w:rPr>
          <w:b/>
          <w:bCs/>
          <w:lang w:val="en-GB"/>
        </w:rPr>
        <w:t xml:space="preserve">Visual predictive plots of the interval-censoring time-to-event model of the external data stratified by age groups. </w:t>
      </w:r>
      <w:r w:rsidR="0089701F">
        <w:rPr>
          <w:lang w:val="en-GB"/>
        </w:rPr>
        <w:t xml:space="preserve">(A) </w:t>
      </w:r>
      <w:r>
        <w:rPr>
          <w:lang w:val="en-GB"/>
        </w:rPr>
        <w:t>A</w:t>
      </w:r>
      <w:r w:rsidR="0089701F">
        <w:rPr>
          <w:lang w:val="en-GB"/>
        </w:rPr>
        <w:t>ge below 1.25 years, (B) age between 1.25 and 2.50 years, (C) age between 2.50 and 3.75 years, and (D) age above 3.75 years. The observed Kaplan-Meier plots are the black solid lines, and the shaded areas are the 95% prediction intervals</w:t>
      </w:r>
      <w:r>
        <w:rPr>
          <w:lang w:val="en-GB"/>
        </w:rPr>
        <w:t xml:space="preserve"> of the final pharmacodynamic model</w:t>
      </w:r>
      <w:r w:rsidR="0089701F">
        <w:rPr>
          <w:lang w:val="en-GB"/>
        </w:rPr>
        <w:t>.</w:t>
      </w:r>
    </w:p>
    <w:p w14:paraId="0A8DC28C" w14:textId="77777777" w:rsidR="0089701F" w:rsidRDefault="0089701F">
      <w:pPr>
        <w:spacing w:after="200" w:line="360" w:lineRule="auto"/>
        <w:rPr>
          <w:lang w:val="en-GB"/>
        </w:rPr>
      </w:pPr>
    </w:p>
    <w:p w14:paraId="7B6D1D3E" w14:textId="77777777" w:rsidR="0089701F" w:rsidRDefault="0089701F">
      <w:pPr>
        <w:spacing w:after="200" w:line="360" w:lineRule="auto"/>
        <w:rPr>
          <w:b/>
          <w:bCs/>
          <w:color w:val="000000"/>
          <w:lang w:val="en-GB"/>
        </w:rPr>
      </w:pPr>
    </w:p>
    <w:p w14:paraId="2407D00E" w14:textId="77777777" w:rsidR="0089701F" w:rsidRDefault="0089701F">
      <w:pPr>
        <w:spacing w:after="200" w:line="360" w:lineRule="auto"/>
        <w:jc w:val="center"/>
      </w:pPr>
    </w:p>
    <w:p w14:paraId="5AC57EBA" w14:textId="53B99828" w:rsidR="0089701F" w:rsidRDefault="00B31A11">
      <w:pPr>
        <w:spacing w:after="200" w:line="360" w:lineRule="auto"/>
        <w:jc w:val="center"/>
        <w:rPr>
          <w:lang w:bidi="th-TH"/>
        </w:rPr>
      </w:pPr>
      <w:r>
        <w:rPr>
          <w:lang w:bidi="th-TH"/>
        </w:rPr>
        <w:lastRenderedPageBreak/>
        <w:pict w14:anchorId="5F30E82E">
          <v:shape id="_x0000_i1029" type="#_x0000_t75" style="width:468pt;height:260.15pt">
            <v:imagedata r:id="rId12" o:title="MIC_vp"/>
          </v:shape>
        </w:pict>
      </w:r>
    </w:p>
    <w:p w14:paraId="659B9703" w14:textId="28E91279" w:rsidR="0089701F" w:rsidRPr="0065442C" w:rsidRDefault="00A720F0" w:rsidP="00CC58DE">
      <w:pPr>
        <w:spacing w:after="200" w:line="360" w:lineRule="auto"/>
        <w:rPr>
          <w:b/>
          <w:bCs/>
          <w:color w:val="000000"/>
          <w:lang w:val="en-GB"/>
        </w:rPr>
      </w:pPr>
      <w:r>
        <w:rPr>
          <w:b/>
          <w:bCs/>
        </w:rPr>
        <w:t xml:space="preserve">Supplementary </w:t>
      </w:r>
      <w:r w:rsidR="0089701F">
        <w:rPr>
          <w:b/>
          <w:bCs/>
        </w:rPr>
        <w:t xml:space="preserve">Figure </w:t>
      </w:r>
      <w:r w:rsidR="00762A6B">
        <w:rPr>
          <w:b/>
          <w:bCs/>
        </w:rPr>
        <w:t>6</w:t>
      </w:r>
      <w:r w:rsidR="009D3DDB">
        <w:rPr>
          <w:b/>
          <w:bCs/>
        </w:rPr>
        <w:t>.</w:t>
      </w:r>
      <w:r w:rsidR="00762A6B">
        <w:t xml:space="preserve"> </w:t>
      </w:r>
      <w:r w:rsidR="0089701F" w:rsidRPr="009D3DDB">
        <w:rPr>
          <w:b/>
          <w:bCs/>
        </w:rPr>
        <w:t xml:space="preserve">Histogram of the estimated minimum inhibitory concentration </w:t>
      </w:r>
      <w:r w:rsidR="008F1F71">
        <w:rPr>
          <w:b/>
          <w:bCs/>
        </w:rPr>
        <w:t xml:space="preserve">(MIC) of </w:t>
      </w:r>
      <w:r w:rsidR="008F1F71" w:rsidRPr="009D3DDB">
        <w:rPr>
          <w:b/>
          <w:bCs/>
        </w:rPr>
        <w:t xml:space="preserve">piperaquine </w:t>
      </w:r>
      <w:r w:rsidR="0089701F" w:rsidRPr="009D3DDB">
        <w:rPr>
          <w:b/>
          <w:bCs/>
        </w:rPr>
        <w:t>in children with recurrent malaria.</w:t>
      </w:r>
      <w:r w:rsidR="0089701F">
        <w:t xml:space="preserve"> </w:t>
      </w:r>
      <w:r w:rsidR="007B27C8">
        <w:t xml:space="preserve">Red </w:t>
      </w:r>
      <w:r w:rsidR="0089701F">
        <w:t xml:space="preserve">bars represent the predicted </w:t>
      </w:r>
      <w:r w:rsidR="008F1F71">
        <w:t xml:space="preserve">venous piperaquine </w:t>
      </w:r>
      <w:r w:rsidR="0089701F">
        <w:t xml:space="preserve">concentrations using a </w:t>
      </w:r>
      <w:r w:rsidR="0089701F" w:rsidRPr="0065442C">
        <w:rPr>
          <w:lang w:val="en-GB"/>
        </w:rPr>
        <w:t>low blood stage parasite</w:t>
      </w:r>
      <w:r w:rsidR="0089701F">
        <w:rPr>
          <w:lang w:val="en-GB"/>
        </w:rPr>
        <w:t xml:space="preserve"> density</w:t>
      </w:r>
      <w:r w:rsidR="0089701F" w:rsidRPr="0065442C">
        <w:rPr>
          <w:lang w:val="en-GB"/>
        </w:rPr>
        <w:t xml:space="preserve"> (</w:t>
      </w:r>
      <w:r w:rsidR="0089701F" w:rsidRPr="0065442C">
        <w:rPr>
          <w:szCs w:val="28"/>
          <w:lang w:val="en-GB" w:bidi="th-TH"/>
        </w:rPr>
        <w:t>~10</w:t>
      </w:r>
      <w:r w:rsidR="0089701F" w:rsidRPr="0065442C">
        <w:rPr>
          <w:szCs w:val="28"/>
          <w:vertAlign w:val="superscript"/>
          <w:lang w:val="en-GB" w:bidi="th-TH"/>
        </w:rPr>
        <w:t>4</w:t>
      </w:r>
      <w:r w:rsidR="0089701F" w:rsidRPr="0065442C">
        <w:rPr>
          <w:lang w:val="en-GB"/>
        </w:rPr>
        <w:t xml:space="preserve">) and </w:t>
      </w:r>
      <w:r w:rsidR="0089701F">
        <w:rPr>
          <w:lang w:val="en-GB"/>
        </w:rPr>
        <w:t>slow</w:t>
      </w:r>
      <w:r w:rsidR="0089701F" w:rsidRPr="0065442C">
        <w:rPr>
          <w:lang w:val="en-GB"/>
        </w:rPr>
        <w:t xml:space="preserve"> growth rate (~5-fold increase every 48 hours</w:t>
      </w:r>
      <w:r w:rsidR="0089701F">
        <w:rPr>
          <w:lang w:val="en-GB"/>
        </w:rPr>
        <w:t>) and</w:t>
      </w:r>
      <w:r w:rsidR="0089701F" w:rsidRPr="0065442C">
        <w:rPr>
          <w:lang w:val="en-GB"/>
        </w:rPr>
        <w:t xml:space="preserve"> </w:t>
      </w:r>
      <w:r w:rsidR="0089701F">
        <w:rPr>
          <w:lang w:val="en-GB"/>
        </w:rPr>
        <w:t xml:space="preserve">blue bars represent the predicted </w:t>
      </w:r>
      <w:r w:rsidR="008F1F71">
        <w:rPr>
          <w:lang w:val="en-GB"/>
        </w:rPr>
        <w:t xml:space="preserve">venous piperaquine </w:t>
      </w:r>
      <w:r w:rsidR="0089701F">
        <w:rPr>
          <w:lang w:val="en-GB"/>
        </w:rPr>
        <w:t xml:space="preserve">concentrations using a </w:t>
      </w:r>
      <w:r w:rsidR="0089701F" w:rsidRPr="0065442C">
        <w:rPr>
          <w:lang w:val="en-GB"/>
        </w:rPr>
        <w:t>high blood stage parasite</w:t>
      </w:r>
      <w:r w:rsidR="0089701F">
        <w:rPr>
          <w:lang w:val="en-GB"/>
        </w:rPr>
        <w:t xml:space="preserve"> density</w:t>
      </w:r>
      <w:r w:rsidR="0089701F" w:rsidRPr="0065442C">
        <w:rPr>
          <w:lang w:val="en-GB"/>
        </w:rPr>
        <w:t xml:space="preserve"> (~10</w:t>
      </w:r>
      <w:r w:rsidR="0089701F" w:rsidRPr="0065442C">
        <w:rPr>
          <w:vertAlign w:val="superscript"/>
          <w:lang w:val="en-GB"/>
        </w:rPr>
        <w:t>5</w:t>
      </w:r>
      <w:r w:rsidR="0089701F" w:rsidRPr="0065442C">
        <w:rPr>
          <w:lang w:val="en-GB"/>
        </w:rPr>
        <w:t xml:space="preserve">) and </w:t>
      </w:r>
      <w:r w:rsidR="0089701F">
        <w:rPr>
          <w:lang w:val="en-GB"/>
        </w:rPr>
        <w:t>fast</w:t>
      </w:r>
      <w:r w:rsidR="0089701F" w:rsidRPr="0065442C">
        <w:rPr>
          <w:lang w:val="en-GB"/>
        </w:rPr>
        <w:t xml:space="preserve"> growth rate (~10-fold increase every 48 hours)</w:t>
      </w:r>
      <w:r w:rsidR="0089701F">
        <w:t>. Vertical dashed lines represent the 95</w:t>
      </w:r>
      <w:r w:rsidRPr="00A720F0">
        <w:rPr>
          <w:vertAlign w:val="superscript"/>
        </w:rPr>
        <w:t>th</w:t>
      </w:r>
      <w:r w:rsidR="0089701F">
        <w:t xml:space="preserve"> percentile of </w:t>
      </w:r>
      <w:r w:rsidR="008F1F71">
        <w:t xml:space="preserve">venous </w:t>
      </w:r>
      <w:r w:rsidR="0089701F">
        <w:t>piperaquine concentrations under the two assumptions</w:t>
      </w:r>
      <w:r w:rsidR="008F1F71">
        <w:t xml:space="preserve">, assumed the lower and upper value of the </w:t>
      </w:r>
      <w:r w:rsidR="008F1F71" w:rsidRPr="008F1F71">
        <w:rPr>
          <w:i/>
        </w:rPr>
        <w:t>in vivo</w:t>
      </w:r>
      <w:r w:rsidR="008F1F71">
        <w:t xml:space="preserve"> minimum inhibitory concentration of piperaquine</w:t>
      </w:r>
      <w:r w:rsidR="0089701F">
        <w:t xml:space="preserve">.  </w:t>
      </w:r>
      <w:r w:rsidR="0089701F" w:rsidRPr="0065442C">
        <w:rPr>
          <w:b/>
          <w:bCs/>
          <w:color w:val="000000"/>
          <w:lang w:val="en-GB"/>
        </w:rPr>
        <w:fldChar w:fldCharType="begin"/>
      </w:r>
      <w:r w:rsidR="0089701F" w:rsidRPr="0065442C">
        <w:rPr>
          <w:b/>
          <w:bCs/>
          <w:color w:val="000000"/>
          <w:lang w:val="en-GB"/>
        </w:rPr>
        <w:instrText xml:space="preserve"> ADDIN </w:instrText>
      </w:r>
      <w:r w:rsidR="0089701F" w:rsidRPr="0065442C">
        <w:rPr>
          <w:b/>
          <w:bCs/>
          <w:color w:val="000000"/>
          <w:lang w:val="en-GB"/>
        </w:rPr>
        <w:fldChar w:fldCharType="end"/>
      </w:r>
      <w:r w:rsidR="0089701F">
        <w:rPr>
          <w:b/>
          <w:bCs/>
          <w:color w:val="000000"/>
          <w:lang w:val="en-GB"/>
        </w:rPr>
        <w:t xml:space="preserve"> </w:t>
      </w:r>
    </w:p>
    <w:p w14:paraId="1CFD2815" w14:textId="77777777" w:rsidR="001F1CA9" w:rsidRDefault="001F1CA9" w:rsidP="00CC58DE">
      <w:pPr>
        <w:spacing w:line="360" w:lineRule="auto"/>
        <w:rPr>
          <w:lang w:val="en-GB"/>
        </w:rPr>
      </w:pPr>
    </w:p>
    <w:p w14:paraId="36F766E0" w14:textId="77777777" w:rsidR="00A720F0" w:rsidRDefault="00A720F0" w:rsidP="00CC58DE">
      <w:pPr>
        <w:spacing w:after="160" w:line="360" w:lineRule="auto"/>
        <w:rPr>
          <w:b/>
          <w:bCs/>
          <w:color w:val="000000"/>
          <w:lang w:val="en-GB"/>
        </w:rPr>
      </w:pPr>
      <w:r>
        <w:rPr>
          <w:b/>
          <w:bCs/>
          <w:color w:val="000000"/>
          <w:lang w:val="en-GB"/>
        </w:rPr>
        <w:br w:type="page"/>
      </w:r>
    </w:p>
    <w:p w14:paraId="4C327086" w14:textId="77777777" w:rsidR="00A720F0" w:rsidRDefault="00A720F0" w:rsidP="009D3DDB">
      <w:pPr>
        <w:pStyle w:val="Heading1"/>
      </w:pPr>
      <w:r>
        <w:lastRenderedPageBreak/>
        <w:t>Supplementary Table</w:t>
      </w:r>
    </w:p>
    <w:p w14:paraId="461393A7" w14:textId="77777777" w:rsidR="009D3DDB" w:rsidRPr="009D3DDB" w:rsidRDefault="009D3DDB" w:rsidP="009D3DDB">
      <w:pPr>
        <w:rPr>
          <w:lang w:val="en-GB"/>
        </w:rPr>
      </w:pPr>
    </w:p>
    <w:p w14:paraId="781458BD" w14:textId="77777777" w:rsidR="00A720F0" w:rsidRDefault="009F0C4C" w:rsidP="00CC58DE">
      <w:pPr>
        <w:spacing w:after="200" w:line="360" w:lineRule="auto"/>
        <w:rPr>
          <w:color w:val="000000"/>
          <w:lang w:val="en-GB"/>
        </w:rPr>
      </w:pPr>
      <w:r>
        <w:rPr>
          <w:b/>
          <w:bCs/>
          <w:color w:val="000000"/>
          <w:lang w:val="en-GB"/>
        </w:rPr>
        <w:t xml:space="preserve">Supplementary </w:t>
      </w:r>
      <w:r w:rsidR="00A720F0" w:rsidRPr="00443ED3">
        <w:rPr>
          <w:b/>
          <w:bCs/>
          <w:color w:val="000000"/>
          <w:lang w:val="en-GB"/>
        </w:rPr>
        <w:t xml:space="preserve">Table </w:t>
      </w:r>
      <w:r w:rsidR="00A720F0">
        <w:rPr>
          <w:b/>
          <w:bCs/>
          <w:color w:val="000000"/>
          <w:lang w:val="en-GB"/>
        </w:rPr>
        <w:t>1</w:t>
      </w:r>
      <w:r w:rsidR="00A720F0" w:rsidRPr="00443ED3">
        <w:rPr>
          <w:b/>
          <w:bCs/>
          <w:color w:val="000000"/>
          <w:lang w:val="en-GB"/>
        </w:rPr>
        <w:t>.</w:t>
      </w:r>
      <w:r w:rsidR="00A720F0" w:rsidRPr="0065442C">
        <w:rPr>
          <w:color w:val="000000"/>
          <w:lang w:val="en-GB"/>
        </w:rPr>
        <w:t xml:space="preserve"> </w:t>
      </w:r>
      <w:r w:rsidR="00A720F0" w:rsidRPr="009D3DDB">
        <w:rPr>
          <w:b/>
          <w:bCs/>
          <w:color w:val="000000"/>
          <w:lang w:val="en-GB"/>
        </w:rPr>
        <w:t xml:space="preserve">Secondary pharmacokinetic parameter estimates generated from the </w:t>
      </w:r>
      <w:r w:rsidR="00A720F0" w:rsidRPr="009D3DDB">
        <w:rPr>
          <w:b/>
          <w:bCs/>
          <w:lang w:val="en-GB"/>
        </w:rPr>
        <w:t>final pharmacokinetic-pharmacodynamic model of piperaquine in children receiving seasonal malaria chemoprevention in Burkina Faso</w:t>
      </w:r>
      <w:r w:rsidR="00A720F0" w:rsidRPr="009D3DDB">
        <w:rPr>
          <w:b/>
          <w:bCs/>
          <w:color w:val="000000"/>
          <w:lang w:val="en-GB"/>
        </w:rPr>
        <w:t>.</w:t>
      </w:r>
    </w:p>
    <w:tbl>
      <w:tblPr>
        <w:tblStyle w:val="ListTable6Colorful-Accent3"/>
        <w:tblW w:w="0" w:type="auto"/>
        <w:jc w:val="center"/>
        <w:tblLook w:val="04A0" w:firstRow="1" w:lastRow="0" w:firstColumn="1" w:lastColumn="0" w:noHBand="0" w:noVBand="1"/>
      </w:tblPr>
      <w:tblGrid>
        <w:gridCol w:w="4390"/>
        <w:gridCol w:w="2268"/>
      </w:tblGrid>
      <w:tr w:rsidR="00412C3B" w:rsidRPr="00412C3B" w14:paraId="05263FC8" w14:textId="77777777" w:rsidTr="00AF05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14:paraId="3F9D3A27" w14:textId="77777777" w:rsidR="00A720F0" w:rsidRPr="00412C3B" w:rsidRDefault="009F0C4C" w:rsidP="00AF0540">
            <w:pPr>
              <w:spacing w:line="360" w:lineRule="auto"/>
              <w:rPr>
                <w:b w:val="0"/>
                <w:bCs w:val="0"/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  <w:lang w:val="en-GB"/>
              </w:rPr>
              <w:t>Pharmacokinetic parameters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DCCCECD" w14:textId="77777777" w:rsidR="00A720F0" w:rsidRPr="00412C3B" w:rsidRDefault="00A720F0" w:rsidP="00AF054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  <w:lang w:val="en-GB"/>
              </w:rPr>
              <w:t>Median (95% CI)</w:t>
            </w:r>
          </w:p>
        </w:tc>
      </w:tr>
      <w:tr w:rsidR="00412C3B" w:rsidRPr="00412C3B" w14:paraId="33164778" w14:textId="77777777" w:rsidTr="00AF0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4" w:space="0" w:color="auto"/>
              <w:bottom w:val="nil"/>
            </w:tcBorders>
          </w:tcPr>
          <w:p w14:paraId="27697CB4" w14:textId="77777777" w:rsidR="00A720F0" w:rsidRPr="00412C3B" w:rsidRDefault="00A720F0" w:rsidP="008721CC">
            <w:pPr>
              <w:spacing w:line="360" w:lineRule="auto"/>
              <w:rPr>
                <w:b w:val="0"/>
                <w:bCs w:val="0"/>
                <w:color w:val="000000" w:themeColor="text1"/>
                <w:lang w:val="en-GB"/>
              </w:rPr>
            </w:pPr>
            <w:r w:rsidRPr="00412C3B">
              <w:rPr>
                <w:b w:val="0"/>
                <w:bCs w:val="0"/>
                <w:color w:val="000000" w:themeColor="text1"/>
                <w:lang w:val="en-GB"/>
              </w:rPr>
              <w:t>C</w:t>
            </w:r>
            <w:r w:rsidRPr="00412C3B">
              <w:rPr>
                <w:b w:val="0"/>
                <w:bCs w:val="0"/>
                <w:color w:val="000000" w:themeColor="text1"/>
                <w:vertAlign w:val="subscript"/>
                <w:lang w:val="en-GB"/>
              </w:rPr>
              <w:t>max</w:t>
            </w:r>
            <w:r w:rsidRPr="00412C3B">
              <w:rPr>
                <w:b w:val="0"/>
                <w:bCs w:val="0"/>
                <w:color w:val="000000" w:themeColor="text1"/>
                <w:lang w:val="en-GB"/>
              </w:rPr>
              <w:t xml:space="preserve"> (ng/mL)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14E1BCD7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  <w:lang w:val="en-GB"/>
              </w:rPr>
              <w:t>398 (292-799)</w:t>
            </w:r>
          </w:p>
        </w:tc>
      </w:tr>
      <w:tr w:rsidR="00412C3B" w:rsidRPr="00412C3B" w14:paraId="380A2493" w14:textId="77777777" w:rsidTr="00AF05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nil"/>
            </w:tcBorders>
          </w:tcPr>
          <w:p w14:paraId="78C08561" w14:textId="77777777" w:rsidR="00A720F0" w:rsidRPr="00412C3B" w:rsidRDefault="00A720F0" w:rsidP="008721CC">
            <w:pPr>
              <w:spacing w:line="360" w:lineRule="auto"/>
              <w:rPr>
                <w:b w:val="0"/>
                <w:bCs w:val="0"/>
                <w:color w:val="000000" w:themeColor="text1"/>
                <w:lang w:val="en-GB"/>
              </w:rPr>
            </w:pPr>
            <w:r w:rsidRPr="00412C3B">
              <w:rPr>
                <w:b w:val="0"/>
                <w:bCs w:val="0"/>
                <w:color w:val="000000" w:themeColor="text1"/>
                <w:lang w:val="en-GB"/>
              </w:rPr>
              <w:t>T</w:t>
            </w:r>
            <w:r w:rsidRPr="00412C3B">
              <w:rPr>
                <w:b w:val="0"/>
                <w:bCs w:val="0"/>
                <w:color w:val="000000" w:themeColor="text1"/>
                <w:vertAlign w:val="subscript"/>
                <w:lang w:val="en-GB"/>
              </w:rPr>
              <w:t>max</w:t>
            </w:r>
            <w:r w:rsidRPr="00412C3B">
              <w:rPr>
                <w:b w:val="0"/>
                <w:bCs w:val="0"/>
                <w:color w:val="000000" w:themeColor="text1"/>
                <w:lang w:val="en-GB"/>
              </w:rPr>
              <w:t xml:space="preserve"> (h)</w:t>
            </w:r>
          </w:p>
        </w:tc>
        <w:tc>
          <w:tcPr>
            <w:tcW w:w="2268" w:type="dxa"/>
            <w:tcBorders>
              <w:top w:val="nil"/>
            </w:tcBorders>
          </w:tcPr>
          <w:p w14:paraId="0CC9E2B0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  <w:lang w:val="en-GB"/>
              </w:rPr>
              <w:t>2.85 (2.67-4.54)</w:t>
            </w:r>
          </w:p>
        </w:tc>
      </w:tr>
      <w:tr w:rsidR="00412C3B" w:rsidRPr="00412C3B" w14:paraId="430BF6D2" w14:textId="77777777" w:rsidTr="00412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829DC70" w14:textId="77777777" w:rsidR="00A720F0" w:rsidRPr="00412C3B" w:rsidRDefault="00A720F0" w:rsidP="008721CC">
            <w:pPr>
              <w:spacing w:line="360" w:lineRule="auto"/>
              <w:rPr>
                <w:b w:val="0"/>
                <w:bCs w:val="0"/>
                <w:color w:val="000000" w:themeColor="text1"/>
                <w:lang w:val="en-GB"/>
              </w:rPr>
            </w:pPr>
            <w:r w:rsidRPr="00412C3B">
              <w:rPr>
                <w:b w:val="0"/>
                <w:bCs w:val="0"/>
                <w:color w:val="000000" w:themeColor="text1"/>
                <w:lang w:val="en-GB"/>
              </w:rPr>
              <w:t>t</w:t>
            </w:r>
            <w:r w:rsidRPr="00412C3B">
              <w:rPr>
                <w:b w:val="0"/>
                <w:bCs w:val="0"/>
                <w:color w:val="000000" w:themeColor="text1"/>
                <w:vertAlign w:val="subscript"/>
                <w:lang w:val="en-GB"/>
              </w:rPr>
              <w:t>1/2</w:t>
            </w:r>
            <w:r w:rsidRPr="00412C3B">
              <w:rPr>
                <w:b w:val="0"/>
                <w:bCs w:val="0"/>
                <w:color w:val="000000" w:themeColor="text1"/>
                <w:lang w:val="en-GB"/>
              </w:rPr>
              <w:t xml:space="preserve"> (days)</w:t>
            </w:r>
          </w:p>
        </w:tc>
        <w:tc>
          <w:tcPr>
            <w:tcW w:w="2268" w:type="dxa"/>
          </w:tcPr>
          <w:p w14:paraId="78FAA800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  <w:lang w:val="en-GB"/>
              </w:rPr>
              <w:t>21.3 (19.8-25.4)</w:t>
            </w:r>
          </w:p>
        </w:tc>
      </w:tr>
      <w:tr w:rsidR="00412C3B" w:rsidRPr="00412C3B" w14:paraId="2FCBBF77" w14:textId="77777777" w:rsidTr="00412C3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3D08A2A4" w14:textId="77777777" w:rsidR="00A720F0" w:rsidRPr="00412C3B" w:rsidRDefault="00A720F0" w:rsidP="008721CC">
            <w:pPr>
              <w:spacing w:line="360" w:lineRule="auto"/>
              <w:rPr>
                <w:b w:val="0"/>
                <w:bCs w:val="0"/>
                <w:color w:val="000000" w:themeColor="text1"/>
                <w:lang w:val="en-GB"/>
              </w:rPr>
            </w:pPr>
            <w:r w:rsidRPr="00412C3B">
              <w:rPr>
                <w:b w:val="0"/>
                <w:bCs w:val="0"/>
                <w:color w:val="000000" w:themeColor="text1"/>
                <w:lang w:val="en-GB"/>
              </w:rPr>
              <w:t>AUC</w:t>
            </w:r>
            <w:r w:rsidRPr="00412C3B">
              <w:rPr>
                <w:b w:val="0"/>
                <w:bCs w:val="0"/>
                <w:color w:val="000000" w:themeColor="text1"/>
                <w:vertAlign w:val="subscript"/>
                <w:lang w:val="en-GB"/>
              </w:rPr>
              <w:t>0-30</w:t>
            </w:r>
            <w:r w:rsidRPr="00412C3B">
              <w:rPr>
                <w:b w:val="0"/>
                <w:bCs w:val="0"/>
                <w:color w:val="000000" w:themeColor="text1"/>
                <w:lang w:val="en-GB"/>
              </w:rPr>
              <w:t xml:space="preserve"> (h </w:t>
            </w:r>
            <w:r w:rsidRPr="00412C3B">
              <w:rPr>
                <w:b w:val="0"/>
                <w:bCs w:val="0"/>
                <w:color w:val="000000" w:themeColor="text1"/>
                <w:lang w:val="en-GB"/>
              </w:rPr>
              <w:sym w:font="Symbol" w:char="F0B4"/>
            </w:r>
            <w:r w:rsidRPr="00412C3B">
              <w:rPr>
                <w:b w:val="0"/>
                <w:bCs w:val="0"/>
                <w:color w:val="000000" w:themeColor="text1"/>
                <w:lang w:val="en-GB"/>
              </w:rPr>
              <w:t xml:space="preserve"> ng/mL)</w:t>
            </w:r>
          </w:p>
        </w:tc>
        <w:tc>
          <w:tcPr>
            <w:tcW w:w="2268" w:type="dxa"/>
          </w:tcPr>
          <w:p w14:paraId="0F544AF1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  <w:lang w:val="en-GB"/>
              </w:rPr>
              <w:t>31,200 (24,900-53,900)</w:t>
            </w:r>
          </w:p>
        </w:tc>
      </w:tr>
      <w:tr w:rsidR="00412C3B" w:rsidRPr="00412C3B" w14:paraId="6F463465" w14:textId="77777777" w:rsidTr="00412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367D0FBF" w14:textId="77777777" w:rsidR="00A720F0" w:rsidRPr="00412C3B" w:rsidRDefault="00A720F0" w:rsidP="008721CC">
            <w:pPr>
              <w:spacing w:line="360" w:lineRule="auto"/>
              <w:rPr>
                <w:b w:val="0"/>
                <w:bCs w:val="0"/>
                <w:color w:val="000000" w:themeColor="text1"/>
                <w:lang w:val="en-GB"/>
              </w:rPr>
            </w:pPr>
            <w:r w:rsidRPr="00412C3B">
              <w:rPr>
                <w:b w:val="0"/>
                <w:bCs w:val="0"/>
                <w:color w:val="000000" w:themeColor="text1"/>
                <w:lang w:val="en-GB"/>
              </w:rPr>
              <w:t>AUC</w:t>
            </w:r>
            <w:r w:rsidRPr="00412C3B">
              <w:rPr>
                <w:b w:val="0"/>
                <w:bCs w:val="0"/>
                <w:color w:val="000000" w:themeColor="text1"/>
                <w:vertAlign w:val="subscript"/>
                <w:lang w:val="en-GB"/>
              </w:rPr>
              <w:t>30-60</w:t>
            </w:r>
            <w:r w:rsidRPr="00412C3B">
              <w:rPr>
                <w:b w:val="0"/>
                <w:bCs w:val="0"/>
                <w:color w:val="000000" w:themeColor="text1"/>
                <w:lang w:val="en-GB"/>
              </w:rPr>
              <w:t xml:space="preserve"> (h </w:t>
            </w:r>
            <w:r w:rsidRPr="00412C3B">
              <w:rPr>
                <w:b w:val="0"/>
                <w:bCs w:val="0"/>
                <w:color w:val="000000" w:themeColor="text1"/>
                <w:lang w:val="en-GB"/>
              </w:rPr>
              <w:sym w:font="Symbol" w:char="F0B4"/>
            </w:r>
            <w:r w:rsidRPr="00412C3B">
              <w:rPr>
                <w:b w:val="0"/>
                <w:bCs w:val="0"/>
                <w:color w:val="000000" w:themeColor="text1"/>
                <w:lang w:val="en-GB"/>
              </w:rPr>
              <w:t xml:space="preserve"> ng/mL)</w:t>
            </w:r>
          </w:p>
        </w:tc>
        <w:tc>
          <w:tcPr>
            <w:tcW w:w="2268" w:type="dxa"/>
          </w:tcPr>
          <w:p w14:paraId="76D1F238" w14:textId="77777777" w:rsidR="00A720F0" w:rsidRPr="00412C3B" w:rsidRDefault="00A720F0">
            <w:pPr>
              <w:tabs>
                <w:tab w:val="left" w:pos="213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  <w:lang w:val="en-GB"/>
              </w:rPr>
              <w:t>38,300 (30,100-70,500)</w:t>
            </w:r>
          </w:p>
        </w:tc>
      </w:tr>
      <w:tr w:rsidR="00412C3B" w:rsidRPr="00412C3B" w14:paraId="1AD4814C" w14:textId="77777777" w:rsidTr="00412C3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bottom w:val="nil"/>
            </w:tcBorders>
          </w:tcPr>
          <w:p w14:paraId="7354EFD0" w14:textId="77777777" w:rsidR="00A720F0" w:rsidRPr="00412C3B" w:rsidRDefault="00A720F0" w:rsidP="008721CC">
            <w:pPr>
              <w:spacing w:line="360" w:lineRule="auto"/>
              <w:rPr>
                <w:b w:val="0"/>
                <w:bCs w:val="0"/>
                <w:color w:val="000000" w:themeColor="text1"/>
                <w:lang w:val="en-GB"/>
              </w:rPr>
            </w:pPr>
            <w:r w:rsidRPr="00412C3B">
              <w:rPr>
                <w:b w:val="0"/>
                <w:bCs w:val="0"/>
                <w:color w:val="000000" w:themeColor="text1"/>
                <w:lang w:val="en-GB"/>
              </w:rPr>
              <w:t>AUC</w:t>
            </w:r>
            <w:r w:rsidRPr="00412C3B">
              <w:rPr>
                <w:b w:val="0"/>
                <w:bCs w:val="0"/>
                <w:color w:val="000000" w:themeColor="text1"/>
                <w:vertAlign w:val="subscript"/>
                <w:lang w:val="en-GB"/>
              </w:rPr>
              <w:t>60-90</w:t>
            </w:r>
            <w:r w:rsidRPr="00412C3B">
              <w:rPr>
                <w:b w:val="0"/>
                <w:bCs w:val="0"/>
                <w:color w:val="000000" w:themeColor="text1"/>
                <w:lang w:val="en-GB"/>
              </w:rPr>
              <w:t xml:space="preserve"> (h </w:t>
            </w:r>
            <w:r w:rsidRPr="00412C3B">
              <w:rPr>
                <w:b w:val="0"/>
                <w:bCs w:val="0"/>
                <w:color w:val="000000" w:themeColor="text1"/>
                <w:lang w:val="en-GB"/>
              </w:rPr>
              <w:sym w:font="Symbol" w:char="F0B4"/>
            </w:r>
            <w:r w:rsidRPr="00412C3B">
              <w:rPr>
                <w:b w:val="0"/>
                <w:bCs w:val="0"/>
                <w:color w:val="000000" w:themeColor="text1"/>
                <w:lang w:val="en-GB"/>
              </w:rPr>
              <w:t xml:space="preserve"> ng/mL)</w:t>
            </w:r>
          </w:p>
        </w:tc>
        <w:tc>
          <w:tcPr>
            <w:tcW w:w="2268" w:type="dxa"/>
            <w:tcBorders>
              <w:bottom w:val="nil"/>
            </w:tcBorders>
          </w:tcPr>
          <w:p w14:paraId="1C80F8C6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  <w:lang w:val="en-GB"/>
              </w:rPr>
              <w:t>40,600 (33,400-75,864)</w:t>
            </w:r>
          </w:p>
        </w:tc>
      </w:tr>
      <w:tr w:rsidR="00412C3B" w:rsidRPr="00412C3B" w14:paraId="57AE2B65" w14:textId="77777777" w:rsidTr="00412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nil"/>
              <w:bottom w:val="single" w:sz="4" w:space="0" w:color="auto"/>
            </w:tcBorders>
          </w:tcPr>
          <w:p w14:paraId="65711161" w14:textId="77777777" w:rsidR="00A720F0" w:rsidRPr="00412C3B" w:rsidRDefault="00A720F0" w:rsidP="008721CC">
            <w:pPr>
              <w:spacing w:line="360" w:lineRule="auto"/>
              <w:rPr>
                <w:b w:val="0"/>
                <w:bCs w:val="0"/>
                <w:color w:val="000000" w:themeColor="text1"/>
                <w:lang w:val="en-GB"/>
              </w:rPr>
            </w:pPr>
            <w:r w:rsidRPr="00412C3B">
              <w:rPr>
                <w:b w:val="0"/>
                <w:bCs w:val="0"/>
                <w:color w:val="000000" w:themeColor="text1"/>
                <w:lang w:val="en-GB"/>
              </w:rPr>
              <w:t>Day-7 concentrations (ng/mL) after the first dose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3DB4AF19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  <w:lang w:val="en-GB"/>
              </w:rPr>
              <w:t>35.6 (29.3-68.3)</w:t>
            </w:r>
          </w:p>
        </w:tc>
      </w:tr>
    </w:tbl>
    <w:p w14:paraId="21295FF0" w14:textId="77777777" w:rsidR="00A720F0" w:rsidRDefault="00A720F0">
      <w:pPr>
        <w:spacing w:after="200" w:line="360" w:lineRule="auto"/>
        <w:rPr>
          <w:color w:val="000000"/>
          <w:lang w:val="en-GB"/>
        </w:rPr>
      </w:pPr>
      <w:r>
        <w:rPr>
          <w:color w:val="000000"/>
          <w:lang w:val="en-GB"/>
        </w:rPr>
        <w:t xml:space="preserve">Secondary parameter estimates are calculated from the empirical Bayesian </w:t>
      </w:r>
      <w:r>
        <w:rPr>
          <w:i/>
          <w:iCs/>
          <w:color w:val="000000"/>
          <w:lang w:val="en-GB"/>
        </w:rPr>
        <w:t>post hoc</w:t>
      </w:r>
      <w:r>
        <w:rPr>
          <w:color w:val="000000"/>
          <w:lang w:val="en-GB"/>
        </w:rPr>
        <w:t xml:space="preserve"> estimate</w:t>
      </w:r>
      <w:r w:rsidR="008F1F71">
        <w:rPr>
          <w:color w:val="000000"/>
          <w:lang w:val="en-GB"/>
        </w:rPr>
        <w:t>s</w:t>
      </w:r>
      <w:r>
        <w:rPr>
          <w:color w:val="000000"/>
          <w:lang w:val="en-GB"/>
        </w:rPr>
        <w:t>.</w:t>
      </w:r>
    </w:p>
    <w:p w14:paraId="4B5245CA" w14:textId="71A4AC1A" w:rsidR="00A720F0" w:rsidRDefault="00A720F0">
      <w:pPr>
        <w:spacing w:after="200" w:line="360" w:lineRule="auto"/>
        <w:rPr>
          <w:color w:val="000000"/>
          <w:lang w:val="en-GB"/>
        </w:rPr>
      </w:pPr>
      <w:r>
        <w:rPr>
          <w:color w:val="000000"/>
          <w:lang w:val="en-GB"/>
        </w:rPr>
        <w:t>Abbreviations: AUC</w:t>
      </w:r>
      <w:r w:rsidRPr="00945C1F">
        <w:rPr>
          <w:color w:val="000000"/>
          <w:vertAlign w:val="subscript"/>
          <w:lang w:val="en-GB"/>
        </w:rPr>
        <w:t>0-30</w:t>
      </w:r>
      <w:r>
        <w:rPr>
          <w:color w:val="000000"/>
          <w:lang w:val="en-GB"/>
        </w:rPr>
        <w:t xml:space="preserve">, area under the </w:t>
      </w:r>
      <w:r w:rsidR="008F1F71">
        <w:rPr>
          <w:color w:val="000000"/>
          <w:lang w:val="en-GB"/>
        </w:rPr>
        <w:t xml:space="preserve">capillary </w:t>
      </w:r>
      <w:r>
        <w:rPr>
          <w:color w:val="000000"/>
          <w:lang w:val="en-GB"/>
        </w:rPr>
        <w:t>concentration-time curve from time 0 to 30 days; AUC</w:t>
      </w:r>
      <w:r w:rsidRPr="00945C1F">
        <w:rPr>
          <w:color w:val="000000"/>
          <w:vertAlign w:val="subscript"/>
          <w:lang w:val="en-GB"/>
        </w:rPr>
        <w:t>30</w:t>
      </w:r>
      <w:r>
        <w:rPr>
          <w:color w:val="000000"/>
          <w:vertAlign w:val="subscript"/>
          <w:lang w:val="en-GB"/>
        </w:rPr>
        <w:t>-60</w:t>
      </w:r>
      <w:r>
        <w:rPr>
          <w:color w:val="000000"/>
          <w:lang w:val="en-GB"/>
        </w:rPr>
        <w:t xml:space="preserve">, area under the </w:t>
      </w:r>
      <w:r w:rsidR="00417CCB">
        <w:rPr>
          <w:color w:val="000000"/>
          <w:lang w:val="en-GB"/>
        </w:rPr>
        <w:t>capillary</w:t>
      </w:r>
      <w:r w:rsidR="008F1F71"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t>concentration-time curve from time 30 to 60 days; AUC</w:t>
      </w:r>
      <w:r>
        <w:rPr>
          <w:color w:val="000000"/>
          <w:vertAlign w:val="subscript"/>
          <w:lang w:val="en-GB"/>
        </w:rPr>
        <w:t>60-9</w:t>
      </w:r>
      <w:r w:rsidRPr="00945C1F">
        <w:rPr>
          <w:color w:val="000000"/>
          <w:vertAlign w:val="subscript"/>
          <w:lang w:val="en-GB"/>
        </w:rPr>
        <w:t>0</w:t>
      </w:r>
      <w:r>
        <w:rPr>
          <w:color w:val="000000"/>
          <w:lang w:val="en-GB"/>
        </w:rPr>
        <w:t xml:space="preserve">, area under the </w:t>
      </w:r>
      <w:r w:rsidR="00417CCB">
        <w:rPr>
          <w:color w:val="000000"/>
          <w:lang w:val="en-GB"/>
        </w:rPr>
        <w:t>capillary</w:t>
      </w:r>
      <w:r w:rsidR="008F1F71"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t>concentration-time curve from time 60 to 90 days; C</w:t>
      </w:r>
      <w:r w:rsidRPr="00945C1F">
        <w:rPr>
          <w:color w:val="000000"/>
          <w:vertAlign w:val="subscript"/>
          <w:lang w:val="en-GB"/>
        </w:rPr>
        <w:t>max</w:t>
      </w:r>
      <w:r>
        <w:rPr>
          <w:color w:val="000000"/>
          <w:lang w:val="en-GB"/>
        </w:rPr>
        <w:t xml:space="preserve">, maximum piperaquine </w:t>
      </w:r>
      <w:r w:rsidR="00417CCB">
        <w:rPr>
          <w:color w:val="000000"/>
          <w:lang w:val="en-GB"/>
        </w:rPr>
        <w:t>capillary</w:t>
      </w:r>
      <w:r w:rsidR="008F1F71"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t>concentration; T</w:t>
      </w:r>
      <w:r w:rsidRPr="00945C1F">
        <w:rPr>
          <w:color w:val="000000"/>
          <w:vertAlign w:val="subscript"/>
          <w:lang w:val="en-GB"/>
        </w:rPr>
        <w:t>max</w:t>
      </w:r>
      <w:r>
        <w:rPr>
          <w:color w:val="000000"/>
          <w:lang w:val="en-GB"/>
        </w:rPr>
        <w:t>, time to maximum concentration; t</w:t>
      </w:r>
      <w:r w:rsidRPr="00945C1F">
        <w:rPr>
          <w:color w:val="000000"/>
          <w:vertAlign w:val="subscript"/>
          <w:lang w:val="en-GB"/>
        </w:rPr>
        <w:t>1/2</w:t>
      </w:r>
      <w:r>
        <w:rPr>
          <w:color w:val="000000"/>
          <w:lang w:val="en-GB"/>
        </w:rPr>
        <w:t>, terminal elimination half-life.</w:t>
      </w:r>
    </w:p>
    <w:p w14:paraId="2E4C3ACA" w14:textId="77777777" w:rsidR="00A720F0" w:rsidRDefault="00A720F0">
      <w:pPr>
        <w:spacing w:after="200" w:line="360" w:lineRule="auto"/>
        <w:rPr>
          <w:color w:val="000000"/>
          <w:lang w:val="en-GB"/>
        </w:rPr>
      </w:pPr>
    </w:p>
    <w:p w14:paraId="3D781A25" w14:textId="77777777" w:rsidR="00A720F0" w:rsidRPr="009D3DDB" w:rsidRDefault="00A720F0" w:rsidP="00CC58DE">
      <w:pPr>
        <w:spacing w:after="200" w:line="360" w:lineRule="auto"/>
        <w:rPr>
          <w:b/>
          <w:bCs/>
          <w:color w:val="000000"/>
          <w:lang w:val="en-GB"/>
        </w:rPr>
      </w:pPr>
      <w:r>
        <w:rPr>
          <w:b/>
          <w:bCs/>
          <w:color w:val="000000"/>
          <w:lang w:val="en-GB"/>
        </w:rPr>
        <w:br w:type="page"/>
      </w:r>
      <w:r w:rsidR="009F0C4C" w:rsidRPr="009D3DDB">
        <w:rPr>
          <w:b/>
          <w:bCs/>
          <w:color w:val="000000"/>
          <w:lang w:val="en-GB"/>
        </w:rPr>
        <w:lastRenderedPageBreak/>
        <w:t xml:space="preserve">Supplementary </w:t>
      </w:r>
      <w:r w:rsidRPr="009D3DDB">
        <w:rPr>
          <w:b/>
          <w:bCs/>
          <w:color w:val="000000"/>
          <w:lang w:val="en-GB"/>
        </w:rPr>
        <w:t>Table 2. Dosing regimen</w:t>
      </w:r>
      <w:r w:rsidR="009F0C4C" w:rsidRPr="009D3DDB">
        <w:rPr>
          <w:b/>
          <w:bCs/>
          <w:color w:val="000000"/>
          <w:lang w:val="en-GB"/>
        </w:rPr>
        <w:t xml:space="preserve"> for translational</w:t>
      </w:r>
      <w:r w:rsidRPr="009D3DDB">
        <w:rPr>
          <w:b/>
          <w:bCs/>
          <w:color w:val="000000"/>
          <w:lang w:val="en-GB"/>
        </w:rPr>
        <w:t xml:space="preserve"> simulations.</w:t>
      </w:r>
    </w:p>
    <w:tbl>
      <w:tblPr>
        <w:tblStyle w:val="ListTable6Colorful-Accent3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1117"/>
        <w:gridCol w:w="1348"/>
        <w:gridCol w:w="1349"/>
        <w:gridCol w:w="1349"/>
        <w:gridCol w:w="1348"/>
        <w:gridCol w:w="1349"/>
        <w:gridCol w:w="1349"/>
      </w:tblGrid>
      <w:tr w:rsidR="00412C3B" w:rsidRPr="00412C3B" w14:paraId="4D5F4F95" w14:textId="77777777" w:rsidTr="00412C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38FD136" w14:textId="77777777" w:rsidR="00A720F0" w:rsidRPr="00412C3B" w:rsidRDefault="00A720F0" w:rsidP="00350384">
            <w:pPr>
              <w:spacing w:line="360" w:lineRule="auto"/>
              <w:jc w:val="center"/>
              <w:rPr>
                <w:b w:val="0"/>
                <w:bCs w:val="0"/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  <w:lang w:val="en-GB"/>
              </w:rPr>
              <w:t>Body weight</w:t>
            </w:r>
          </w:p>
        </w:tc>
        <w:tc>
          <w:tcPr>
            <w:tcW w:w="40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F59E14D" w14:textId="77777777" w:rsidR="00A720F0" w:rsidRPr="00412C3B" w:rsidRDefault="00A720F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  <w:lang w:val="en-GB"/>
              </w:rPr>
              <w:t>Recommended dosing regimen</w:t>
            </w:r>
            <w:r w:rsidR="009F0C4C" w:rsidRPr="00412C3B">
              <w:rPr>
                <w:color w:val="000000" w:themeColor="text1"/>
                <w:lang w:val="en-GB"/>
              </w:rPr>
              <w:t xml:space="preserve"> </w:t>
            </w:r>
            <w:r w:rsidRPr="00412C3B">
              <w:rPr>
                <w:color w:val="000000" w:themeColor="text1"/>
                <w:lang w:val="en-GB"/>
              </w:rPr>
              <w:t>(WHO 2010)</w:t>
            </w:r>
          </w:p>
        </w:tc>
        <w:tc>
          <w:tcPr>
            <w:tcW w:w="40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6253B43" w14:textId="77777777" w:rsidR="00A720F0" w:rsidRPr="00412C3B" w:rsidRDefault="00A720F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  <w:lang w:val="en-GB"/>
              </w:rPr>
              <w:t>Increased dosing regimen (WHO 2015)</w:t>
            </w:r>
          </w:p>
        </w:tc>
      </w:tr>
      <w:tr w:rsidR="00412C3B" w:rsidRPr="00412C3B" w14:paraId="70BFCE0E" w14:textId="77777777" w:rsidTr="00412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C7CE397" w14:textId="77777777" w:rsidR="00A720F0" w:rsidRPr="00412C3B" w:rsidRDefault="00A720F0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E33F73D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lang w:val="en-GB"/>
              </w:rPr>
            </w:pPr>
            <w:r w:rsidRPr="00412C3B">
              <w:rPr>
                <w:b/>
                <w:bCs/>
                <w:color w:val="000000" w:themeColor="text1"/>
                <w:lang w:val="en-GB"/>
              </w:rPr>
              <w:t>No. of tablets/day</w:t>
            </w:r>
            <w:r w:rsidR="009F0C4C" w:rsidRPr="00412C3B">
              <w:rPr>
                <w:b/>
                <w:bCs/>
                <w:color w:val="000000" w:themeColor="text1"/>
                <w:lang w:val="en-GB"/>
              </w:rPr>
              <w:t xml:space="preserve"> </w:t>
            </w:r>
            <w:r w:rsidR="009F0C4C" w:rsidRPr="00412C3B">
              <w:rPr>
                <w:b/>
                <w:bCs/>
                <w:color w:val="000000" w:themeColor="text1"/>
                <w:vertAlign w:val="superscript"/>
                <w:lang w:val="en-GB"/>
              </w:rPr>
              <w:t>a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AA0C1C3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lang w:val="en-GB"/>
              </w:rPr>
            </w:pPr>
            <w:r w:rsidRPr="00412C3B">
              <w:rPr>
                <w:b/>
                <w:bCs/>
                <w:color w:val="000000" w:themeColor="text1"/>
                <w:lang w:val="en-GB"/>
              </w:rPr>
              <w:t>PQP (mg)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436578B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lang w:val="en-GB"/>
              </w:rPr>
            </w:pPr>
            <w:r w:rsidRPr="00412C3B">
              <w:rPr>
                <w:b/>
                <w:bCs/>
                <w:color w:val="000000" w:themeColor="text1"/>
                <w:lang w:val="en-GB"/>
              </w:rPr>
              <w:t>PQP/day (mg/kg)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3C93315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lang w:val="en-GB"/>
              </w:rPr>
            </w:pPr>
            <w:r w:rsidRPr="00412C3B">
              <w:rPr>
                <w:b/>
                <w:bCs/>
                <w:color w:val="000000" w:themeColor="text1"/>
                <w:lang w:val="en-GB"/>
              </w:rPr>
              <w:t>No. of tablets/day</w:t>
            </w:r>
            <w:r w:rsidR="009F0C4C" w:rsidRPr="00412C3B">
              <w:rPr>
                <w:b/>
                <w:bCs/>
                <w:color w:val="000000" w:themeColor="text1"/>
                <w:lang w:val="en-GB"/>
              </w:rPr>
              <w:t xml:space="preserve"> </w:t>
            </w:r>
            <w:r w:rsidR="009F0C4C" w:rsidRPr="00412C3B">
              <w:rPr>
                <w:b/>
                <w:bCs/>
                <w:color w:val="000000" w:themeColor="text1"/>
                <w:vertAlign w:val="superscript"/>
                <w:lang w:val="en-GB"/>
              </w:rPr>
              <w:t>a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8B98052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lang w:val="en-GB"/>
              </w:rPr>
            </w:pPr>
            <w:r w:rsidRPr="00412C3B">
              <w:rPr>
                <w:b/>
                <w:bCs/>
                <w:color w:val="000000" w:themeColor="text1"/>
                <w:lang w:val="en-GB"/>
              </w:rPr>
              <w:t>PQP (mg)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F7CC5DE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lang w:val="en-GB"/>
              </w:rPr>
            </w:pPr>
            <w:r w:rsidRPr="00412C3B">
              <w:rPr>
                <w:b/>
                <w:bCs/>
                <w:color w:val="000000" w:themeColor="text1"/>
                <w:lang w:val="en-GB"/>
              </w:rPr>
              <w:t>PQP/day (mg/kg)</w:t>
            </w:r>
          </w:p>
        </w:tc>
      </w:tr>
      <w:tr w:rsidR="00412C3B" w:rsidRPr="00412C3B" w14:paraId="4ED9BBC3" w14:textId="77777777" w:rsidTr="00412C3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tcBorders>
              <w:top w:val="single" w:sz="4" w:space="0" w:color="auto"/>
            </w:tcBorders>
          </w:tcPr>
          <w:p w14:paraId="0950EB65" w14:textId="77777777" w:rsidR="00A720F0" w:rsidRPr="00412C3B" w:rsidRDefault="00A720F0" w:rsidP="00350384">
            <w:pPr>
              <w:spacing w:line="360" w:lineRule="auto"/>
              <w:jc w:val="center"/>
              <w:rPr>
                <w:b w:val="0"/>
                <w:bCs w:val="0"/>
                <w:color w:val="000000" w:themeColor="text1"/>
                <w:lang w:val="en-GB"/>
              </w:rPr>
            </w:pPr>
            <w:r w:rsidRPr="00412C3B">
              <w:rPr>
                <w:b w:val="0"/>
                <w:bCs w:val="0"/>
                <w:color w:val="000000" w:themeColor="text1"/>
                <w:lang w:val="en-GB"/>
              </w:rPr>
              <w:t>5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14:paraId="0063425C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0.5</w:t>
            </w:r>
          </w:p>
        </w:tc>
        <w:tc>
          <w:tcPr>
            <w:tcW w:w="1349" w:type="dxa"/>
            <w:tcBorders>
              <w:top w:val="single" w:sz="4" w:space="0" w:color="auto"/>
            </w:tcBorders>
          </w:tcPr>
          <w:p w14:paraId="7AF56D87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80</w:t>
            </w:r>
          </w:p>
        </w:tc>
        <w:tc>
          <w:tcPr>
            <w:tcW w:w="1349" w:type="dxa"/>
            <w:tcBorders>
              <w:top w:val="single" w:sz="4" w:space="0" w:color="auto"/>
            </w:tcBorders>
          </w:tcPr>
          <w:p w14:paraId="3477D765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16.00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14:paraId="748F0F96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1</w:t>
            </w:r>
          </w:p>
        </w:tc>
        <w:tc>
          <w:tcPr>
            <w:tcW w:w="1349" w:type="dxa"/>
            <w:tcBorders>
              <w:top w:val="single" w:sz="4" w:space="0" w:color="auto"/>
            </w:tcBorders>
          </w:tcPr>
          <w:p w14:paraId="2F55DBCA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160</w:t>
            </w:r>
          </w:p>
        </w:tc>
        <w:tc>
          <w:tcPr>
            <w:tcW w:w="1349" w:type="dxa"/>
            <w:tcBorders>
              <w:top w:val="single" w:sz="4" w:space="0" w:color="auto"/>
            </w:tcBorders>
          </w:tcPr>
          <w:p w14:paraId="0BDD9640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32.00</w:t>
            </w:r>
          </w:p>
        </w:tc>
      </w:tr>
      <w:tr w:rsidR="00412C3B" w:rsidRPr="00412C3B" w14:paraId="24DA46C9" w14:textId="77777777" w:rsidTr="00412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</w:tcPr>
          <w:p w14:paraId="12050F9E" w14:textId="77777777" w:rsidR="00A720F0" w:rsidRPr="00412C3B" w:rsidRDefault="00A720F0" w:rsidP="00350384">
            <w:pPr>
              <w:spacing w:line="360" w:lineRule="auto"/>
              <w:jc w:val="center"/>
              <w:rPr>
                <w:b w:val="0"/>
                <w:bCs w:val="0"/>
                <w:color w:val="000000" w:themeColor="text1"/>
                <w:lang w:val="en-GB"/>
              </w:rPr>
            </w:pPr>
            <w:r w:rsidRPr="00412C3B">
              <w:rPr>
                <w:b w:val="0"/>
                <w:bCs w:val="0"/>
                <w:color w:val="000000" w:themeColor="text1"/>
                <w:lang w:val="en-GB"/>
              </w:rPr>
              <w:t>6</w:t>
            </w:r>
          </w:p>
        </w:tc>
        <w:tc>
          <w:tcPr>
            <w:tcW w:w="1348" w:type="dxa"/>
          </w:tcPr>
          <w:p w14:paraId="6734E9D3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0.5</w:t>
            </w:r>
          </w:p>
        </w:tc>
        <w:tc>
          <w:tcPr>
            <w:tcW w:w="1349" w:type="dxa"/>
          </w:tcPr>
          <w:p w14:paraId="73FB4427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80</w:t>
            </w:r>
          </w:p>
        </w:tc>
        <w:tc>
          <w:tcPr>
            <w:tcW w:w="1349" w:type="dxa"/>
          </w:tcPr>
          <w:p w14:paraId="097279B8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13.33</w:t>
            </w:r>
          </w:p>
        </w:tc>
        <w:tc>
          <w:tcPr>
            <w:tcW w:w="1348" w:type="dxa"/>
          </w:tcPr>
          <w:p w14:paraId="07B42A8A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1</w:t>
            </w:r>
          </w:p>
        </w:tc>
        <w:tc>
          <w:tcPr>
            <w:tcW w:w="1349" w:type="dxa"/>
          </w:tcPr>
          <w:p w14:paraId="25D0A76F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160</w:t>
            </w:r>
          </w:p>
        </w:tc>
        <w:tc>
          <w:tcPr>
            <w:tcW w:w="1349" w:type="dxa"/>
          </w:tcPr>
          <w:p w14:paraId="50B402BF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26.67</w:t>
            </w:r>
          </w:p>
        </w:tc>
      </w:tr>
      <w:tr w:rsidR="00412C3B" w:rsidRPr="00412C3B" w14:paraId="625E3522" w14:textId="77777777" w:rsidTr="00412C3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</w:tcPr>
          <w:p w14:paraId="64DA47FC" w14:textId="77777777" w:rsidR="00A720F0" w:rsidRPr="00412C3B" w:rsidRDefault="00A720F0" w:rsidP="00350384">
            <w:pPr>
              <w:spacing w:line="360" w:lineRule="auto"/>
              <w:jc w:val="center"/>
              <w:rPr>
                <w:b w:val="0"/>
                <w:bCs w:val="0"/>
                <w:color w:val="000000" w:themeColor="text1"/>
                <w:lang w:val="en-GB"/>
              </w:rPr>
            </w:pPr>
            <w:r w:rsidRPr="00412C3B">
              <w:rPr>
                <w:b w:val="0"/>
                <w:bCs w:val="0"/>
                <w:color w:val="000000" w:themeColor="text1"/>
                <w:lang w:val="en-GB"/>
              </w:rPr>
              <w:t>7</w:t>
            </w:r>
          </w:p>
        </w:tc>
        <w:tc>
          <w:tcPr>
            <w:tcW w:w="1348" w:type="dxa"/>
          </w:tcPr>
          <w:p w14:paraId="25088CE1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1</w:t>
            </w:r>
          </w:p>
        </w:tc>
        <w:tc>
          <w:tcPr>
            <w:tcW w:w="1349" w:type="dxa"/>
          </w:tcPr>
          <w:p w14:paraId="541150A7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160</w:t>
            </w:r>
          </w:p>
        </w:tc>
        <w:tc>
          <w:tcPr>
            <w:tcW w:w="1349" w:type="dxa"/>
          </w:tcPr>
          <w:p w14:paraId="37500A5C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22.86</w:t>
            </w:r>
          </w:p>
        </w:tc>
        <w:tc>
          <w:tcPr>
            <w:tcW w:w="1348" w:type="dxa"/>
          </w:tcPr>
          <w:p w14:paraId="14AA3049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1</w:t>
            </w:r>
          </w:p>
        </w:tc>
        <w:tc>
          <w:tcPr>
            <w:tcW w:w="1349" w:type="dxa"/>
          </w:tcPr>
          <w:p w14:paraId="600B1139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160</w:t>
            </w:r>
          </w:p>
        </w:tc>
        <w:tc>
          <w:tcPr>
            <w:tcW w:w="1349" w:type="dxa"/>
          </w:tcPr>
          <w:p w14:paraId="23A09418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22.86</w:t>
            </w:r>
          </w:p>
        </w:tc>
      </w:tr>
      <w:tr w:rsidR="00412C3B" w:rsidRPr="00412C3B" w14:paraId="49C685B8" w14:textId="77777777" w:rsidTr="00412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</w:tcPr>
          <w:p w14:paraId="53294014" w14:textId="77777777" w:rsidR="00A720F0" w:rsidRPr="00412C3B" w:rsidRDefault="00A720F0" w:rsidP="00350384">
            <w:pPr>
              <w:spacing w:line="360" w:lineRule="auto"/>
              <w:jc w:val="center"/>
              <w:rPr>
                <w:b w:val="0"/>
                <w:bCs w:val="0"/>
                <w:color w:val="000000" w:themeColor="text1"/>
                <w:lang w:val="en-GB"/>
              </w:rPr>
            </w:pPr>
            <w:r w:rsidRPr="00412C3B">
              <w:rPr>
                <w:b w:val="0"/>
                <w:bCs w:val="0"/>
                <w:color w:val="000000" w:themeColor="text1"/>
                <w:lang w:val="en-GB"/>
              </w:rPr>
              <w:t>8</w:t>
            </w:r>
          </w:p>
        </w:tc>
        <w:tc>
          <w:tcPr>
            <w:tcW w:w="1348" w:type="dxa"/>
          </w:tcPr>
          <w:p w14:paraId="708C1A3A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1</w:t>
            </w:r>
          </w:p>
        </w:tc>
        <w:tc>
          <w:tcPr>
            <w:tcW w:w="1349" w:type="dxa"/>
          </w:tcPr>
          <w:p w14:paraId="49D7108A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160</w:t>
            </w:r>
          </w:p>
        </w:tc>
        <w:tc>
          <w:tcPr>
            <w:tcW w:w="1349" w:type="dxa"/>
          </w:tcPr>
          <w:p w14:paraId="5AA26682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20.00</w:t>
            </w:r>
          </w:p>
        </w:tc>
        <w:tc>
          <w:tcPr>
            <w:tcW w:w="1348" w:type="dxa"/>
          </w:tcPr>
          <w:p w14:paraId="2343640B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1.5</w:t>
            </w:r>
          </w:p>
        </w:tc>
        <w:tc>
          <w:tcPr>
            <w:tcW w:w="1349" w:type="dxa"/>
          </w:tcPr>
          <w:p w14:paraId="6B61B32A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240</w:t>
            </w:r>
          </w:p>
        </w:tc>
        <w:tc>
          <w:tcPr>
            <w:tcW w:w="1349" w:type="dxa"/>
          </w:tcPr>
          <w:p w14:paraId="1E2342CD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30.00</w:t>
            </w:r>
          </w:p>
        </w:tc>
      </w:tr>
      <w:tr w:rsidR="00412C3B" w:rsidRPr="00412C3B" w14:paraId="722D8486" w14:textId="77777777" w:rsidTr="00412C3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</w:tcPr>
          <w:p w14:paraId="6004B61D" w14:textId="77777777" w:rsidR="00A720F0" w:rsidRPr="00412C3B" w:rsidRDefault="00A720F0" w:rsidP="00350384">
            <w:pPr>
              <w:spacing w:line="360" w:lineRule="auto"/>
              <w:jc w:val="center"/>
              <w:rPr>
                <w:b w:val="0"/>
                <w:bCs w:val="0"/>
                <w:color w:val="000000" w:themeColor="text1"/>
                <w:lang w:val="en-GB"/>
              </w:rPr>
            </w:pPr>
            <w:r w:rsidRPr="00412C3B">
              <w:rPr>
                <w:b w:val="0"/>
                <w:bCs w:val="0"/>
                <w:color w:val="000000" w:themeColor="text1"/>
                <w:lang w:val="en-GB"/>
              </w:rPr>
              <w:t>9</w:t>
            </w:r>
          </w:p>
        </w:tc>
        <w:tc>
          <w:tcPr>
            <w:tcW w:w="1348" w:type="dxa"/>
          </w:tcPr>
          <w:p w14:paraId="2FCB614F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1</w:t>
            </w:r>
          </w:p>
        </w:tc>
        <w:tc>
          <w:tcPr>
            <w:tcW w:w="1349" w:type="dxa"/>
          </w:tcPr>
          <w:p w14:paraId="2860E752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160</w:t>
            </w:r>
          </w:p>
        </w:tc>
        <w:tc>
          <w:tcPr>
            <w:tcW w:w="1349" w:type="dxa"/>
          </w:tcPr>
          <w:p w14:paraId="2897038A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17.78</w:t>
            </w:r>
          </w:p>
        </w:tc>
        <w:tc>
          <w:tcPr>
            <w:tcW w:w="1348" w:type="dxa"/>
          </w:tcPr>
          <w:p w14:paraId="446F9B4D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1.5</w:t>
            </w:r>
          </w:p>
        </w:tc>
        <w:tc>
          <w:tcPr>
            <w:tcW w:w="1349" w:type="dxa"/>
          </w:tcPr>
          <w:p w14:paraId="08A5AE78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240</w:t>
            </w:r>
          </w:p>
        </w:tc>
        <w:tc>
          <w:tcPr>
            <w:tcW w:w="1349" w:type="dxa"/>
          </w:tcPr>
          <w:p w14:paraId="5722EEBC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26.67</w:t>
            </w:r>
          </w:p>
        </w:tc>
      </w:tr>
      <w:tr w:rsidR="00412C3B" w:rsidRPr="00412C3B" w14:paraId="562EB2FB" w14:textId="77777777" w:rsidTr="00412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</w:tcPr>
          <w:p w14:paraId="57420DE7" w14:textId="77777777" w:rsidR="00A720F0" w:rsidRPr="00412C3B" w:rsidRDefault="00A720F0" w:rsidP="00350384">
            <w:pPr>
              <w:spacing w:line="360" w:lineRule="auto"/>
              <w:jc w:val="center"/>
              <w:rPr>
                <w:b w:val="0"/>
                <w:bCs w:val="0"/>
                <w:color w:val="000000" w:themeColor="text1"/>
                <w:lang w:val="en-GB"/>
              </w:rPr>
            </w:pPr>
            <w:r w:rsidRPr="00412C3B">
              <w:rPr>
                <w:b w:val="0"/>
                <w:bCs w:val="0"/>
                <w:color w:val="000000" w:themeColor="text1"/>
                <w:lang w:val="en-GB"/>
              </w:rPr>
              <w:t>10</w:t>
            </w:r>
          </w:p>
        </w:tc>
        <w:tc>
          <w:tcPr>
            <w:tcW w:w="1348" w:type="dxa"/>
          </w:tcPr>
          <w:p w14:paraId="1C1C2F43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1</w:t>
            </w:r>
          </w:p>
        </w:tc>
        <w:tc>
          <w:tcPr>
            <w:tcW w:w="1349" w:type="dxa"/>
          </w:tcPr>
          <w:p w14:paraId="004DD6BD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160</w:t>
            </w:r>
          </w:p>
        </w:tc>
        <w:tc>
          <w:tcPr>
            <w:tcW w:w="1349" w:type="dxa"/>
          </w:tcPr>
          <w:p w14:paraId="4533C962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16.00</w:t>
            </w:r>
          </w:p>
        </w:tc>
        <w:tc>
          <w:tcPr>
            <w:tcW w:w="1348" w:type="dxa"/>
          </w:tcPr>
          <w:p w14:paraId="6EC17B55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1.5</w:t>
            </w:r>
          </w:p>
        </w:tc>
        <w:tc>
          <w:tcPr>
            <w:tcW w:w="1349" w:type="dxa"/>
          </w:tcPr>
          <w:p w14:paraId="0FA56617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240</w:t>
            </w:r>
          </w:p>
        </w:tc>
        <w:tc>
          <w:tcPr>
            <w:tcW w:w="1349" w:type="dxa"/>
          </w:tcPr>
          <w:p w14:paraId="574A3DB8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24.00</w:t>
            </w:r>
          </w:p>
        </w:tc>
      </w:tr>
      <w:tr w:rsidR="00412C3B" w:rsidRPr="00412C3B" w14:paraId="66FD61CD" w14:textId="77777777" w:rsidTr="00412C3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</w:tcPr>
          <w:p w14:paraId="589519AE" w14:textId="77777777" w:rsidR="00A720F0" w:rsidRPr="00412C3B" w:rsidRDefault="00A720F0" w:rsidP="00350384">
            <w:pPr>
              <w:spacing w:line="360" w:lineRule="auto"/>
              <w:jc w:val="center"/>
              <w:rPr>
                <w:b w:val="0"/>
                <w:bCs w:val="0"/>
                <w:color w:val="000000" w:themeColor="text1"/>
                <w:lang w:val="en-GB"/>
              </w:rPr>
            </w:pPr>
            <w:r w:rsidRPr="00412C3B">
              <w:rPr>
                <w:b w:val="0"/>
                <w:bCs w:val="0"/>
                <w:color w:val="000000" w:themeColor="text1"/>
                <w:lang w:val="en-GB"/>
              </w:rPr>
              <w:t>11</w:t>
            </w:r>
          </w:p>
        </w:tc>
        <w:tc>
          <w:tcPr>
            <w:tcW w:w="1348" w:type="dxa"/>
          </w:tcPr>
          <w:p w14:paraId="6B070186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1</w:t>
            </w:r>
          </w:p>
        </w:tc>
        <w:tc>
          <w:tcPr>
            <w:tcW w:w="1349" w:type="dxa"/>
          </w:tcPr>
          <w:p w14:paraId="06D25F4E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160</w:t>
            </w:r>
          </w:p>
        </w:tc>
        <w:tc>
          <w:tcPr>
            <w:tcW w:w="1349" w:type="dxa"/>
          </w:tcPr>
          <w:p w14:paraId="4F9EDCEC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14.55</w:t>
            </w:r>
          </w:p>
        </w:tc>
        <w:tc>
          <w:tcPr>
            <w:tcW w:w="1348" w:type="dxa"/>
          </w:tcPr>
          <w:p w14:paraId="1C8E1C4F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1.5</w:t>
            </w:r>
          </w:p>
        </w:tc>
        <w:tc>
          <w:tcPr>
            <w:tcW w:w="1349" w:type="dxa"/>
          </w:tcPr>
          <w:p w14:paraId="12E0BC9F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240</w:t>
            </w:r>
          </w:p>
        </w:tc>
        <w:tc>
          <w:tcPr>
            <w:tcW w:w="1349" w:type="dxa"/>
          </w:tcPr>
          <w:p w14:paraId="52B0E2E6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21.82</w:t>
            </w:r>
          </w:p>
        </w:tc>
      </w:tr>
      <w:tr w:rsidR="00412C3B" w:rsidRPr="00412C3B" w14:paraId="5A455AEA" w14:textId="77777777" w:rsidTr="00412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</w:tcPr>
          <w:p w14:paraId="219DE3EB" w14:textId="77777777" w:rsidR="00A720F0" w:rsidRPr="00412C3B" w:rsidRDefault="00A720F0" w:rsidP="00350384">
            <w:pPr>
              <w:spacing w:line="360" w:lineRule="auto"/>
              <w:jc w:val="center"/>
              <w:rPr>
                <w:b w:val="0"/>
                <w:bCs w:val="0"/>
                <w:color w:val="000000" w:themeColor="text1"/>
                <w:lang w:val="en-GB"/>
              </w:rPr>
            </w:pPr>
            <w:r w:rsidRPr="00412C3B">
              <w:rPr>
                <w:b w:val="0"/>
                <w:bCs w:val="0"/>
                <w:color w:val="000000" w:themeColor="text1"/>
                <w:lang w:val="en-GB"/>
              </w:rPr>
              <w:t>12</w:t>
            </w:r>
          </w:p>
        </w:tc>
        <w:tc>
          <w:tcPr>
            <w:tcW w:w="1348" w:type="dxa"/>
          </w:tcPr>
          <w:p w14:paraId="413D7E2C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1</w:t>
            </w:r>
          </w:p>
        </w:tc>
        <w:tc>
          <w:tcPr>
            <w:tcW w:w="1349" w:type="dxa"/>
          </w:tcPr>
          <w:p w14:paraId="6F1E229E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160</w:t>
            </w:r>
          </w:p>
        </w:tc>
        <w:tc>
          <w:tcPr>
            <w:tcW w:w="1349" w:type="dxa"/>
          </w:tcPr>
          <w:p w14:paraId="7222EFEC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13.33</w:t>
            </w:r>
          </w:p>
        </w:tc>
        <w:tc>
          <w:tcPr>
            <w:tcW w:w="1348" w:type="dxa"/>
          </w:tcPr>
          <w:p w14:paraId="415B198F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2</w:t>
            </w:r>
          </w:p>
        </w:tc>
        <w:tc>
          <w:tcPr>
            <w:tcW w:w="1349" w:type="dxa"/>
          </w:tcPr>
          <w:p w14:paraId="5EF06148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320</w:t>
            </w:r>
          </w:p>
        </w:tc>
        <w:tc>
          <w:tcPr>
            <w:tcW w:w="1349" w:type="dxa"/>
          </w:tcPr>
          <w:p w14:paraId="46D0FB4C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26.67</w:t>
            </w:r>
          </w:p>
        </w:tc>
      </w:tr>
      <w:tr w:rsidR="00412C3B" w:rsidRPr="00412C3B" w14:paraId="2345F40F" w14:textId="77777777" w:rsidTr="00412C3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</w:tcPr>
          <w:p w14:paraId="31BDA7B6" w14:textId="77777777" w:rsidR="00A720F0" w:rsidRPr="00412C3B" w:rsidRDefault="00A720F0" w:rsidP="00350384">
            <w:pPr>
              <w:spacing w:line="360" w:lineRule="auto"/>
              <w:jc w:val="center"/>
              <w:rPr>
                <w:b w:val="0"/>
                <w:bCs w:val="0"/>
                <w:color w:val="000000" w:themeColor="text1"/>
                <w:lang w:val="en-GB"/>
              </w:rPr>
            </w:pPr>
            <w:r w:rsidRPr="00412C3B">
              <w:rPr>
                <w:b w:val="0"/>
                <w:bCs w:val="0"/>
                <w:color w:val="000000" w:themeColor="text1"/>
                <w:lang w:val="en-GB"/>
              </w:rPr>
              <w:t>13</w:t>
            </w:r>
          </w:p>
        </w:tc>
        <w:tc>
          <w:tcPr>
            <w:tcW w:w="1348" w:type="dxa"/>
          </w:tcPr>
          <w:p w14:paraId="53D7CFC0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2</w:t>
            </w:r>
          </w:p>
        </w:tc>
        <w:tc>
          <w:tcPr>
            <w:tcW w:w="1349" w:type="dxa"/>
          </w:tcPr>
          <w:p w14:paraId="1949E267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320</w:t>
            </w:r>
          </w:p>
        </w:tc>
        <w:tc>
          <w:tcPr>
            <w:tcW w:w="1349" w:type="dxa"/>
          </w:tcPr>
          <w:p w14:paraId="427F413D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24.62</w:t>
            </w:r>
          </w:p>
        </w:tc>
        <w:tc>
          <w:tcPr>
            <w:tcW w:w="1348" w:type="dxa"/>
          </w:tcPr>
          <w:p w14:paraId="26F6A75D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2</w:t>
            </w:r>
          </w:p>
        </w:tc>
        <w:tc>
          <w:tcPr>
            <w:tcW w:w="1349" w:type="dxa"/>
          </w:tcPr>
          <w:p w14:paraId="5F7F6B55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320</w:t>
            </w:r>
          </w:p>
        </w:tc>
        <w:tc>
          <w:tcPr>
            <w:tcW w:w="1349" w:type="dxa"/>
          </w:tcPr>
          <w:p w14:paraId="36457FD6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24.62</w:t>
            </w:r>
          </w:p>
        </w:tc>
      </w:tr>
      <w:tr w:rsidR="00412C3B" w:rsidRPr="00412C3B" w14:paraId="25BEE3B4" w14:textId="77777777" w:rsidTr="00412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</w:tcPr>
          <w:p w14:paraId="4DB0A995" w14:textId="77777777" w:rsidR="00A720F0" w:rsidRPr="00412C3B" w:rsidRDefault="00A720F0" w:rsidP="00350384">
            <w:pPr>
              <w:spacing w:line="360" w:lineRule="auto"/>
              <w:jc w:val="center"/>
              <w:rPr>
                <w:b w:val="0"/>
                <w:bCs w:val="0"/>
                <w:color w:val="000000" w:themeColor="text1"/>
                <w:lang w:val="en-GB"/>
              </w:rPr>
            </w:pPr>
            <w:r w:rsidRPr="00412C3B">
              <w:rPr>
                <w:b w:val="0"/>
                <w:bCs w:val="0"/>
                <w:color w:val="000000" w:themeColor="text1"/>
                <w:lang w:val="en-GB"/>
              </w:rPr>
              <w:t>14</w:t>
            </w:r>
          </w:p>
        </w:tc>
        <w:tc>
          <w:tcPr>
            <w:tcW w:w="1348" w:type="dxa"/>
          </w:tcPr>
          <w:p w14:paraId="0D669392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2</w:t>
            </w:r>
          </w:p>
        </w:tc>
        <w:tc>
          <w:tcPr>
            <w:tcW w:w="1349" w:type="dxa"/>
          </w:tcPr>
          <w:p w14:paraId="333804BB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320</w:t>
            </w:r>
          </w:p>
        </w:tc>
        <w:tc>
          <w:tcPr>
            <w:tcW w:w="1349" w:type="dxa"/>
          </w:tcPr>
          <w:p w14:paraId="071A58B9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22.86</w:t>
            </w:r>
          </w:p>
        </w:tc>
        <w:tc>
          <w:tcPr>
            <w:tcW w:w="1348" w:type="dxa"/>
          </w:tcPr>
          <w:p w14:paraId="18CA5C12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2</w:t>
            </w:r>
          </w:p>
        </w:tc>
        <w:tc>
          <w:tcPr>
            <w:tcW w:w="1349" w:type="dxa"/>
          </w:tcPr>
          <w:p w14:paraId="263ACE1F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320</w:t>
            </w:r>
          </w:p>
        </w:tc>
        <w:tc>
          <w:tcPr>
            <w:tcW w:w="1349" w:type="dxa"/>
          </w:tcPr>
          <w:p w14:paraId="39023BDA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22.86</w:t>
            </w:r>
          </w:p>
        </w:tc>
      </w:tr>
      <w:tr w:rsidR="00412C3B" w:rsidRPr="00412C3B" w14:paraId="24C68C7C" w14:textId="77777777" w:rsidTr="00412C3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</w:tcPr>
          <w:p w14:paraId="27322B23" w14:textId="77777777" w:rsidR="00A720F0" w:rsidRPr="00412C3B" w:rsidRDefault="00A720F0" w:rsidP="00350384">
            <w:pPr>
              <w:spacing w:line="360" w:lineRule="auto"/>
              <w:jc w:val="center"/>
              <w:rPr>
                <w:b w:val="0"/>
                <w:bCs w:val="0"/>
                <w:color w:val="000000" w:themeColor="text1"/>
                <w:lang w:val="en-GB"/>
              </w:rPr>
            </w:pPr>
            <w:r w:rsidRPr="00412C3B">
              <w:rPr>
                <w:b w:val="0"/>
                <w:bCs w:val="0"/>
                <w:color w:val="000000" w:themeColor="text1"/>
                <w:lang w:val="en-GB"/>
              </w:rPr>
              <w:t>15</w:t>
            </w:r>
          </w:p>
        </w:tc>
        <w:tc>
          <w:tcPr>
            <w:tcW w:w="1348" w:type="dxa"/>
          </w:tcPr>
          <w:p w14:paraId="4AADA0C6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2</w:t>
            </w:r>
          </w:p>
        </w:tc>
        <w:tc>
          <w:tcPr>
            <w:tcW w:w="1349" w:type="dxa"/>
          </w:tcPr>
          <w:p w14:paraId="01FDBB94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320</w:t>
            </w:r>
          </w:p>
        </w:tc>
        <w:tc>
          <w:tcPr>
            <w:tcW w:w="1349" w:type="dxa"/>
          </w:tcPr>
          <w:p w14:paraId="7E11C29A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21.33</w:t>
            </w:r>
          </w:p>
        </w:tc>
        <w:tc>
          <w:tcPr>
            <w:tcW w:w="1348" w:type="dxa"/>
          </w:tcPr>
          <w:p w14:paraId="0A6383BD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2</w:t>
            </w:r>
          </w:p>
        </w:tc>
        <w:tc>
          <w:tcPr>
            <w:tcW w:w="1349" w:type="dxa"/>
          </w:tcPr>
          <w:p w14:paraId="26C1A288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320</w:t>
            </w:r>
          </w:p>
        </w:tc>
        <w:tc>
          <w:tcPr>
            <w:tcW w:w="1349" w:type="dxa"/>
          </w:tcPr>
          <w:p w14:paraId="6D851013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21.33</w:t>
            </w:r>
          </w:p>
        </w:tc>
      </w:tr>
      <w:tr w:rsidR="00412C3B" w:rsidRPr="00412C3B" w14:paraId="1BC41673" w14:textId="77777777" w:rsidTr="00412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</w:tcPr>
          <w:p w14:paraId="700833F5" w14:textId="77777777" w:rsidR="00A720F0" w:rsidRPr="00412C3B" w:rsidRDefault="00A720F0" w:rsidP="00350384">
            <w:pPr>
              <w:spacing w:line="360" w:lineRule="auto"/>
              <w:jc w:val="center"/>
              <w:rPr>
                <w:b w:val="0"/>
                <w:bCs w:val="0"/>
                <w:color w:val="000000" w:themeColor="text1"/>
                <w:lang w:val="en-GB"/>
              </w:rPr>
            </w:pPr>
            <w:r w:rsidRPr="00412C3B">
              <w:rPr>
                <w:b w:val="0"/>
                <w:bCs w:val="0"/>
                <w:color w:val="000000" w:themeColor="text1"/>
                <w:lang w:val="en-GB"/>
              </w:rPr>
              <w:t>16</w:t>
            </w:r>
          </w:p>
        </w:tc>
        <w:tc>
          <w:tcPr>
            <w:tcW w:w="1348" w:type="dxa"/>
          </w:tcPr>
          <w:p w14:paraId="05BE1FB7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2</w:t>
            </w:r>
          </w:p>
        </w:tc>
        <w:tc>
          <w:tcPr>
            <w:tcW w:w="1349" w:type="dxa"/>
          </w:tcPr>
          <w:p w14:paraId="69D35D8F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320</w:t>
            </w:r>
          </w:p>
        </w:tc>
        <w:tc>
          <w:tcPr>
            <w:tcW w:w="1349" w:type="dxa"/>
          </w:tcPr>
          <w:p w14:paraId="6CB92BFC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20.00</w:t>
            </w:r>
          </w:p>
        </w:tc>
        <w:tc>
          <w:tcPr>
            <w:tcW w:w="1348" w:type="dxa"/>
          </w:tcPr>
          <w:p w14:paraId="16D9581D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2</w:t>
            </w:r>
          </w:p>
        </w:tc>
        <w:tc>
          <w:tcPr>
            <w:tcW w:w="1349" w:type="dxa"/>
          </w:tcPr>
          <w:p w14:paraId="2B1603DD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320</w:t>
            </w:r>
          </w:p>
        </w:tc>
        <w:tc>
          <w:tcPr>
            <w:tcW w:w="1349" w:type="dxa"/>
          </w:tcPr>
          <w:p w14:paraId="069EF906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20.00</w:t>
            </w:r>
          </w:p>
        </w:tc>
      </w:tr>
      <w:tr w:rsidR="00412C3B" w:rsidRPr="00412C3B" w14:paraId="26DB170E" w14:textId="77777777" w:rsidTr="00412C3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</w:tcPr>
          <w:p w14:paraId="4C9E0741" w14:textId="77777777" w:rsidR="00A720F0" w:rsidRPr="00412C3B" w:rsidRDefault="00A720F0" w:rsidP="00350384">
            <w:pPr>
              <w:spacing w:line="360" w:lineRule="auto"/>
              <w:jc w:val="center"/>
              <w:rPr>
                <w:b w:val="0"/>
                <w:bCs w:val="0"/>
                <w:color w:val="000000" w:themeColor="text1"/>
                <w:lang w:val="en-GB"/>
              </w:rPr>
            </w:pPr>
            <w:r w:rsidRPr="00412C3B">
              <w:rPr>
                <w:b w:val="0"/>
                <w:bCs w:val="0"/>
                <w:color w:val="000000" w:themeColor="text1"/>
                <w:lang w:val="en-GB"/>
              </w:rPr>
              <w:t>17</w:t>
            </w:r>
          </w:p>
        </w:tc>
        <w:tc>
          <w:tcPr>
            <w:tcW w:w="1348" w:type="dxa"/>
          </w:tcPr>
          <w:p w14:paraId="65891B68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2</w:t>
            </w:r>
          </w:p>
        </w:tc>
        <w:tc>
          <w:tcPr>
            <w:tcW w:w="1349" w:type="dxa"/>
          </w:tcPr>
          <w:p w14:paraId="57ED59F8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320</w:t>
            </w:r>
          </w:p>
        </w:tc>
        <w:tc>
          <w:tcPr>
            <w:tcW w:w="1349" w:type="dxa"/>
          </w:tcPr>
          <w:p w14:paraId="47A15C3B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18.82</w:t>
            </w:r>
          </w:p>
        </w:tc>
        <w:tc>
          <w:tcPr>
            <w:tcW w:w="1348" w:type="dxa"/>
          </w:tcPr>
          <w:p w14:paraId="145C14CF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3</w:t>
            </w:r>
          </w:p>
        </w:tc>
        <w:tc>
          <w:tcPr>
            <w:tcW w:w="1349" w:type="dxa"/>
          </w:tcPr>
          <w:p w14:paraId="2B9706B8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480</w:t>
            </w:r>
          </w:p>
        </w:tc>
        <w:tc>
          <w:tcPr>
            <w:tcW w:w="1349" w:type="dxa"/>
          </w:tcPr>
          <w:p w14:paraId="5BE97930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28.24</w:t>
            </w:r>
          </w:p>
        </w:tc>
      </w:tr>
      <w:tr w:rsidR="00412C3B" w:rsidRPr="00412C3B" w14:paraId="4601BB9E" w14:textId="77777777" w:rsidTr="00412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</w:tcPr>
          <w:p w14:paraId="3E104E26" w14:textId="77777777" w:rsidR="00A720F0" w:rsidRPr="00412C3B" w:rsidRDefault="00A720F0" w:rsidP="00350384">
            <w:pPr>
              <w:spacing w:line="360" w:lineRule="auto"/>
              <w:jc w:val="center"/>
              <w:rPr>
                <w:b w:val="0"/>
                <w:bCs w:val="0"/>
                <w:color w:val="000000" w:themeColor="text1"/>
                <w:lang w:val="en-GB"/>
              </w:rPr>
            </w:pPr>
            <w:r w:rsidRPr="00412C3B">
              <w:rPr>
                <w:b w:val="0"/>
                <w:bCs w:val="0"/>
                <w:color w:val="000000" w:themeColor="text1"/>
                <w:lang w:val="en-GB"/>
              </w:rPr>
              <w:t>18</w:t>
            </w:r>
          </w:p>
        </w:tc>
        <w:tc>
          <w:tcPr>
            <w:tcW w:w="1348" w:type="dxa"/>
          </w:tcPr>
          <w:p w14:paraId="1292EE62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2</w:t>
            </w:r>
          </w:p>
        </w:tc>
        <w:tc>
          <w:tcPr>
            <w:tcW w:w="1349" w:type="dxa"/>
          </w:tcPr>
          <w:p w14:paraId="29CFF2A1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320</w:t>
            </w:r>
          </w:p>
        </w:tc>
        <w:tc>
          <w:tcPr>
            <w:tcW w:w="1349" w:type="dxa"/>
          </w:tcPr>
          <w:p w14:paraId="299BD9D7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17.78</w:t>
            </w:r>
          </w:p>
        </w:tc>
        <w:tc>
          <w:tcPr>
            <w:tcW w:w="1348" w:type="dxa"/>
          </w:tcPr>
          <w:p w14:paraId="5B00CE4B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3</w:t>
            </w:r>
          </w:p>
        </w:tc>
        <w:tc>
          <w:tcPr>
            <w:tcW w:w="1349" w:type="dxa"/>
          </w:tcPr>
          <w:p w14:paraId="48F6EE22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480</w:t>
            </w:r>
          </w:p>
        </w:tc>
        <w:tc>
          <w:tcPr>
            <w:tcW w:w="1349" w:type="dxa"/>
          </w:tcPr>
          <w:p w14:paraId="441A74DB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26.67</w:t>
            </w:r>
          </w:p>
        </w:tc>
      </w:tr>
      <w:tr w:rsidR="00412C3B" w:rsidRPr="00412C3B" w14:paraId="54219926" w14:textId="77777777" w:rsidTr="00412C3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tcBorders>
              <w:bottom w:val="nil"/>
            </w:tcBorders>
          </w:tcPr>
          <w:p w14:paraId="4B876FDE" w14:textId="77777777" w:rsidR="00A720F0" w:rsidRPr="00412C3B" w:rsidRDefault="00A720F0" w:rsidP="00350384">
            <w:pPr>
              <w:spacing w:line="360" w:lineRule="auto"/>
              <w:jc w:val="center"/>
              <w:rPr>
                <w:b w:val="0"/>
                <w:bCs w:val="0"/>
                <w:color w:val="000000" w:themeColor="text1"/>
                <w:lang w:val="en-GB"/>
              </w:rPr>
            </w:pPr>
            <w:r w:rsidRPr="00412C3B">
              <w:rPr>
                <w:b w:val="0"/>
                <w:bCs w:val="0"/>
                <w:color w:val="000000" w:themeColor="text1"/>
                <w:lang w:val="en-GB"/>
              </w:rPr>
              <w:t>19</w:t>
            </w:r>
          </w:p>
        </w:tc>
        <w:tc>
          <w:tcPr>
            <w:tcW w:w="1348" w:type="dxa"/>
            <w:tcBorders>
              <w:bottom w:val="nil"/>
            </w:tcBorders>
          </w:tcPr>
          <w:p w14:paraId="25DB7ED4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2</w:t>
            </w:r>
          </w:p>
        </w:tc>
        <w:tc>
          <w:tcPr>
            <w:tcW w:w="1349" w:type="dxa"/>
            <w:tcBorders>
              <w:bottom w:val="nil"/>
            </w:tcBorders>
          </w:tcPr>
          <w:p w14:paraId="709D430F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320</w:t>
            </w:r>
          </w:p>
        </w:tc>
        <w:tc>
          <w:tcPr>
            <w:tcW w:w="1349" w:type="dxa"/>
            <w:tcBorders>
              <w:bottom w:val="nil"/>
            </w:tcBorders>
          </w:tcPr>
          <w:p w14:paraId="5C22918E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16.84</w:t>
            </w:r>
          </w:p>
        </w:tc>
        <w:tc>
          <w:tcPr>
            <w:tcW w:w="1348" w:type="dxa"/>
            <w:tcBorders>
              <w:bottom w:val="nil"/>
            </w:tcBorders>
          </w:tcPr>
          <w:p w14:paraId="3536DF36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3</w:t>
            </w:r>
          </w:p>
        </w:tc>
        <w:tc>
          <w:tcPr>
            <w:tcW w:w="1349" w:type="dxa"/>
            <w:tcBorders>
              <w:bottom w:val="nil"/>
            </w:tcBorders>
          </w:tcPr>
          <w:p w14:paraId="151DE04E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480</w:t>
            </w:r>
          </w:p>
        </w:tc>
        <w:tc>
          <w:tcPr>
            <w:tcW w:w="1349" w:type="dxa"/>
            <w:tcBorders>
              <w:bottom w:val="nil"/>
            </w:tcBorders>
          </w:tcPr>
          <w:p w14:paraId="3632C0F7" w14:textId="77777777" w:rsidR="00A720F0" w:rsidRPr="00412C3B" w:rsidRDefault="00A720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25.26</w:t>
            </w:r>
          </w:p>
        </w:tc>
      </w:tr>
      <w:tr w:rsidR="00412C3B" w:rsidRPr="00412C3B" w14:paraId="7AC460EE" w14:textId="77777777" w:rsidTr="00412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tcBorders>
              <w:top w:val="nil"/>
              <w:bottom w:val="single" w:sz="4" w:space="0" w:color="auto"/>
            </w:tcBorders>
          </w:tcPr>
          <w:p w14:paraId="27FD2358" w14:textId="77777777" w:rsidR="00A720F0" w:rsidRPr="00412C3B" w:rsidRDefault="00A720F0" w:rsidP="00350384">
            <w:pPr>
              <w:spacing w:line="360" w:lineRule="auto"/>
              <w:jc w:val="center"/>
              <w:rPr>
                <w:b w:val="0"/>
                <w:bCs w:val="0"/>
                <w:color w:val="000000" w:themeColor="text1"/>
                <w:lang w:val="en-GB"/>
              </w:rPr>
            </w:pPr>
            <w:r w:rsidRPr="00412C3B">
              <w:rPr>
                <w:b w:val="0"/>
                <w:bCs w:val="0"/>
                <w:color w:val="000000" w:themeColor="text1"/>
                <w:lang w:val="en-GB"/>
              </w:rPr>
              <w:t>20</w:t>
            </w:r>
          </w:p>
        </w:tc>
        <w:tc>
          <w:tcPr>
            <w:tcW w:w="1348" w:type="dxa"/>
            <w:tcBorders>
              <w:top w:val="nil"/>
              <w:bottom w:val="single" w:sz="4" w:space="0" w:color="auto"/>
            </w:tcBorders>
          </w:tcPr>
          <w:p w14:paraId="3541A6F5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2</w:t>
            </w:r>
          </w:p>
        </w:tc>
        <w:tc>
          <w:tcPr>
            <w:tcW w:w="1349" w:type="dxa"/>
            <w:tcBorders>
              <w:top w:val="nil"/>
              <w:bottom w:val="single" w:sz="4" w:space="0" w:color="auto"/>
            </w:tcBorders>
          </w:tcPr>
          <w:p w14:paraId="32AEE37D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320</w:t>
            </w:r>
          </w:p>
        </w:tc>
        <w:tc>
          <w:tcPr>
            <w:tcW w:w="1349" w:type="dxa"/>
            <w:tcBorders>
              <w:top w:val="nil"/>
              <w:bottom w:val="single" w:sz="4" w:space="0" w:color="auto"/>
            </w:tcBorders>
          </w:tcPr>
          <w:p w14:paraId="7A5A0E1F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16.00</w:t>
            </w:r>
          </w:p>
        </w:tc>
        <w:tc>
          <w:tcPr>
            <w:tcW w:w="1348" w:type="dxa"/>
            <w:tcBorders>
              <w:top w:val="nil"/>
              <w:bottom w:val="single" w:sz="4" w:space="0" w:color="auto"/>
            </w:tcBorders>
          </w:tcPr>
          <w:p w14:paraId="6BDCA1B0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3</w:t>
            </w:r>
          </w:p>
        </w:tc>
        <w:tc>
          <w:tcPr>
            <w:tcW w:w="1349" w:type="dxa"/>
            <w:tcBorders>
              <w:top w:val="nil"/>
              <w:bottom w:val="single" w:sz="4" w:space="0" w:color="auto"/>
            </w:tcBorders>
          </w:tcPr>
          <w:p w14:paraId="0A33C278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480</w:t>
            </w:r>
          </w:p>
        </w:tc>
        <w:tc>
          <w:tcPr>
            <w:tcW w:w="1349" w:type="dxa"/>
            <w:tcBorders>
              <w:top w:val="nil"/>
              <w:bottom w:val="single" w:sz="4" w:space="0" w:color="auto"/>
            </w:tcBorders>
          </w:tcPr>
          <w:p w14:paraId="7EB82DDD" w14:textId="77777777" w:rsidR="00A720F0" w:rsidRPr="00412C3B" w:rsidRDefault="00A720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412C3B">
              <w:rPr>
                <w:color w:val="000000" w:themeColor="text1"/>
              </w:rPr>
              <w:t>24.00</w:t>
            </w:r>
          </w:p>
        </w:tc>
      </w:tr>
    </w:tbl>
    <w:p w14:paraId="5AC78F28" w14:textId="77777777" w:rsidR="00A720F0" w:rsidRPr="0065442C" w:rsidRDefault="009F0C4C" w:rsidP="009F0C4C">
      <w:pPr>
        <w:spacing w:line="360" w:lineRule="auto"/>
        <w:rPr>
          <w:color w:val="000000"/>
          <w:lang w:val="en-GB"/>
        </w:rPr>
      </w:pPr>
      <w:r w:rsidRPr="009F0C4C">
        <w:rPr>
          <w:color w:val="000000"/>
          <w:vertAlign w:val="superscript"/>
          <w:lang w:val="en-GB"/>
        </w:rPr>
        <w:t>a</w:t>
      </w:r>
      <w:r>
        <w:rPr>
          <w:color w:val="000000"/>
          <w:lang w:val="en-GB"/>
        </w:rPr>
        <w:t xml:space="preserve"> </w:t>
      </w:r>
      <w:r w:rsidR="00A720F0" w:rsidRPr="0065442C">
        <w:rPr>
          <w:color w:val="000000"/>
          <w:lang w:val="en-GB"/>
        </w:rPr>
        <w:t xml:space="preserve">One tablet of the fixed dihydroartemisinin-piperaquine paediatric combination contained 20 mg dihydroartemisinin and 160 mg piperaquine tetra-phosphate (PQP) (equivalent to </w:t>
      </w:r>
      <w:r w:rsidR="00A720F0">
        <w:rPr>
          <w:color w:val="000000"/>
          <w:lang w:val="en-GB"/>
        </w:rPr>
        <w:t>85.72</w:t>
      </w:r>
      <w:r w:rsidR="00A720F0" w:rsidRPr="0065442C">
        <w:rPr>
          <w:color w:val="000000"/>
          <w:lang w:val="en-GB"/>
        </w:rPr>
        <w:t xml:space="preserve"> mg piperaquine base).</w:t>
      </w:r>
    </w:p>
    <w:p w14:paraId="34CBE5BF" w14:textId="77777777" w:rsidR="00A720F0" w:rsidRPr="0089701F" w:rsidRDefault="00A720F0">
      <w:pPr>
        <w:spacing w:after="200" w:line="360" w:lineRule="auto"/>
        <w:rPr>
          <w:lang w:val="en-GB"/>
        </w:rPr>
      </w:pPr>
    </w:p>
    <w:sectPr w:rsidR="00A720F0" w:rsidRPr="0089701F" w:rsidSect="00B31A11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E2A49F" w14:textId="77777777" w:rsidR="00FF7FC3" w:rsidRDefault="00FF7FC3">
      <w:pPr>
        <w:spacing w:line="240" w:lineRule="auto"/>
      </w:pPr>
      <w:r>
        <w:separator/>
      </w:r>
    </w:p>
  </w:endnote>
  <w:endnote w:type="continuationSeparator" w:id="0">
    <w:p w14:paraId="09023576" w14:textId="77777777" w:rsidR="00FF7FC3" w:rsidRDefault="00FF7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03B47" w14:textId="687B5735" w:rsidR="00DD522F" w:rsidRDefault="0089701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31A11">
      <w:rPr>
        <w:noProof/>
      </w:rPr>
      <w:t>3</w:t>
    </w:r>
    <w:r>
      <w:fldChar w:fldCharType="end"/>
    </w:r>
  </w:p>
  <w:p w14:paraId="4B4EB9D5" w14:textId="77777777" w:rsidR="00DD522F" w:rsidRDefault="00FF7F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1A291" w14:textId="77777777" w:rsidR="00FF7FC3" w:rsidRDefault="00FF7FC3">
      <w:pPr>
        <w:spacing w:line="240" w:lineRule="auto"/>
      </w:pPr>
      <w:r>
        <w:separator/>
      </w:r>
    </w:p>
  </w:footnote>
  <w:footnote w:type="continuationSeparator" w:id="0">
    <w:p w14:paraId="00567AF0" w14:textId="77777777" w:rsidR="00FF7FC3" w:rsidRDefault="00FF7FC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01F"/>
    <w:rsid w:val="001F1CA9"/>
    <w:rsid w:val="00212331"/>
    <w:rsid w:val="00271A98"/>
    <w:rsid w:val="002B0BB6"/>
    <w:rsid w:val="00350384"/>
    <w:rsid w:val="00377BC9"/>
    <w:rsid w:val="003D6CF1"/>
    <w:rsid w:val="00412C3B"/>
    <w:rsid w:val="00417CCB"/>
    <w:rsid w:val="00420D35"/>
    <w:rsid w:val="00437362"/>
    <w:rsid w:val="004A2D6F"/>
    <w:rsid w:val="004D6D9D"/>
    <w:rsid w:val="005C57AE"/>
    <w:rsid w:val="005F2E8E"/>
    <w:rsid w:val="00605718"/>
    <w:rsid w:val="00762A6B"/>
    <w:rsid w:val="007732D7"/>
    <w:rsid w:val="007B27C8"/>
    <w:rsid w:val="007D62B5"/>
    <w:rsid w:val="00842545"/>
    <w:rsid w:val="008721CC"/>
    <w:rsid w:val="0089701F"/>
    <w:rsid w:val="008A1F57"/>
    <w:rsid w:val="008F1F71"/>
    <w:rsid w:val="009D3DDB"/>
    <w:rsid w:val="009F0C4C"/>
    <w:rsid w:val="00A42633"/>
    <w:rsid w:val="00A70732"/>
    <w:rsid w:val="00A720F0"/>
    <w:rsid w:val="00AA749E"/>
    <w:rsid w:val="00AD42CF"/>
    <w:rsid w:val="00AD60AB"/>
    <w:rsid w:val="00AF0540"/>
    <w:rsid w:val="00B174CC"/>
    <w:rsid w:val="00B31A11"/>
    <w:rsid w:val="00B32124"/>
    <w:rsid w:val="00BC5D5B"/>
    <w:rsid w:val="00BF11C7"/>
    <w:rsid w:val="00CC58DE"/>
    <w:rsid w:val="00D90FFF"/>
    <w:rsid w:val="00D95DB9"/>
    <w:rsid w:val="00DD7522"/>
    <w:rsid w:val="00E315C4"/>
    <w:rsid w:val="00E33273"/>
    <w:rsid w:val="00EE29F4"/>
    <w:rsid w:val="00F70923"/>
    <w:rsid w:val="00FE2F56"/>
    <w:rsid w:val="00FF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E48C6"/>
  <w15:chartTrackingRefBased/>
  <w15:docId w15:val="{9682987D-8EDF-4C8C-B3CE-9A1C4AE4F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01F"/>
    <w:pPr>
      <w:spacing w:after="0" w:line="276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3DDB"/>
    <w:pPr>
      <w:spacing w:line="360" w:lineRule="auto"/>
      <w:jc w:val="center"/>
      <w:outlineLvl w:val="0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3DDB"/>
    <w:rPr>
      <w:rFonts w:ascii="Times New Roman" w:eastAsia="Times New Roman" w:hAnsi="Times New Roman" w:cs="Times New Roman"/>
      <w:b/>
      <w:bCs/>
      <w:sz w:val="20"/>
      <w:szCs w:val="20"/>
      <w:lang w:val="en-GB" w:bidi="ar-SA"/>
    </w:rPr>
  </w:style>
  <w:style w:type="paragraph" w:styleId="Caption">
    <w:name w:val="caption"/>
    <w:basedOn w:val="Normal"/>
    <w:next w:val="Normal"/>
    <w:uiPriority w:val="35"/>
    <w:qFormat/>
    <w:rsid w:val="0089701F"/>
    <w:pPr>
      <w:keepNext/>
      <w:spacing w:line="240" w:lineRule="auto"/>
    </w:pPr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970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01F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LineNumber">
    <w:name w:val="line number"/>
    <w:basedOn w:val="DefaultParagraphFont"/>
    <w:uiPriority w:val="99"/>
    <w:semiHidden/>
    <w:unhideWhenUsed/>
    <w:rsid w:val="0089701F"/>
  </w:style>
  <w:style w:type="paragraph" w:styleId="BalloonText">
    <w:name w:val="Balloon Text"/>
    <w:basedOn w:val="Normal"/>
    <w:link w:val="BalloonTextChar"/>
    <w:uiPriority w:val="99"/>
    <w:semiHidden/>
    <w:unhideWhenUsed/>
    <w:rsid w:val="007D62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2B5"/>
    <w:rPr>
      <w:rFonts w:ascii="Segoe UI" w:eastAsia="Times New Roman" w:hAnsi="Segoe UI" w:cs="Segoe UI"/>
      <w:sz w:val="18"/>
      <w:szCs w:val="18"/>
      <w:lang w:bidi="ar-SA"/>
    </w:rPr>
  </w:style>
  <w:style w:type="table" w:styleId="ListTable6Colorful-Accent3">
    <w:name w:val="List Table 6 Colorful Accent 3"/>
    <w:basedOn w:val="TableNormal"/>
    <w:uiPriority w:val="51"/>
    <w:rsid w:val="00412C3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Revision">
    <w:name w:val="Revision"/>
    <w:hidden/>
    <w:uiPriority w:val="99"/>
    <w:semiHidden/>
    <w:rsid w:val="00412C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377B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7BC9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7BC9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7B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7BC9"/>
    <w:rPr>
      <w:rFonts w:ascii="Times New Roman" w:eastAsia="Times New Roman" w:hAnsi="Times New Roman" w:cs="Times New Roman"/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82645-DDBB-4D62-AB22-82D28F83B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Palang Chotsiri</dc:creator>
  <cp:keywords/>
  <dc:description/>
  <cp:lastModifiedBy>Palang Chotsiri</cp:lastModifiedBy>
  <cp:revision>2</cp:revision>
  <dcterms:created xsi:type="dcterms:W3CDTF">2018-12-21T06:52:00Z</dcterms:created>
  <dcterms:modified xsi:type="dcterms:W3CDTF">2018-12-21T06:52:00Z</dcterms:modified>
</cp:coreProperties>
</file>