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C63C3" w14:textId="77777777" w:rsidR="00DF36FE" w:rsidRPr="00DF36FE" w:rsidRDefault="00DF36FE" w:rsidP="00DF36FE">
      <w:pPr>
        <w:widowControl/>
        <w:wordWrap/>
        <w:autoSpaceDE/>
        <w:autoSpaceDN/>
        <w:spacing w:after="180" w:line="480" w:lineRule="auto"/>
        <w:rPr>
          <w:rFonts w:ascii="Times New Roman" w:eastAsia="Malgun Gothic" w:hAnsi="Times New Roman" w:cs="Times New Roman"/>
          <w:b/>
          <w:kern w:val="36"/>
          <w:sz w:val="34"/>
          <w:szCs w:val="34"/>
        </w:rPr>
      </w:pPr>
      <w:r w:rsidRPr="00DF36FE">
        <w:rPr>
          <w:rFonts w:ascii="Times New Roman" w:eastAsia="Malgun Gothic" w:hAnsi="Times New Roman" w:cs="Times New Roman"/>
          <w:b/>
          <w:kern w:val="36"/>
          <w:sz w:val="34"/>
          <w:szCs w:val="34"/>
        </w:rPr>
        <w:t>Supplementary Information</w:t>
      </w:r>
    </w:p>
    <w:p w14:paraId="60E22D8A" w14:textId="5748E47B" w:rsidR="00DF36FE" w:rsidRPr="00DF36FE" w:rsidRDefault="00DF36FE" w:rsidP="00DF36FE">
      <w:pPr>
        <w:widowControl/>
        <w:wordWrap/>
        <w:autoSpaceDE/>
        <w:autoSpaceDN/>
        <w:spacing w:after="180" w:line="480" w:lineRule="auto"/>
        <w:jc w:val="center"/>
        <w:rPr>
          <w:rFonts w:ascii="Times New Roman" w:eastAsia="Malgun Gothic" w:hAnsi="Times New Roman" w:cs="Times New Roman"/>
          <w:b/>
          <w:kern w:val="36"/>
          <w:sz w:val="34"/>
          <w:szCs w:val="34"/>
        </w:rPr>
      </w:pPr>
      <w:r w:rsidRPr="00DF36FE">
        <w:rPr>
          <w:rFonts w:ascii="Times New Roman" w:eastAsia="Malgun Gothic" w:hAnsi="Times New Roman" w:cs="Times New Roman"/>
          <w:b/>
          <w:kern w:val="36"/>
          <w:sz w:val="34"/>
          <w:szCs w:val="34"/>
        </w:rPr>
        <w:t>Deactivation of redox mediators in lithium-oxygen batteries by singlet oxygen</w:t>
      </w:r>
    </w:p>
    <w:p w14:paraId="353C0E44" w14:textId="742B7FF2" w:rsidR="00807673" w:rsidRPr="00DF36FE" w:rsidRDefault="00807673" w:rsidP="00DF36FE">
      <w:pPr>
        <w:widowControl/>
        <w:wordWrap/>
        <w:autoSpaceDE/>
        <w:autoSpaceDN/>
        <w:spacing w:after="180" w:line="480" w:lineRule="auto"/>
        <w:jc w:val="center"/>
        <w:rPr>
          <w:rFonts w:ascii="Times New Roman" w:eastAsia="Malgun Gothic" w:hAnsi="Times New Roman" w:cs="Times New Roman"/>
          <w:kern w:val="0"/>
          <w:sz w:val="24"/>
          <w:szCs w:val="24"/>
          <w:lang w:val="de-AT" w:eastAsia="en-US"/>
        </w:rPr>
      </w:pPr>
      <w:proofErr w:type="spellStart"/>
      <w:r w:rsidRPr="00DF36FE">
        <w:rPr>
          <w:rFonts w:ascii="Times New Roman" w:eastAsia="Malgun Gothic" w:hAnsi="Times New Roman" w:cs="Times New Roman"/>
          <w:kern w:val="26"/>
          <w:sz w:val="24"/>
          <w:szCs w:val="24"/>
          <w:lang w:eastAsia="en-US"/>
        </w:rPr>
        <w:t>Kwak</w:t>
      </w:r>
      <w:proofErr w:type="spellEnd"/>
      <w:r w:rsidR="002E3309" w:rsidRPr="00DF36FE">
        <w:rPr>
          <w:rFonts w:ascii="Times New Roman" w:eastAsia="Malgun Gothic" w:hAnsi="Times New Roman" w:cs="Times New Roman"/>
          <w:kern w:val="26"/>
          <w:sz w:val="24"/>
          <w:szCs w:val="24"/>
          <w:lang w:eastAsia="en-US"/>
        </w:rPr>
        <w:t xml:space="preserve"> </w:t>
      </w:r>
      <w:r w:rsidR="00DF36FE" w:rsidRPr="00DF36FE">
        <w:rPr>
          <w:rFonts w:ascii="Times New Roman" w:eastAsia="Malgun Gothic" w:hAnsi="Times New Roman" w:cs="Times New Roman"/>
          <w:i/>
          <w:kern w:val="26"/>
          <w:sz w:val="24"/>
          <w:szCs w:val="24"/>
          <w:lang w:eastAsia="en-US"/>
        </w:rPr>
        <w:t>et al</w:t>
      </w:r>
      <w:bookmarkStart w:id="0" w:name="_GoBack"/>
      <w:bookmarkEnd w:id="0"/>
    </w:p>
    <w:p w14:paraId="05A836DC" w14:textId="77777777" w:rsidR="00D558E9" w:rsidRPr="00DF36FE" w:rsidRDefault="00D558E9" w:rsidP="00052CB8">
      <w:pPr>
        <w:spacing w:line="480" w:lineRule="auto"/>
        <w:rPr>
          <w:rFonts w:ascii="Times New Roman" w:hAnsi="Times New Roman" w:cs="Times New Roman"/>
          <w:sz w:val="24"/>
          <w:szCs w:val="24"/>
          <w:lang w:val="de-AT"/>
        </w:rPr>
      </w:pPr>
    </w:p>
    <w:p w14:paraId="0DE503C4" w14:textId="5DD64559" w:rsidR="00AB108B" w:rsidRPr="00DF36FE" w:rsidRDefault="00AB108B" w:rsidP="00052CB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  <w:lang w:val="de-AT"/>
        </w:rPr>
      </w:pPr>
      <w:r w:rsidRPr="00DF36FE">
        <w:rPr>
          <w:rFonts w:ascii="Times New Roman" w:hAnsi="Times New Roman" w:cs="Times New Roman"/>
          <w:sz w:val="24"/>
          <w:szCs w:val="24"/>
          <w:lang w:val="de-AT"/>
        </w:rPr>
        <w:br w:type="page"/>
      </w:r>
    </w:p>
    <w:p w14:paraId="4BD5E637" w14:textId="06EF54C8" w:rsidR="001F3F45" w:rsidRPr="00DF36FE" w:rsidRDefault="001F3F45" w:rsidP="00052CB8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bookmarkStart w:id="1" w:name="_Toc505854030"/>
      <w:r w:rsidRPr="00DF36F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Supplementary Figures</w:t>
      </w:r>
      <w:bookmarkEnd w:id="1"/>
    </w:p>
    <w:p w14:paraId="67EDB241" w14:textId="77777777" w:rsidR="001F3F45" w:rsidRPr="00DF36FE" w:rsidRDefault="001F3F45" w:rsidP="00052CB8">
      <w:pPr>
        <w:rPr>
          <w:rFonts w:ascii="Times New Roman" w:hAnsi="Times New Roman" w:cs="Times New Roman"/>
          <w:bCs/>
          <w:sz w:val="24"/>
          <w:szCs w:val="24"/>
        </w:rPr>
      </w:pPr>
    </w:p>
    <w:p w14:paraId="24DC657F" w14:textId="200EE137" w:rsidR="001F3F45" w:rsidRPr="00DF36FE" w:rsidRDefault="00AD6FB9" w:rsidP="00052CB8">
      <w:pPr>
        <w:rPr>
          <w:rFonts w:ascii="Times New Roman" w:eastAsia="Times New Roman" w:hAnsi="Times New Roman" w:cs="Times New Roman"/>
          <w:kern w:val="26"/>
          <w:sz w:val="24"/>
          <w:szCs w:val="24"/>
          <w:lang w:eastAsia="en-US"/>
        </w:rPr>
      </w:pPr>
      <w:r w:rsidRPr="00DF36FE">
        <w:rPr>
          <w:rFonts w:ascii="Times New Roman" w:eastAsia="Times New Roman" w:hAnsi="Times New Roman" w:cs="Times New Roman"/>
          <w:noProof/>
          <w:kern w:val="26"/>
          <w:sz w:val="24"/>
          <w:szCs w:val="24"/>
          <w:lang w:val="en-GB" w:eastAsia="zh-CN"/>
        </w:rPr>
        <w:drawing>
          <wp:inline distT="0" distB="0" distL="0" distR="0" wp14:anchorId="75E2C515" wp14:editId="665BA91E">
            <wp:extent cx="5731510" cy="189230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E729C" w14:textId="26E849F6" w:rsidR="001F3F45" w:rsidRPr="00DF36FE" w:rsidRDefault="003A0148" w:rsidP="00052CB8">
      <w:pPr>
        <w:pStyle w:val="Caption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</w:pPr>
      <w:r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Supplementary </w:t>
      </w:r>
      <w:r w:rsidR="001F3F45"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 xml:space="preserve">Figure 1. </w:t>
      </w:r>
      <w:proofErr w:type="gramStart"/>
      <w:r w:rsidR="00DF36F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 xml:space="preserve">Stability </w:t>
      </w:r>
      <w:r w:rsid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>characterizations</w:t>
      </w:r>
      <w:r w:rsidR="00DF36F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>.</w:t>
      </w:r>
      <w:proofErr w:type="gramEnd"/>
      <w:r w:rsid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1F3F45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Stability of DMPZ </w:t>
      </w:r>
      <w:r w:rsidR="00AD6FB9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(</w:t>
      </w:r>
      <w:r w:rsidR="00AD6FB9" w:rsidRPr="00DF36FE">
        <w:rPr>
          <w:rFonts w:ascii="Times New Roman" w:eastAsiaTheme="minorHAnsi" w:hAnsi="Times New Roman" w:cs="Times New Roman"/>
          <w:color w:val="auto"/>
          <w:sz w:val="24"/>
          <w:szCs w:val="24"/>
          <w:lang w:val="en-US" w:eastAsia="en-US"/>
        </w:rPr>
        <w:t>a</w:t>
      </w:r>
      <w:r w:rsidR="00AD6FB9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) </w:t>
      </w:r>
      <w:r w:rsidR="001F3F45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and TTF</w:t>
      </w:r>
      <w:r w:rsidR="00AD6FB9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(</w:t>
      </w:r>
      <w:r w:rsidR="00AD6FB9" w:rsidRPr="00DF36FE">
        <w:rPr>
          <w:rFonts w:ascii="Times New Roman" w:eastAsiaTheme="minorHAnsi" w:hAnsi="Times New Roman" w:cs="Times New Roman"/>
          <w:color w:val="auto"/>
          <w:sz w:val="24"/>
          <w:szCs w:val="24"/>
          <w:lang w:val="en-US" w:eastAsia="en-US"/>
        </w:rPr>
        <w:t>b</w:t>
      </w:r>
      <w:r w:rsidR="00AD6FB9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)</w:t>
      </w:r>
      <w:r w:rsidR="001F3F45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in contact with Li</w:t>
      </w:r>
      <w:r w:rsidR="001F3F45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1F3F45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O</w:t>
      </w:r>
      <w:r w:rsidR="001F3F45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1F3F45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. </w:t>
      </w:r>
      <w:r w:rsidR="0037294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60</w:t>
      </w:r>
      <w:r w:rsidR="00BA045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µM DMPZ </w:t>
      </w:r>
      <w:r w:rsidR="004B1EC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or</w:t>
      </w:r>
      <w:r w:rsidR="00BA045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</w:t>
      </w:r>
      <w:r w:rsidR="0037294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60</w:t>
      </w:r>
      <w:r w:rsidR="00BA045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µM TTF</w:t>
      </w:r>
      <w:r w:rsidR="004B1EC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solutions</w:t>
      </w:r>
      <w:r w:rsidR="00BA045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, respectively, in </w:t>
      </w:r>
      <w:r w:rsidR="0084478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0.1 M </w:t>
      </w:r>
      <w:proofErr w:type="spellStart"/>
      <w:r w:rsidR="0084478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LiTFSI</w:t>
      </w:r>
      <w:proofErr w:type="spellEnd"/>
      <w:r w:rsidR="0084478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/</w:t>
      </w:r>
      <w:r w:rsidR="00C92E7F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TEGDME</w:t>
      </w:r>
      <w:r w:rsidR="00BA045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</w:t>
      </w:r>
      <w:r w:rsidR="004B1EC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were</w:t>
      </w:r>
      <w:r w:rsidR="00BA045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stirred for 24 h with ~1 mg Li</w:t>
      </w:r>
      <w:r w:rsidR="00BA045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BA045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O</w:t>
      </w:r>
      <w:r w:rsidR="00BA045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BA045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. Spectra were taken before and after contact with Li</w:t>
      </w:r>
      <w:r w:rsidR="00BA045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BA045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O</w:t>
      </w:r>
      <w:r w:rsidR="00BA0457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C92E7F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and are offset for better visibility. </w:t>
      </w:r>
    </w:p>
    <w:p w14:paraId="69917C96" w14:textId="269422F2" w:rsidR="00884CA8" w:rsidRPr="00DF36FE" w:rsidRDefault="00884CA8" w:rsidP="00052CB8">
      <w:pPr>
        <w:widowControl/>
        <w:wordWrap/>
        <w:autoSpaceDE/>
        <w:autoSpaceDN/>
        <w:rPr>
          <w:lang w:eastAsia="en-US"/>
        </w:rPr>
      </w:pPr>
    </w:p>
    <w:p w14:paraId="2EEF8A5D" w14:textId="60EED975" w:rsidR="001F3F45" w:rsidRPr="00DF36FE" w:rsidRDefault="00965C36" w:rsidP="00154A4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36F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lastRenderedPageBreak/>
        <w:drawing>
          <wp:inline distT="0" distB="0" distL="0" distR="0" wp14:anchorId="46194894" wp14:editId="15CAE04A">
            <wp:extent cx="4931225" cy="7246961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8287" cy="725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BD466" w14:textId="68410EEF" w:rsidR="00447BE3" w:rsidRPr="00DF36FE" w:rsidRDefault="003A0148" w:rsidP="00361C04">
      <w:pPr>
        <w:pStyle w:val="Caption"/>
        <w:spacing w:after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</w:pPr>
      <w:r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Supplementary </w:t>
      </w:r>
      <w:r w:rsidR="00447BE3"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Figure 2</w:t>
      </w:r>
      <w:r w:rsidR="00447BE3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>.</w:t>
      </w:r>
      <w:r w:rsidR="00447BE3"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Stability of DMPZ and TTF in contact with O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, KO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and Li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O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. </w:t>
      </w:r>
      <w:r w:rsidR="00C92E7F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perscript"/>
          <w:lang w:val="en-US" w:eastAsia="en-US"/>
        </w:rPr>
        <w:t>1</w:t>
      </w:r>
      <w:r w:rsidR="00C92E7F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H-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NMR spectra </w:t>
      </w:r>
      <w:r w:rsidR="00B6152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(in DMSO-d</w:t>
      </w:r>
      <w:r w:rsidR="00B6152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6</w:t>
      </w:r>
      <w:r w:rsidR="00B6152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) 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were recorded before and after 24 h </w:t>
      </w:r>
      <w:r w:rsidR="0070124D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of 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contact with 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the compounds. </w:t>
      </w:r>
      <w:r w:rsidR="001645A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1 mg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DMPZ </w:t>
      </w:r>
      <w:r w:rsidR="004B1EC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or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TTF</w:t>
      </w:r>
      <w:r w:rsidR="004B1EC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</w:t>
      </w:r>
      <w:r w:rsidR="00154A4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in DME were stirred under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O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headspace, or 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stirred with ~1 mg 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KO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or 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Li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O</w:t>
      </w:r>
      <w:r w:rsidR="00447BE3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.</w:t>
      </w:r>
      <w:r w:rsidR="00911B1B" w:rsidRPr="00DF36FE">
        <w:rPr>
          <w:rFonts w:ascii="Times" w:hAnsi="Times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r w:rsidR="00911B1B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The DMSO peak is taken as internal reference for quantitative comparison of spectra. The * denotes a residue from DME evaporation, which amounts to a content of ~1 ppm in the DME.</w:t>
      </w:r>
    </w:p>
    <w:p w14:paraId="6DC4B6DD" w14:textId="1CA091E3" w:rsidR="004E41A3" w:rsidRPr="00DF36FE" w:rsidRDefault="00BC60C0" w:rsidP="00361C0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36F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lastRenderedPageBreak/>
        <w:drawing>
          <wp:inline distT="0" distB="0" distL="0" distR="0" wp14:anchorId="57097E6A" wp14:editId="40360140">
            <wp:extent cx="5132842" cy="6754382"/>
            <wp:effectExtent l="0" t="0" r="0" b="889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842" cy="675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BE517" w14:textId="027636D1" w:rsidR="00911B1B" w:rsidRPr="00DF36FE" w:rsidRDefault="003A0148" w:rsidP="00911B1B">
      <w:pPr>
        <w:pStyle w:val="Caption"/>
        <w:spacing w:after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</w:pPr>
      <w:r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Supplementary </w:t>
      </w:r>
      <w:r w:rsidR="009454DA"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 xml:space="preserve">Figure </w:t>
      </w:r>
      <w:r w:rsidR="00F20686"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3</w:t>
      </w:r>
      <w:r w:rsidR="009454DA" w:rsidRPr="00DF36FE">
        <w:rPr>
          <w:rFonts w:ascii="Times New Roman" w:eastAsiaTheme="minorHAnsi" w:hAnsi="Times New Roman" w:cs="Times New Roman"/>
          <w:color w:val="auto"/>
          <w:sz w:val="24"/>
          <w:szCs w:val="24"/>
          <w:lang w:val="en-US" w:eastAsia="en-US"/>
        </w:rPr>
        <w:t xml:space="preserve">. 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Stability of DMPZ and TTF in contact with 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perscript"/>
          <w:lang w:val="en-US" w:eastAsia="en-US"/>
        </w:rPr>
        <w:t>1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O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. </w:t>
      </w:r>
      <w:r w:rsidR="00911B1B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perscript"/>
          <w:lang w:val="en-US" w:eastAsia="en-US"/>
        </w:rPr>
        <w:t>1</w:t>
      </w:r>
      <w:r w:rsidR="00911B1B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H-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NMR spectra </w:t>
      </w:r>
      <w:r w:rsidR="00B6152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(in DMSO-d</w:t>
      </w:r>
      <w:r w:rsidR="00B6152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6</w:t>
      </w:r>
      <w:r w:rsidR="00B6152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) 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were recorded before and after photo</w:t>
      </w:r>
      <w:r w:rsidR="00F804E9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o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x</w:t>
      </w:r>
      <w:r w:rsidR="00F20686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y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genation. </w:t>
      </w:r>
      <w:r w:rsidR="00B258C4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1 mg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DMPZ </w:t>
      </w:r>
      <w:r w:rsidR="004B1EC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or</w:t>
      </w:r>
      <w:r w:rsidR="0037294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</w:t>
      </w:r>
      <w:r w:rsidR="00B258C4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T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TF</w:t>
      </w:r>
      <w:r w:rsidR="004B1EC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</w:t>
      </w:r>
      <w:r w:rsidR="00361C04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in DME </w:t>
      </w:r>
      <w:r w:rsidR="004B1EC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w</w:t>
      </w:r>
      <w:r w:rsidR="00F804E9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as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</w:t>
      </w:r>
      <w:r w:rsidR="00361C04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stirred</w:t>
      </w:r>
      <w:r w:rsidR="009454DA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</w:t>
      </w:r>
      <w:r w:rsidR="004B1EC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under an O</w:t>
      </w:r>
      <w:r w:rsidR="004B1EC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4B1EC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headspace.</w:t>
      </w:r>
      <w:r w:rsidR="00F20686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For photochemical </w:t>
      </w:r>
      <w:r w:rsidR="00F20686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perscript"/>
          <w:lang w:val="en-US" w:eastAsia="en-US"/>
        </w:rPr>
        <w:t>1</w:t>
      </w:r>
      <w:r w:rsidR="00F20686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O</w:t>
      </w:r>
      <w:r w:rsidR="00F20686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2</w:t>
      </w:r>
      <w:r w:rsidR="00F20686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generation</w:t>
      </w:r>
      <w:r w:rsidR="0070124D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,</w:t>
      </w:r>
      <w:r w:rsidR="00F20686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1 µM of the photosensitizer palladium(II) </w:t>
      </w:r>
      <w:proofErr w:type="spellStart"/>
      <w:r w:rsidR="00F20686" w:rsidRPr="00DF36FE">
        <w:rPr>
          <w:rFonts w:ascii="Times New Roman" w:eastAsiaTheme="minorHAnsi" w:hAnsi="Times New Roman" w:cs="Times New Roman"/>
          <w:b w:val="0"/>
          <w:i/>
          <w:color w:val="auto"/>
          <w:sz w:val="24"/>
          <w:szCs w:val="24"/>
          <w:lang w:val="en-US" w:eastAsia="en-US"/>
        </w:rPr>
        <w:t>meso</w:t>
      </w:r>
      <w:proofErr w:type="spellEnd"/>
      <w:r w:rsidR="00F20686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-tetra(4-fluorophenyl)-</w:t>
      </w:r>
      <w:proofErr w:type="spellStart"/>
      <w:r w:rsidR="00F20686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tetrabenzoporphyrin</w:t>
      </w:r>
      <w:proofErr w:type="spellEnd"/>
      <w:r w:rsidR="00F20686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(Pd</w:t>
      </w:r>
      <w:r w:rsidR="00F20686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bscript"/>
          <w:lang w:val="en-US" w:eastAsia="en-US"/>
        </w:rPr>
        <w:t>4</w:t>
      </w:r>
      <w:r w:rsidR="00F20686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F) was dissolved in the solution and illuminated with 6</w:t>
      </w:r>
      <w:r w:rsidR="00361C04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43</w:t>
      </w:r>
      <w:r w:rsidR="00F20686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nm radiation.</w:t>
      </w:r>
      <w:r w:rsidR="00911B1B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 The DMSO peak is taken as internal reference for quantitative comparison of spectra. The * denotes a residue from DME evaporation, which amounts to a content of ~1 ppm in the DME.</w:t>
      </w:r>
    </w:p>
    <w:p w14:paraId="7F1C73E5" w14:textId="142CEBED" w:rsidR="00827923" w:rsidRPr="00DF36FE" w:rsidRDefault="00827923" w:rsidP="008279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639BD2" w14:textId="2889D2AC" w:rsidR="00827923" w:rsidRPr="00DF36FE" w:rsidRDefault="00827923" w:rsidP="0082792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36FE">
        <w:object w:dxaOrig="7930" w:dyaOrig="1263" w14:anchorId="17A824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7pt;height:64pt" o:ole="">
            <v:imagedata r:id="rId11" o:title=""/>
          </v:shape>
          <o:OLEObject Type="Embed" ProgID="ChemDraw.Document.6.0" ShapeID="_x0000_i1025" DrawAspect="Content" ObjectID="_1613553757" r:id="rId12"/>
        </w:object>
      </w:r>
    </w:p>
    <w:p w14:paraId="01970C40" w14:textId="7B716DD7" w:rsidR="00827923" w:rsidRPr="00DF36FE" w:rsidRDefault="00827923" w:rsidP="00827923">
      <w:pPr>
        <w:pStyle w:val="Caption"/>
        <w:spacing w:after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</w:pPr>
      <w:r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Supplementary </w:t>
      </w:r>
      <w:r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Figure 4</w:t>
      </w:r>
      <w:r w:rsidRPr="00DF36FE">
        <w:rPr>
          <w:rFonts w:ascii="Times New Roman" w:eastAsiaTheme="minorHAnsi" w:hAnsi="Times New Roman" w:cs="Times New Roman"/>
          <w:color w:val="auto"/>
          <w:sz w:val="24"/>
          <w:szCs w:val="24"/>
          <w:lang w:val="en-US" w:eastAsia="en-US"/>
        </w:rPr>
        <w:t xml:space="preserve">. </w:t>
      </w:r>
      <w:r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Decomposition of TTF to 1</w:t>
      </w:r>
      <w:proofErr w:type="gramStart"/>
      <w:r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,3</w:t>
      </w:r>
      <w:proofErr w:type="gramEnd"/>
      <w:r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-dithiol-2-one accord</w:t>
      </w:r>
      <w:r w:rsid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ing to the mechanism proposed in the literature</w:t>
      </w:r>
      <w:r w:rsidR="00DF36FE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perscript"/>
          <w:lang w:val="en-US" w:eastAsia="en-US"/>
        </w:rPr>
        <w:t>1</w:t>
      </w:r>
      <w:r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.</w:t>
      </w:r>
    </w:p>
    <w:p w14:paraId="0C21934C" w14:textId="77777777" w:rsidR="00827923" w:rsidRPr="00DF36FE" w:rsidRDefault="00827923" w:rsidP="00827923">
      <w:pPr>
        <w:rPr>
          <w:lang w:eastAsia="en-US"/>
        </w:rPr>
      </w:pPr>
    </w:p>
    <w:p w14:paraId="35DAA341" w14:textId="4AE72F03" w:rsidR="00071AD5" w:rsidRPr="00DF36FE" w:rsidRDefault="00071AD5">
      <w:pPr>
        <w:widowControl/>
        <w:wordWrap/>
        <w:autoSpaceDE/>
        <w:autoSpaceDN/>
        <w:rPr>
          <w:lang w:eastAsia="en-US"/>
        </w:rPr>
      </w:pPr>
      <w:r w:rsidRPr="00DF36FE">
        <w:rPr>
          <w:lang w:eastAsia="en-US"/>
        </w:rPr>
        <w:br w:type="page"/>
      </w:r>
    </w:p>
    <w:p w14:paraId="22035DD5" w14:textId="77777777" w:rsidR="0092681D" w:rsidRPr="00DF36FE" w:rsidRDefault="0092681D" w:rsidP="0092681D">
      <w:pPr>
        <w:rPr>
          <w:lang w:eastAsia="en-US"/>
        </w:rPr>
      </w:pPr>
    </w:p>
    <w:p w14:paraId="79806609" w14:textId="77777777" w:rsidR="0092681D" w:rsidRPr="00DF36FE" w:rsidRDefault="0092681D" w:rsidP="0092681D">
      <w:pPr>
        <w:rPr>
          <w:rFonts w:ascii="Times New Roman" w:hAnsi="Times New Roman" w:cs="Times New Roman"/>
        </w:rPr>
      </w:pPr>
      <w:r w:rsidRPr="00DF36FE">
        <w:rPr>
          <w:noProof/>
          <w:lang w:val="en-GB" w:eastAsia="zh-CN"/>
        </w:rPr>
        <w:drawing>
          <wp:inline distT="0" distB="0" distL="0" distR="0" wp14:anchorId="5C757598" wp14:editId="212D3DDC">
            <wp:extent cx="5760720" cy="358203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76CCB" w14:textId="77777777" w:rsidR="0092681D" w:rsidRPr="00DF36FE" w:rsidRDefault="0092681D" w:rsidP="0092681D">
      <w:pPr>
        <w:rPr>
          <w:rFonts w:ascii="Times New Roman" w:hAnsi="Times New Roman" w:cs="Times New Roman"/>
          <w:b/>
          <w:i/>
        </w:rPr>
      </w:pPr>
      <w:r w:rsidRPr="00DF36FE">
        <w:rPr>
          <w:noProof/>
          <w:lang w:val="en-GB" w:eastAsia="zh-CN"/>
        </w:rPr>
        <w:drawing>
          <wp:inline distT="0" distB="0" distL="0" distR="0" wp14:anchorId="5FAADB24" wp14:editId="38A5D317">
            <wp:extent cx="5760720" cy="358203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943D8" w14:textId="5BE69564" w:rsidR="0092681D" w:rsidRPr="00DF36FE" w:rsidRDefault="0092681D" w:rsidP="0092681D">
      <w:pPr>
        <w:pStyle w:val="Caption"/>
        <w:spacing w:after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</w:pPr>
      <w:r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Supplementary </w:t>
      </w:r>
      <w:r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 xml:space="preserve">Figure </w:t>
      </w:r>
      <w:r w:rsidR="00C37DB1"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5</w:t>
      </w:r>
      <w:r w:rsidRPr="00DF36FE">
        <w:rPr>
          <w:rFonts w:ascii="Times New Roman" w:eastAsiaTheme="minorHAnsi" w:hAnsi="Times New Roman" w:cs="Times New Roman"/>
          <w:color w:val="auto"/>
          <w:sz w:val="24"/>
          <w:szCs w:val="24"/>
          <w:lang w:val="en-US" w:eastAsia="en-US"/>
        </w:rPr>
        <w:t xml:space="preserve">. </w:t>
      </w:r>
      <w:r w:rsidR="00C37DB1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Integrals of the </w:t>
      </w:r>
      <w:proofErr w:type="gramStart"/>
      <w:r w:rsidR="00C37DB1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vertAlign w:val="superscript"/>
          <w:lang w:val="en-US" w:eastAsia="en-US"/>
        </w:rPr>
        <w:t>1</w:t>
      </w:r>
      <w:r w:rsidR="00C37DB1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H</w:t>
      </w:r>
      <w:proofErr w:type="gramEnd"/>
      <w:r w:rsidR="00C37DB1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-NMR spectra in </w:t>
      </w:r>
      <w:r w:rsid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 xml:space="preserve">Supplementary Fig </w:t>
      </w:r>
      <w:r w:rsidR="00C37DB1"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3a</w:t>
      </w:r>
      <w:r w:rsidRPr="00DF36F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  <w:t>.</w:t>
      </w:r>
    </w:p>
    <w:p w14:paraId="2EA83FF0" w14:textId="6F3D8AA7" w:rsidR="009454DA" w:rsidRPr="00DF36FE" w:rsidRDefault="009454DA" w:rsidP="00052CB8">
      <w:pPr>
        <w:pStyle w:val="Caption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val="en-US" w:eastAsia="en-US"/>
        </w:rPr>
      </w:pPr>
    </w:p>
    <w:p w14:paraId="4A1089C0" w14:textId="555365AC" w:rsidR="00195A8B" w:rsidRPr="00DF36FE" w:rsidRDefault="00D848AE" w:rsidP="00052C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6FE">
        <w:rPr>
          <w:noProof/>
          <w:lang w:val="en-GB" w:eastAsia="zh-CN"/>
        </w:rPr>
        <w:lastRenderedPageBreak/>
        <w:drawing>
          <wp:inline distT="0" distB="0" distL="0" distR="0" wp14:anchorId="7B705930" wp14:editId="59DDD818">
            <wp:extent cx="5731510" cy="1985685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8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E0A34" w14:textId="7A9179DE" w:rsidR="00596B85" w:rsidRPr="00DF36FE" w:rsidRDefault="003A0148" w:rsidP="00D848AE">
      <w:pPr>
        <w:pStyle w:val="Caption"/>
        <w:jc w:val="both"/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</w:pPr>
      <w:r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Supplementary </w:t>
      </w:r>
      <w:r w:rsidR="00195A8B"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 xml:space="preserve">Figure </w:t>
      </w:r>
      <w:r w:rsidR="00215CCC"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6</w:t>
      </w:r>
      <w:r w:rsidR="00195A8B"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 xml:space="preserve">. </w:t>
      </w:r>
      <w:r w:rsidR="00D848A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>Charge curves for the oxidation of the RMs to RM</w:t>
      </w:r>
      <w:r w:rsidR="00D848A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vertAlign w:val="superscript"/>
          <w:lang w:val="en-US" w:eastAsia="en-US"/>
        </w:rPr>
        <w:t>+</w:t>
      </w:r>
      <w:r w:rsidR="00D848A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 xml:space="preserve">. </w:t>
      </w:r>
      <w:proofErr w:type="gramStart"/>
      <w:r w:rsidR="00D848A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 xml:space="preserve">50 </w:t>
      </w:r>
      <w:proofErr w:type="spellStart"/>
      <w:r w:rsidR="00D848A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>μL</w:t>
      </w:r>
      <w:proofErr w:type="spellEnd"/>
      <w:proofErr w:type="gramEnd"/>
      <w:r w:rsidR="00D848A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 xml:space="preserve"> electrolyte (0.02 M RM (DMPZ or TTF) and 0.1 M </w:t>
      </w:r>
      <w:proofErr w:type="spellStart"/>
      <w:r w:rsidR="00D848A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>LiTFSI</w:t>
      </w:r>
      <w:proofErr w:type="spellEnd"/>
      <w:r w:rsidR="00D848A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 xml:space="preserve"> in TEGDME) were charged at 100</w:t>
      </w:r>
      <w:r w:rsidR="009403D6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 xml:space="preserve"> </w:t>
      </w:r>
      <w:r w:rsidR="00D848A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>µA in a Swagelok-type cell using a Li</w:t>
      </w:r>
      <w:r w:rsidR="00D848A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vertAlign w:val="subscript"/>
          <w:lang w:val="en-US" w:eastAsia="en-US"/>
        </w:rPr>
        <w:t>1</w:t>
      </w:r>
      <w:r w:rsidR="006F2B5F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vertAlign w:val="subscript"/>
          <w:lang w:val="en-US" w:eastAsia="en-US"/>
        </w:rPr>
        <w:t>−</w:t>
      </w:r>
      <w:r w:rsidR="00D848AE" w:rsidRPr="006F2B5F">
        <w:rPr>
          <w:rFonts w:ascii="Times New Roman" w:eastAsiaTheme="minorHAnsi" w:hAnsi="Times New Roman" w:cs="Times New Roman"/>
          <w:b w:val="0"/>
          <w:i/>
          <w:color w:val="000000" w:themeColor="text1"/>
          <w:sz w:val="24"/>
          <w:szCs w:val="24"/>
          <w:vertAlign w:val="subscript"/>
          <w:lang w:val="en-US" w:eastAsia="en-US"/>
        </w:rPr>
        <w:t>x</w:t>
      </w:r>
      <w:r w:rsidR="00D848A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>FePO</w:t>
      </w:r>
      <w:r w:rsidR="00D848A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vertAlign w:val="subscript"/>
          <w:lang w:val="en-US" w:eastAsia="en-US"/>
        </w:rPr>
        <w:t>4</w:t>
      </w:r>
      <w:r w:rsidR="00D848AE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 xml:space="preserve"> counter electrode and a</w:t>
      </w:r>
      <w:r w:rsidR="00704DD2"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 xml:space="preserve"> carbon paper working electrode with a diameter of 10 mm.</w:t>
      </w:r>
    </w:p>
    <w:p w14:paraId="55BC4662" w14:textId="32E4FFAF" w:rsidR="00704DD2" w:rsidRPr="00DF36FE" w:rsidRDefault="00704DD2" w:rsidP="00704DD2">
      <w:pPr>
        <w:rPr>
          <w:lang w:eastAsia="en-US"/>
        </w:rPr>
      </w:pPr>
    </w:p>
    <w:p w14:paraId="1631AD80" w14:textId="763382C0" w:rsidR="00071AD5" w:rsidRPr="00DF36FE" w:rsidRDefault="00071AD5">
      <w:pPr>
        <w:widowControl/>
        <w:wordWrap/>
        <w:autoSpaceDE/>
        <w:autoSpaceDN/>
        <w:rPr>
          <w:lang w:eastAsia="en-US"/>
        </w:rPr>
      </w:pPr>
      <w:r w:rsidRPr="00DF36FE">
        <w:rPr>
          <w:lang w:eastAsia="en-US"/>
        </w:rPr>
        <w:br w:type="page"/>
      </w:r>
    </w:p>
    <w:p w14:paraId="312BFFCE" w14:textId="77777777" w:rsidR="00704DD2" w:rsidRPr="00DF36FE" w:rsidRDefault="00704DD2" w:rsidP="00704DD2">
      <w:pPr>
        <w:rPr>
          <w:lang w:eastAsia="en-US"/>
        </w:rPr>
      </w:pPr>
    </w:p>
    <w:p w14:paraId="36190C53" w14:textId="4BA97E37" w:rsidR="00704DD2" w:rsidRPr="00DF36FE" w:rsidRDefault="00704DD2" w:rsidP="00704D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6FE">
        <w:rPr>
          <w:rFonts w:ascii="Times New Roman" w:hAnsi="Times New Roman" w:cs="Times New Roman"/>
          <w:noProof/>
          <w:sz w:val="24"/>
          <w:szCs w:val="24"/>
          <w:lang w:val="en-GB" w:eastAsia="zh-CN"/>
        </w:rPr>
        <w:drawing>
          <wp:inline distT="0" distB="0" distL="0" distR="0" wp14:anchorId="405BE4A3" wp14:editId="500073CC">
            <wp:extent cx="5731510" cy="3009900"/>
            <wp:effectExtent l="0" t="0" r="254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wagelok_cell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A9880" w14:textId="230A9CA6" w:rsidR="00704DD2" w:rsidRPr="00196E87" w:rsidRDefault="00704DD2" w:rsidP="00704DD2">
      <w:pPr>
        <w:pStyle w:val="Caption"/>
        <w:jc w:val="both"/>
        <w:rPr>
          <w:rFonts w:ascii="Times New Roman" w:hAnsi="Times New Roman" w:cs="Times New Roman"/>
          <w:sz w:val="24"/>
          <w:szCs w:val="24"/>
        </w:rPr>
      </w:pPr>
      <w:r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Supplementary </w:t>
      </w:r>
      <w:r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 xml:space="preserve">Figure </w:t>
      </w:r>
      <w:r w:rsidR="006405DF"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7</w:t>
      </w:r>
      <w:r w:rsidRPr="00DF36F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 xml:space="preserve">. </w:t>
      </w:r>
      <w:r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>The cell design used for electrochemically oxidizing the RM to RM</w:t>
      </w:r>
      <w:r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vertAlign w:val="superscript"/>
          <w:lang w:val="en-US" w:eastAsia="en-US"/>
        </w:rPr>
        <w:t>+</w:t>
      </w:r>
      <w:r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>. The central piece is a union tee tube fitting from the company Swagelok (</w:t>
      </w:r>
      <w:hyperlink r:id="rId17" w:history="1">
        <w:r w:rsidRPr="00DF36FE">
          <w:rPr>
            <w:rStyle w:val="Hyperlink"/>
            <w:rFonts w:ascii="Times New Roman" w:eastAsiaTheme="minorHAnsi" w:hAnsi="Times New Roman" w:cs="Times New Roman"/>
            <w:b w:val="0"/>
            <w:sz w:val="24"/>
            <w:szCs w:val="24"/>
            <w:lang w:val="en-US" w:eastAsia="en-US"/>
          </w:rPr>
          <w:t>https://www.swagelok.com/en/catalog/Product/Detail?part=PFA-820-3</w:t>
        </w:r>
      </w:hyperlink>
      <w:r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 xml:space="preserve">) made from </w:t>
      </w:r>
      <w:proofErr w:type="spellStart"/>
      <w:r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>perfluoroalkoxy</w:t>
      </w:r>
      <w:proofErr w:type="spellEnd"/>
      <w:r w:rsidRPr="00DF36FE">
        <w:rPr>
          <w:rFonts w:ascii="Times New Roman" w:eastAsiaTheme="minorHAnsi" w:hAnsi="Times New Roman" w:cs="Times New Roman"/>
          <w:b w:val="0"/>
          <w:color w:val="000000" w:themeColor="text1"/>
          <w:sz w:val="24"/>
          <w:szCs w:val="24"/>
          <w:lang w:val="en-US" w:eastAsia="en-US"/>
        </w:rPr>
        <w:t xml:space="preserve"> polymer (PFA). The plungers for counter, working and reference electrodes are made from stainless steel (grade SAE 316L).</w:t>
      </w:r>
    </w:p>
    <w:p w14:paraId="19F73BE6" w14:textId="77777777" w:rsidR="00596B85" w:rsidRDefault="00596B85" w:rsidP="00052CB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520B5C0" w14:textId="77777777" w:rsidR="006F2B5F" w:rsidRDefault="006F2B5F" w:rsidP="00DF36FE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sz w:val="24"/>
          <w:szCs w:val="24"/>
          <w:lang w:val="en-GB" w:eastAsia="en-US"/>
        </w:rPr>
      </w:pPr>
    </w:p>
    <w:p w14:paraId="22E93342" w14:textId="77777777" w:rsidR="006F2B5F" w:rsidRDefault="006F2B5F" w:rsidP="00DF36FE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sz w:val="24"/>
          <w:szCs w:val="24"/>
          <w:lang w:val="en-GB" w:eastAsia="en-US"/>
        </w:rPr>
      </w:pPr>
    </w:p>
    <w:p w14:paraId="676040C4" w14:textId="77777777" w:rsidR="006F2B5F" w:rsidRDefault="006F2B5F" w:rsidP="00DF36FE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sz w:val="24"/>
          <w:szCs w:val="24"/>
          <w:lang w:val="en-GB" w:eastAsia="en-US"/>
        </w:rPr>
      </w:pPr>
    </w:p>
    <w:p w14:paraId="72A19E94" w14:textId="77777777" w:rsidR="006F2B5F" w:rsidRDefault="006F2B5F" w:rsidP="00DF36FE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sz w:val="24"/>
          <w:szCs w:val="24"/>
          <w:lang w:val="en-GB" w:eastAsia="en-US"/>
        </w:rPr>
      </w:pPr>
    </w:p>
    <w:p w14:paraId="3D4D8BE0" w14:textId="77777777" w:rsidR="006F2B5F" w:rsidRDefault="006F2B5F" w:rsidP="00DF36FE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sz w:val="24"/>
          <w:szCs w:val="24"/>
          <w:lang w:val="en-GB" w:eastAsia="en-US"/>
        </w:rPr>
      </w:pPr>
    </w:p>
    <w:p w14:paraId="62FBF0CE" w14:textId="77777777" w:rsidR="006F2B5F" w:rsidRDefault="006F2B5F" w:rsidP="00DF36FE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sz w:val="24"/>
          <w:szCs w:val="24"/>
          <w:lang w:val="en-GB" w:eastAsia="en-US"/>
        </w:rPr>
      </w:pPr>
    </w:p>
    <w:p w14:paraId="76520645" w14:textId="77777777" w:rsidR="006F2B5F" w:rsidRDefault="006F2B5F" w:rsidP="00DF36FE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sz w:val="24"/>
          <w:szCs w:val="24"/>
          <w:lang w:val="en-GB" w:eastAsia="en-US"/>
        </w:rPr>
      </w:pPr>
    </w:p>
    <w:p w14:paraId="43C77370" w14:textId="77777777" w:rsidR="006F2B5F" w:rsidRDefault="006F2B5F" w:rsidP="00DF36FE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sz w:val="24"/>
          <w:szCs w:val="24"/>
          <w:lang w:val="en-GB" w:eastAsia="en-US"/>
        </w:rPr>
      </w:pPr>
    </w:p>
    <w:p w14:paraId="55A45897" w14:textId="77777777" w:rsidR="006F2B5F" w:rsidRDefault="006F2B5F" w:rsidP="00DF36FE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sz w:val="24"/>
          <w:szCs w:val="24"/>
          <w:lang w:val="en-GB" w:eastAsia="en-US"/>
        </w:rPr>
      </w:pPr>
    </w:p>
    <w:p w14:paraId="1CE78EF2" w14:textId="77777777" w:rsidR="006F2B5F" w:rsidRDefault="006F2B5F" w:rsidP="00DF36FE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sz w:val="24"/>
          <w:szCs w:val="24"/>
          <w:lang w:val="en-GB" w:eastAsia="en-US"/>
        </w:rPr>
      </w:pPr>
    </w:p>
    <w:p w14:paraId="7A639794" w14:textId="77777777" w:rsidR="006F2B5F" w:rsidRDefault="006F2B5F" w:rsidP="00DF36FE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sz w:val="24"/>
          <w:szCs w:val="24"/>
          <w:lang w:val="en-GB" w:eastAsia="en-US"/>
        </w:rPr>
      </w:pPr>
    </w:p>
    <w:p w14:paraId="59BAF569" w14:textId="77777777" w:rsidR="006F2B5F" w:rsidRDefault="006F2B5F" w:rsidP="00DF36FE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sz w:val="24"/>
          <w:szCs w:val="24"/>
          <w:lang w:val="en-GB" w:eastAsia="en-US"/>
        </w:rPr>
      </w:pPr>
    </w:p>
    <w:p w14:paraId="4E5D198E" w14:textId="71BA3C79" w:rsidR="00DF36FE" w:rsidRPr="00DF36FE" w:rsidRDefault="00DF36FE" w:rsidP="00DF36FE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 w:rsidRPr="00DF36F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 xml:space="preserve">Supplementary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Reference</w:t>
      </w:r>
    </w:p>
    <w:p w14:paraId="2D4C5639" w14:textId="5D586ECA" w:rsidR="00DF36FE" w:rsidRPr="00196E87" w:rsidRDefault="00DF36FE" w:rsidP="00052CB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1. </w:t>
      </w:r>
      <w:r w:rsidRPr="00DF36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Zhang, X., Lin, F. &amp; Foote, C. S. </w:t>
      </w:r>
      <w:r w:rsidRPr="00DF36FE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J. Org. Chem.</w:t>
      </w:r>
      <w:r w:rsidRPr="00DF36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F36F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60</w:t>
      </w:r>
      <w:r w:rsidRPr="00DF36FE">
        <w:rPr>
          <w:rFonts w:ascii="Times New Roman" w:eastAsiaTheme="minorHAnsi" w:hAnsi="Times New Roman" w:cs="Times New Roman"/>
          <w:sz w:val="24"/>
          <w:szCs w:val="24"/>
          <w:lang w:eastAsia="en-US"/>
        </w:rPr>
        <w:t>, 1333 (1995)</w:t>
      </w:r>
    </w:p>
    <w:sectPr w:rsidR="00DF36FE" w:rsidRPr="00196E87" w:rsidSect="00F16FB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F5FAE" w14:textId="77777777" w:rsidR="00C8294D" w:rsidRDefault="00C8294D" w:rsidP="002E3320">
      <w:pPr>
        <w:spacing w:after="0" w:line="240" w:lineRule="auto"/>
      </w:pPr>
      <w:r>
        <w:separator/>
      </w:r>
    </w:p>
  </w:endnote>
  <w:endnote w:type="continuationSeparator" w:id="0">
    <w:p w14:paraId="5DA0CCC4" w14:textId="77777777" w:rsidR="00C8294D" w:rsidRDefault="00C8294D" w:rsidP="002E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no Pro">
    <w:altName w:val="Constant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7644C" w14:textId="77777777" w:rsidR="007D5CAA" w:rsidRDefault="007D5C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6D442" w14:textId="77777777" w:rsidR="007D5CAA" w:rsidRPr="007D5CAA" w:rsidRDefault="007D5C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13D4A" w14:textId="77777777" w:rsidR="007D5CAA" w:rsidRPr="007D5CAA" w:rsidRDefault="007D5C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57664" w14:textId="77777777" w:rsidR="00C8294D" w:rsidRDefault="00C8294D" w:rsidP="002E3320">
      <w:pPr>
        <w:spacing w:after="0" w:line="240" w:lineRule="auto"/>
      </w:pPr>
      <w:r>
        <w:separator/>
      </w:r>
    </w:p>
  </w:footnote>
  <w:footnote w:type="continuationSeparator" w:id="0">
    <w:p w14:paraId="57F9E149" w14:textId="77777777" w:rsidR="00C8294D" w:rsidRDefault="00C8294D" w:rsidP="002E3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1693C" w14:textId="77777777" w:rsidR="007D5CAA" w:rsidRDefault="007D5C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E1899" w14:textId="77777777" w:rsidR="007D5CAA" w:rsidRPr="007D5CAA" w:rsidRDefault="007D5C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5E035" w14:textId="77777777" w:rsidR="007D5CAA" w:rsidRPr="007D5CAA" w:rsidRDefault="007D5C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B85"/>
    <w:rsid w:val="00000C35"/>
    <w:rsid w:val="00042795"/>
    <w:rsid w:val="00052CB8"/>
    <w:rsid w:val="000607DE"/>
    <w:rsid w:val="0006301D"/>
    <w:rsid w:val="00071AD5"/>
    <w:rsid w:val="0007448F"/>
    <w:rsid w:val="000A4FA5"/>
    <w:rsid w:val="000B2592"/>
    <w:rsid w:val="000E60CE"/>
    <w:rsid w:val="00100D12"/>
    <w:rsid w:val="00106B3F"/>
    <w:rsid w:val="00154A4E"/>
    <w:rsid w:val="001645AA"/>
    <w:rsid w:val="00170D59"/>
    <w:rsid w:val="00195A8B"/>
    <w:rsid w:val="00196E87"/>
    <w:rsid w:val="001D49E9"/>
    <w:rsid w:val="001F3F45"/>
    <w:rsid w:val="00215CCC"/>
    <w:rsid w:val="00220AAF"/>
    <w:rsid w:val="0026126A"/>
    <w:rsid w:val="00267117"/>
    <w:rsid w:val="002E3309"/>
    <w:rsid w:val="002E3320"/>
    <w:rsid w:val="003442FF"/>
    <w:rsid w:val="00344F10"/>
    <w:rsid w:val="00361C04"/>
    <w:rsid w:val="0037294E"/>
    <w:rsid w:val="003A0148"/>
    <w:rsid w:val="003C7D55"/>
    <w:rsid w:val="00401538"/>
    <w:rsid w:val="00410204"/>
    <w:rsid w:val="004266AF"/>
    <w:rsid w:val="00436502"/>
    <w:rsid w:val="00447BE3"/>
    <w:rsid w:val="00480C7C"/>
    <w:rsid w:val="00495CC8"/>
    <w:rsid w:val="004B1ECE"/>
    <w:rsid w:val="004B372D"/>
    <w:rsid w:val="004E41A3"/>
    <w:rsid w:val="004F75B5"/>
    <w:rsid w:val="00531EDB"/>
    <w:rsid w:val="00574584"/>
    <w:rsid w:val="00574F69"/>
    <w:rsid w:val="00596B85"/>
    <w:rsid w:val="005A4F23"/>
    <w:rsid w:val="005A57F6"/>
    <w:rsid w:val="005D0F3F"/>
    <w:rsid w:val="005D5B46"/>
    <w:rsid w:val="00600FC7"/>
    <w:rsid w:val="0060618B"/>
    <w:rsid w:val="006405DF"/>
    <w:rsid w:val="006961B0"/>
    <w:rsid w:val="006B0FF0"/>
    <w:rsid w:val="006F2B5F"/>
    <w:rsid w:val="0070124D"/>
    <w:rsid w:val="00704DD2"/>
    <w:rsid w:val="00720587"/>
    <w:rsid w:val="00730BED"/>
    <w:rsid w:val="007322DA"/>
    <w:rsid w:val="00732618"/>
    <w:rsid w:val="00740775"/>
    <w:rsid w:val="00742613"/>
    <w:rsid w:val="00742FE5"/>
    <w:rsid w:val="00785FF1"/>
    <w:rsid w:val="007A096E"/>
    <w:rsid w:val="007D1290"/>
    <w:rsid w:val="007D4959"/>
    <w:rsid w:val="007D5CAA"/>
    <w:rsid w:val="00807673"/>
    <w:rsid w:val="00810D3D"/>
    <w:rsid w:val="0081131D"/>
    <w:rsid w:val="0081211C"/>
    <w:rsid w:val="00827923"/>
    <w:rsid w:val="00844787"/>
    <w:rsid w:val="008460D3"/>
    <w:rsid w:val="00854AF9"/>
    <w:rsid w:val="00856F68"/>
    <w:rsid w:val="00866D97"/>
    <w:rsid w:val="008832B0"/>
    <w:rsid w:val="00883EF8"/>
    <w:rsid w:val="00884CA8"/>
    <w:rsid w:val="008B27C3"/>
    <w:rsid w:val="008C68AF"/>
    <w:rsid w:val="008E63A2"/>
    <w:rsid w:val="008F418A"/>
    <w:rsid w:val="00911B1B"/>
    <w:rsid w:val="0092681D"/>
    <w:rsid w:val="009403D6"/>
    <w:rsid w:val="009454DA"/>
    <w:rsid w:val="00947B86"/>
    <w:rsid w:val="00965C36"/>
    <w:rsid w:val="009D6FD5"/>
    <w:rsid w:val="009F0DE2"/>
    <w:rsid w:val="00A824D8"/>
    <w:rsid w:val="00AB108B"/>
    <w:rsid w:val="00AD672F"/>
    <w:rsid w:val="00AD6FB9"/>
    <w:rsid w:val="00AF3610"/>
    <w:rsid w:val="00B136CE"/>
    <w:rsid w:val="00B254BF"/>
    <w:rsid w:val="00B258C4"/>
    <w:rsid w:val="00B6152E"/>
    <w:rsid w:val="00B66A7F"/>
    <w:rsid w:val="00BA0457"/>
    <w:rsid w:val="00BC60C0"/>
    <w:rsid w:val="00BE6937"/>
    <w:rsid w:val="00C14925"/>
    <w:rsid w:val="00C3002D"/>
    <w:rsid w:val="00C37DB1"/>
    <w:rsid w:val="00C8294D"/>
    <w:rsid w:val="00C92E7F"/>
    <w:rsid w:val="00C947DD"/>
    <w:rsid w:val="00CA36AE"/>
    <w:rsid w:val="00CB4223"/>
    <w:rsid w:val="00CC272B"/>
    <w:rsid w:val="00CD562D"/>
    <w:rsid w:val="00CE203C"/>
    <w:rsid w:val="00D01DC6"/>
    <w:rsid w:val="00D14626"/>
    <w:rsid w:val="00D323ED"/>
    <w:rsid w:val="00D558E9"/>
    <w:rsid w:val="00D77542"/>
    <w:rsid w:val="00D848AE"/>
    <w:rsid w:val="00DB626D"/>
    <w:rsid w:val="00DE3B3A"/>
    <w:rsid w:val="00DF0749"/>
    <w:rsid w:val="00DF36FE"/>
    <w:rsid w:val="00DF4572"/>
    <w:rsid w:val="00E46A31"/>
    <w:rsid w:val="00E758AF"/>
    <w:rsid w:val="00F044A4"/>
    <w:rsid w:val="00F07390"/>
    <w:rsid w:val="00F07ECF"/>
    <w:rsid w:val="00F16FB1"/>
    <w:rsid w:val="00F20686"/>
    <w:rsid w:val="00F57691"/>
    <w:rsid w:val="00F70CE2"/>
    <w:rsid w:val="00F8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644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F3F45"/>
    <w:pPr>
      <w:keepNext/>
      <w:keepLines/>
      <w:widowControl/>
      <w:wordWrap/>
      <w:autoSpaceDE/>
      <w:autoSpaceDN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F45"/>
    <w:pPr>
      <w:keepNext/>
      <w:keepLines/>
      <w:widowControl/>
      <w:wordWrap/>
      <w:autoSpaceDE/>
      <w:autoSpaceDN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Title">
    <w:name w:val="BA_Title"/>
    <w:basedOn w:val="Normal"/>
    <w:next w:val="BBAuthorName"/>
    <w:autoRedefine/>
    <w:rsid w:val="00596B85"/>
    <w:pPr>
      <w:widowControl/>
      <w:wordWrap/>
      <w:autoSpaceDE/>
      <w:autoSpaceDN/>
      <w:spacing w:before="1400" w:after="180" w:line="240" w:lineRule="auto"/>
      <w:jc w:val="left"/>
    </w:pPr>
    <w:rPr>
      <w:rFonts w:ascii="Myriad Pro Light" w:hAnsi="Myriad Pro Light" w:cs="Times New Roman"/>
      <w:b/>
      <w:kern w:val="36"/>
      <w:sz w:val="34"/>
      <w:szCs w:val="20"/>
      <w:lang w:eastAsia="en-US"/>
    </w:rPr>
  </w:style>
  <w:style w:type="paragraph" w:customStyle="1" w:styleId="BBAuthorName">
    <w:name w:val="BB_Author_Name"/>
    <w:basedOn w:val="Normal"/>
    <w:next w:val="BCAuthorAddress"/>
    <w:autoRedefine/>
    <w:rsid w:val="00596B85"/>
    <w:pPr>
      <w:widowControl/>
      <w:wordWrap/>
      <w:autoSpaceDE/>
      <w:autoSpaceDN/>
      <w:spacing w:after="180" w:line="240" w:lineRule="auto"/>
      <w:jc w:val="left"/>
    </w:pPr>
    <w:rPr>
      <w:rFonts w:ascii="Arno Pro" w:hAnsi="Arno Pro" w:cs="Times New Roman"/>
      <w:kern w:val="26"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Normal"/>
    <w:autoRedefine/>
    <w:rsid w:val="00596B85"/>
    <w:pPr>
      <w:widowControl/>
      <w:wordWrap/>
      <w:autoSpaceDE/>
      <w:autoSpaceDN/>
      <w:spacing w:after="60" w:line="240" w:lineRule="auto"/>
      <w:jc w:val="left"/>
    </w:pPr>
    <w:rPr>
      <w:rFonts w:ascii="Arno Pro" w:hAnsi="Arno Pro" w:cs="Times New Roman"/>
      <w:kern w:val="22"/>
      <w:szCs w:val="20"/>
      <w:lang w:eastAsia="en-US"/>
    </w:rPr>
  </w:style>
  <w:style w:type="paragraph" w:customStyle="1" w:styleId="VAFigureCaption">
    <w:name w:val="VA_Figure_Caption"/>
    <w:basedOn w:val="Normal"/>
    <w:next w:val="Normal"/>
    <w:autoRedefine/>
    <w:rsid w:val="00596B85"/>
    <w:pPr>
      <w:widowControl/>
      <w:wordWrap/>
      <w:autoSpaceDE/>
      <w:autoSpaceDN/>
      <w:spacing w:before="200" w:after="120" w:line="240" w:lineRule="auto"/>
    </w:pPr>
    <w:rPr>
      <w:rFonts w:ascii="Arno Pro" w:hAnsi="Arno Pro" w:cs="Times New Roman"/>
      <w:kern w:val="20"/>
      <w:sz w:val="18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E332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E3320"/>
  </w:style>
  <w:style w:type="paragraph" w:styleId="Footer">
    <w:name w:val="footer"/>
    <w:basedOn w:val="Normal"/>
    <w:link w:val="FooterChar"/>
    <w:uiPriority w:val="99"/>
    <w:unhideWhenUsed/>
    <w:rsid w:val="002E332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E3320"/>
  </w:style>
  <w:style w:type="paragraph" w:customStyle="1" w:styleId="BIEmailAddress">
    <w:name w:val="BI_Email_Address"/>
    <w:basedOn w:val="Normal"/>
    <w:next w:val="Normal"/>
    <w:autoRedefine/>
    <w:rsid w:val="002E3320"/>
    <w:pPr>
      <w:widowControl/>
      <w:wordWrap/>
      <w:autoSpaceDE/>
      <w:autoSpaceDN/>
      <w:spacing w:after="100" w:line="240" w:lineRule="auto"/>
      <w:jc w:val="left"/>
    </w:pPr>
    <w:rPr>
      <w:rFonts w:ascii="Arno Pro" w:hAnsi="Arno Pro" w:cs="Times New Roman"/>
      <w:kern w:val="0"/>
      <w:sz w:val="18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F4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F3F45"/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F3F45"/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28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1F3F45"/>
    <w:pPr>
      <w:widowControl/>
      <w:wordWrap/>
      <w:autoSpaceDE/>
      <w:autoSpaceDN/>
      <w:spacing w:after="200" w:line="240" w:lineRule="auto"/>
      <w:jc w:val="left"/>
    </w:pPr>
    <w:rPr>
      <w:b/>
      <w:bCs/>
      <w:color w:val="5B9BD5" w:themeColor="accent1"/>
      <w:kern w:val="0"/>
      <w:sz w:val="18"/>
      <w:szCs w:val="18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E4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1A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1A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1A3"/>
    <w:rPr>
      <w:b/>
      <w:bCs/>
      <w:szCs w:val="20"/>
    </w:rPr>
  </w:style>
  <w:style w:type="character" w:styleId="Hyperlink">
    <w:name w:val="Hyperlink"/>
    <w:rsid w:val="007A096E"/>
    <w:rPr>
      <w:color w:val="0000FF"/>
      <w:u w:val="single"/>
    </w:rPr>
  </w:style>
  <w:style w:type="character" w:customStyle="1" w:styleId="TFReferencesSectionChar">
    <w:name w:val="TF_References_Section Char"/>
    <w:basedOn w:val="DefaultParagraphFont"/>
    <w:link w:val="TFReferencesSection"/>
    <w:locked/>
    <w:rsid w:val="00480C7C"/>
    <w:rPr>
      <w:rFonts w:ascii="Times New Roman" w:hAnsi="Times New Roman" w:cs="Times New Roman"/>
      <w:kern w:val="19"/>
      <w:sz w:val="24"/>
      <w:szCs w:val="24"/>
      <w:lang w:eastAsia="en-US"/>
    </w:rPr>
  </w:style>
  <w:style w:type="paragraph" w:customStyle="1" w:styleId="TFReferencesSection">
    <w:name w:val="TF_References_Section"/>
    <w:basedOn w:val="Normal"/>
    <w:next w:val="Normal"/>
    <w:link w:val="TFReferencesSectionChar"/>
    <w:autoRedefine/>
    <w:rsid w:val="00480C7C"/>
    <w:pPr>
      <w:widowControl/>
      <w:wordWrap/>
      <w:autoSpaceDE/>
      <w:autoSpaceDN/>
      <w:spacing w:after="0" w:line="480" w:lineRule="auto"/>
    </w:pPr>
    <w:rPr>
      <w:rFonts w:ascii="Times New Roman" w:hAnsi="Times New Roman" w:cs="Times New Roman"/>
      <w:kern w:val="19"/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F16FB1"/>
  </w:style>
  <w:style w:type="paragraph" w:styleId="ListParagraph">
    <w:name w:val="List Paragraph"/>
    <w:basedOn w:val="Normal"/>
    <w:uiPriority w:val="34"/>
    <w:qFormat/>
    <w:rsid w:val="00DF36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F3F45"/>
    <w:pPr>
      <w:keepNext/>
      <w:keepLines/>
      <w:widowControl/>
      <w:wordWrap/>
      <w:autoSpaceDE/>
      <w:autoSpaceDN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F45"/>
    <w:pPr>
      <w:keepNext/>
      <w:keepLines/>
      <w:widowControl/>
      <w:wordWrap/>
      <w:autoSpaceDE/>
      <w:autoSpaceDN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Title">
    <w:name w:val="BA_Title"/>
    <w:basedOn w:val="Normal"/>
    <w:next w:val="BBAuthorName"/>
    <w:autoRedefine/>
    <w:rsid w:val="00596B85"/>
    <w:pPr>
      <w:widowControl/>
      <w:wordWrap/>
      <w:autoSpaceDE/>
      <w:autoSpaceDN/>
      <w:spacing w:before="1400" w:after="180" w:line="240" w:lineRule="auto"/>
      <w:jc w:val="left"/>
    </w:pPr>
    <w:rPr>
      <w:rFonts w:ascii="Myriad Pro Light" w:hAnsi="Myriad Pro Light" w:cs="Times New Roman"/>
      <w:b/>
      <w:kern w:val="36"/>
      <w:sz w:val="34"/>
      <w:szCs w:val="20"/>
      <w:lang w:eastAsia="en-US"/>
    </w:rPr>
  </w:style>
  <w:style w:type="paragraph" w:customStyle="1" w:styleId="BBAuthorName">
    <w:name w:val="BB_Author_Name"/>
    <w:basedOn w:val="Normal"/>
    <w:next w:val="BCAuthorAddress"/>
    <w:autoRedefine/>
    <w:rsid w:val="00596B85"/>
    <w:pPr>
      <w:widowControl/>
      <w:wordWrap/>
      <w:autoSpaceDE/>
      <w:autoSpaceDN/>
      <w:spacing w:after="180" w:line="240" w:lineRule="auto"/>
      <w:jc w:val="left"/>
    </w:pPr>
    <w:rPr>
      <w:rFonts w:ascii="Arno Pro" w:hAnsi="Arno Pro" w:cs="Times New Roman"/>
      <w:kern w:val="26"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Normal"/>
    <w:autoRedefine/>
    <w:rsid w:val="00596B85"/>
    <w:pPr>
      <w:widowControl/>
      <w:wordWrap/>
      <w:autoSpaceDE/>
      <w:autoSpaceDN/>
      <w:spacing w:after="60" w:line="240" w:lineRule="auto"/>
      <w:jc w:val="left"/>
    </w:pPr>
    <w:rPr>
      <w:rFonts w:ascii="Arno Pro" w:hAnsi="Arno Pro" w:cs="Times New Roman"/>
      <w:kern w:val="22"/>
      <w:szCs w:val="20"/>
      <w:lang w:eastAsia="en-US"/>
    </w:rPr>
  </w:style>
  <w:style w:type="paragraph" w:customStyle="1" w:styleId="VAFigureCaption">
    <w:name w:val="VA_Figure_Caption"/>
    <w:basedOn w:val="Normal"/>
    <w:next w:val="Normal"/>
    <w:autoRedefine/>
    <w:rsid w:val="00596B85"/>
    <w:pPr>
      <w:widowControl/>
      <w:wordWrap/>
      <w:autoSpaceDE/>
      <w:autoSpaceDN/>
      <w:spacing w:before="200" w:after="120" w:line="240" w:lineRule="auto"/>
    </w:pPr>
    <w:rPr>
      <w:rFonts w:ascii="Arno Pro" w:hAnsi="Arno Pro" w:cs="Times New Roman"/>
      <w:kern w:val="20"/>
      <w:sz w:val="18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E332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E3320"/>
  </w:style>
  <w:style w:type="paragraph" w:styleId="Footer">
    <w:name w:val="footer"/>
    <w:basedOn w:val="Normal"/>
    <w:link w:val="FooterChar"/>
    <w:uiPriority w:val="99"/>
    <w:unhideWhenUsed/>
    <w:rsid w:val="002E332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E3320"/>
  </w:style>
  <w:style w:type="paragraph" w:customStyle="1" w:styleId="BIEmailAddress">
    <w:name w:val="BI_Email_Address"/>
    <w:basedOn w:val="Normal"/>
    <w:next w:val="Normal"/>
    <w:autoRedefine/>
    <w:rsid w:val="002E3320"/>
    <w:pPr>
      <w:widowControl/>
      <w:wordWrap/>
      <w:autoSpaceDE/>
      <w:autoSpaceDN/>
      <w:spacing w:after="100" w:line="240" w:lineRule="auto"/>
      <w:jc w:val="left"/>
    </w:pPr>
    <w:rPr>
      <w:rFonts w:ascii="Arno Pro" w:hAnsi="Arno Pro" w:cs="Times New Roman"/>
      <w:kern w:val="0"/>
      <w:sz w:val="18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F4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F3F45"/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F3F45"/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28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1F3F45"/>
    <w:pPr>
      <w:widowControl/>
      <w:wordWrap/>
      <w:autoSpaceDE/>
      <w:autoSpaceDN/>
      <w:spacing w:after="200" w:line="240" w:lineRule="auto"/>
      <w:jc w:val="left"/>
    </w:pPr>
    <w:rPr>
      <w:b/>
      <w:bCs/>
      <w:color w:val="5B9BD5" w:themeColor="accent1"/>
      <w:kern w:val="0"/>
      <w:sz w:val="18"/>
      <w:szCs w:val="18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E4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1A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1A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1A3"/>
    <w:rPr>
      <w:b/>
      <w:bCs/>
      <w:szCs w:val="20"/>
    </w:rPr>
  </w:style>
  <w:style w:type="character" w:styleId="Hyperlink">
    <w:name w:val="Hyperlink"/>
    <w:rsid w:val="007A096E"/>
    <w:rPr>
      <w:color w:val="0000FF"/>
      <w:u w:val="single"/>
    </w:rPr>
  </w:style>
  <w:style w:type="character" w:customStyle="1" w:styleId="TFReferencesSectionChar">
    <w:name w:val="TF_References_Section Char"/>
    <w:basedOn w:val="DefaultParagraphFont"/>
    <w:link w:val="TFReferencesSection"/>
    <w:locked/>
    <w:rsid w:val="00480C7C"/>
    <w:rPr>
      <w:rFonts w:ascii="Times New Roman" w:hAnsi="Times New Roman" w:cs="Times New Roman"/>
      <w:kern w:val="19"/>
      <w:sz w:val="24"/>
      <w:szCs w:val="24"/>
      <w:lang w:eastAsia="en-US"/>
    </w:rPr>
  </w:style>
  <w:style w:type="paragraph" w:customStyle="1" w:styleId="TFReferencesSection">
    <w:name w:val="TF_References_Section"/>
    <w:basedOn w:val="Normal"/>
    <w:next w:val="Normal"/>
    <w:link w:val="TFReferencesSectionChar"/>
    <w:autoRedefine/>
    <w:rsid w:val="00480C7C"/>
    <w:pPr>
      <w:widowControl/>
      <w:wordWrap/>
      <w:autoSpaceDE/>
      <w:autoSpaceDN/>
      <w:spacing w:after="0" w:line="480" w:lineRule="auto"/>
    </w:pPr>
    <w:rPr>
      <w:rFonts w:ascii="Times New Roman" w:hAnsi="Times New Roman" w:cs="Times New Roman"/>
      <w:kern w:val="19"/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F16FB1"/>
  </w:style>
  <w:style w:type="paragraph" w:styleId="ListParagraph">
    <w:name w:val="List Paragraph"/>
    <w:basedOn w:val="Normal"/>
    <w:uiPriority w:val="34"/>
    <w:qFormat/>
    <w:rsid w:val="00DF3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www.swagelok.com/en/catalog/Product/Detail?part=PFA-820-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B0034-DABF-472E-AE2B-71F821720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390</Words>
  <Characters>2227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</dc:creator>
  <cp:lastModifiedBy>Zhang, Yaoqing</cp:lastModifiedBy>
  <cp:revision>11</cp:revision>
  <dcterms:created xsi:type="dcterms:W3CDTF">2019-01-28T08:30:00Z</dcterms:created>
  <dcterms:modified xsi:type="dcterms:W3CDTF">2019-03-08T04:36:00Z</dcterms:modified>
</cp:coreProperties>
</file>