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A7E" w:rsidRPr="00DF4C63" w:rsidRDefault="00A65A7E" w:rsidP="00A65A7E">
      <w:pPr>
        <w:jc w:val="center"/>
      </w:pPr>
      <w:r>
        <w:rPr>
          <w:noProof/>
        </w:rPr>
        <w:drawing>
          <wp:inline distT="0" distB="0" distL="0" distR="0" wp14:anchorId="26EFA313" wp14:editId="524FE47F">
            <wp:extent cx="5774554" cy="6283842"/>
            <wp:effectExtent l="0" t="0" r="0" b="317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1_Patholog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871" cy="630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A7E" w:rsidRPr="0014325B" w:rsidRDefault="00A65A7E" w:rsidP="00A65A7E">
      <w:pPr>
        <w:rPr>
          <w:sz w:val="24"/>
          <w:szCs w:val="24"/>
        </w:rPr>
      </w:pPr>
      <w:r w:rsidRPr="003607C0">
        <w:t xml:space="preserve"> </w:t>
      </w:r>
      <w:r w:rsidRPr="0014325B">
        <w:rPr>
          <w:b/>
          <w:sz w:val="24"/>
          <w:szCs w:val="24"/>
        </w:rPr>
        <w:t>Supplementary Figure 1: Muscle histopathology and extracellular lipid deposition increase with clinical severity.</w:t>
      </w:r>
      <w:r w:rsidRPr="0014325B">
        <w:rPr>
          <w:sz w:val="24"/>
          <w:szCs w:val="24"/>
        </w:rPr>
        <w:t xml:space="preserve"> (</w:t>
      </w:r>
      <w:r w:rsidRPr="0014325B">
        <w:rPr>
          <w:b/>
          <w:sz w:val="24"/>
          <w:szCs w:val="24"/>
        </w:rPr>
        <w:t>A</w:t>
      </w:r>
      <w:r w:rsidRPr="0014325B">
        <w:rPr>
          <w:sz w:val="24"/>
          <w:szCs w:val="24"/>
        </w:rPr>
        <w:t>) Hematoxylin and eosin staining of LGMD2B biopsies demonstrating increased muscle pathology with increasing clinical severity. (</w:t>
      </w:r>
      <w:r w:rsidRPr="0014325B">
        <w:rPr>
          <w:b/>
          <w:sz w:val="24"/>
          <w:szCs w:val="24"/>
        </w:rPr>
        <w:t>B</w:t>
      </w:r>
      <w:r w:rsidRPr="0014325B">
        <w:rPr>
          <w:sz w:val="24"/>
          <w:szCs w:val="24"/>
        </w:rPr>
        <w:t xml:space="preserve">) Perilipin-1 labelling from </w:t>
      </w:r>
      <w:r w:rsidRPr="0014325B">
        <w:rPr>
          <w:b/>
          <w:sz w:val="24"/>
          <w:szCs w:val="24"/>
        </w:rPr>
        <w:t>Fig. 1B</w:t>
      </w:r>
      <w:r w:rsidRPr="0014325B">
        <w:rPr>
          <w:sz w:val="24"/>
          <w:szCs w:val="24"/>
        </w:rPr>
        <w:t>, co-stained with wheat germ agglutinin to delineate myofiber membranes and demonstrate the extracellular lipid formation in LGMD2B patient muscle. (</w:t>
      </w:r>
      <w:r w:rsidRPr="0014325B">
        <w:rPr>
          <w:b/>
          <w:sz w:val="24"/>
          <w:szCs w:val="24"/>
        </w:rPr>
        <w:t>C</w:t>
      </w:r>
      <w:r w:rsidRPr="0014325B">
        <w:rPr>
          <w:sz w:val="24"/>
          <w:szCs w:val="24"/>
        </w:rPr>
        <w:t>) Hematoxylin and eosin staining of B6A/J gastrocnemius demonstrating increased muscle pathology with increasing age. (</w:t>
      </w:r>
      <w:r>
        <w:rPr>
          <w:b/>
          <w:sz w:val="24"/>
          <w:szCs w:val="24"/>
        </w:rPr>
        <w:t>D</w:t>
      </w:r>
      <w:r w:rsidRPr="0014325B">
        <w:rPr>
          <w:sz w:val="24"/>
          <w:szCs w:val="24"/>
        </w:rPr>
        <w:t xml:space="preserve">) Perilipin-1 labelling from </w:t>
      </w:r>
      <w:r>
        <w:rPr>
          <w:b/>
          <w:sz w:val="24"/>
          <w:szCs w:val="24"/>
        </w:rPr>
        <w:t>Fig. 1J</w:t>
      </w:r>
      <w:r w:rsidRPr="0014325B">
        <w:rPr>
          <w:sz w:val="24"/>
          <w:szCs w:val="24"/>
        </w:rPr>
        <w:t>, co-stained with wheat germ agglutinin to delineate myofiber membranes and demonstrate the extracellular lipid formation in B6A/J gastrocnemius with advancing age. Scales = 100µm.</w:t>
      </w:r>
    </w:p>
    <w:p w:rsidR="00A65A7E" w:rsidRDefault="00A65A7E" w:rsidP="00A65A7E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DFDB8BF" wp14:editId="69A564B4">
            <wp:extent cx="5943600" cy="2968625"/>
            <wp:effectExtent l="0" t="0" r="0" b="317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2_WT Compariso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0654">
        <w:t xml:space="preserve"> </w:t>
      </w:r>
      <w:r w:rsidRPr="0014325B">
        <w:rPr>
          <w:b/>
          <w:sz w:val="24"/>
          <w:szCs w:val="24"/>
        </w:rPr>
        <w:t>Supplementary Figure 2: Extracellular lipid formation and FAP accumulation is absent in WT muscle.</w:t>
      </w:r>
      <w:r w:rsidRPr="0014325B">
        <w:rPr>
          <w:sz w:val="24"/>
          <w:szCs w:val="24"/>
        </w:rPr>
        <w:t xml:space="preserve"> (</w:t>
      </w:r>
      <w:r w:rsidRPr="0014325B">
        <w:rPr>
          <w:b/>
          <w:sz w:val="24"/>
          <w:szCs w:val="24"/>
        </w:rPr>
        <w:t>A</w:t>
      </w:r>
      <w:r w:rsidRPr="0014325B">
        <w:rPr>
          <w:sz w:val="24"/>
          <w:szCs w:val="24"/>
        </w:rPr>
        <w:t>) Perilipin-1 staining of tibialis anterior, gastrocnemius, quadriceps and psoas of 12Mo WT mice shows the absence of extracellular lipid across all muscles. (</w:t>
      </w:r>
      <w:r w:rsidRPr="0014325B">
        <w:rPr>
          <w:b/>
          <w:sz w:val="24"/>
          <w:szCs w:val="24"/>
        </w:rPr>
        <w:t>B</w:t>
      </w:r>
      <w:r w:rsidRPr="0014325B">
        <w:rPr>
          <w:sz w:val="24"/>
          <w:szCs w:val="24"/>
        </w:rPr>
        <w:t>) PDGFRα staining from 12Mo WT muscles shows only the presence of muscle resident FAPs (individual cells at the junction of myofibers). Scales = 50µm.</w:t>
      </w:r>
    </w:p>
    <w:p w:rsidR="00F20B4D" w:rsidRPr="00BB46FB" w:rsidRDefault="00A65A7E" w:rsidP="00F20B4D">
      <w:pPr>
        <w:rPr>
          <w:b/>
          <w:sz w:val="24"/>
          <w:szCs w:val="24"/>
        </w:rPr>
      </w:pPr>
      <w:r>
        <w:rPr>
          <w:sz w:val="24"/>
          <w:szCs w:val="24"/>
        </w:rPr>
        <w:br w:type="page"/>
      </w:r>
    </w:p>
    <w:p w:rsidR="00A65A7E" w:rsidRDefault="00A65A7E" w:rsidP="00A65A7E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 wp14:anchorId="09154E1F" wp14:editId="1162B0FD">
            <wp:extent cx="4392168" cy="2612136"/>
            <wp:effectExtent l="0" t="0" r="889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3_Notexin Injur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2168" cy="261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A7E" w:rsidRDefault="00BB46FB" w:rsidP="00A65A7E">
      <w:pPr>
        <w:rPr>
          <w:sz w:val="24"/>
          <w:szCs w:val="24"/>
        </w:rPr>
      </w:pPr>
      <w:r>
        <w:rPr>
          <w:b/>
          <w:sz w:val="24"/>
          <w:szCs w:val="24"/>
        </w:rPr>
        <w:t>Supplementary Figure 3</w:t>
      </w:r>
      <w:r w:rsidR="00A65A7E" w:rsidRPr="0014325B">
        <w:rPr>
          <w:b/>
          <w:sz w:val="24"/>
          <w:szCs w:val="24"/>
        </w:rPr>
        <w:t xml:space="preserve">: </w:t>
      </w:r>
      <w:proofErr w:type="spellStart"/>
      <w:r w:rsidR="00A65A7E" w:rsidRPr="0014325B">
        <w:rPr>
          <w:b/>
          <w:sz w:val="24"/>
          <w:szCs w:val="24"/>
        </w:rPr>
        <w:t>Notexin</w:t>
      </w:r>
      <w:proofErr w:type="spellEnd"/>
      <w:r w:rsidR="00A65A7E" w:rsidRPr="0014325B">
        <w:rPr>
          <w:b/>
          <w:sz w:val="24"/>
          <w:szCs w:val="24"/>
        </w:rPr>
        <w:t xml:space="preserve"> causes lipid deposition at the site of injury in dysferlin-deficient muscle.</w:t>
      </w:r>
      <w:r w:rsidR="00A65A7E" w:rsidRPr="0014325B">
        <w:rPr>
          <w:sz w:val="24"/>
          <w:szCs w:val="24"/>
        </w:rPr>
        <w:t xml:space="preserve"> (</w:t>
      </w:r>
      <w:r w:rsidR="00A65A7E" w:rsidRPr="0014325B">
        <w:rPr>
          <w:b/>
          <w:sz w:val="24"/>
          <w:szCs w:val="24"/>
        </w:rPr>
        <w:t>A</w:t>
      </w:r>
      <w:r w:rsidR="00A65A7E" w:rsidRPr="0014325B">
        <w:rPr>
          <w:sz w:val="24"/>
          <w:szCs w:val="24"/>
        </w:rPr>
        <w:t xml:space="preserve">) Schematic illustrating the single injury experimental procedure; a single 40µl injection of </w:t>
      </w:r>
      <w:proofErr w:type="spellStart"/>
      <w:r w:rsidR="00A65A7E" w:rsidRPr="0014325B">
        <w:rPr>
          <w:sz w:val="24"/>
          <w:szCs w:val="24"/>
        </w:rPr>
        <w:t>notexin</w:t>
      </w:r>
      <w:proofErr w:type="spellEnd"/>
      <w:r w:rsidR="00A65A7E" w:rsidRPr="0014325B">
        <w:rPr>
          <w:sz w:val="24"/>
          <w:szCs w:val="24"/>
        </w:rPr>
        <w:t xml:space="preserve"> (5</w:t>
      </w:r>
      <w:r w:rsidR="00A65A7E" w:rsidRPr="0014325B">
        <w:rPr>
          <w:sz w:val="24"/>
          <w:szCs w:val="24"/>
          <w:lang w:val="el-GR"/>
        </w:rPr>
        <w:t>μ</w:t>
      </w:r>
      <w:r w:rsidR="00A65A7E" w:rsidRPr="0014325B">
        <w:rPr>
          <w:sz w:val="24"/>
          <w:szCs w:val="24"/>
        </w:rPr>
        <w:t>g/mL) was administered to the TA of B6A/J at 2 and 11Mo and 11Mo WT. Muscles were harvested 28 days later for analysis. (</w:t>
      </w:r>
      <w:r w:rsidR="00A65A7E" w:rsidRPr="0014325B">
        <w:rPr>
          <w:b/>
          <w:sz w:val="24"/>
          <w:szCs w:val="24"/>
        </w:rPr>
        <w:t>B</w:t>
      </w:r>
      <w:r w:rsidR="00A65A7E" w:rsidRPr="0014325B">
        <w:rPr>
          <w:sz w:val="24"/>
          <w:szCs w:val="24"/>
        </w:rPr>
        <w:t xml:space="preserve">) Schematic illustrating the repeat injury experimental procedure; B6A/J mice were injured by a series of 3 intramuscular </w:t>
      </w:r>
      <w:proofErr w:type="spellStart"/>
      <w:r w:rsidR="00A65A7E" w:rsidRPr="0014325B">
        <w:rPr>
          <w:sz w:val="24"/>
          <w:szCs w:val="24"/>
        </w:rPr>
        <w:t>notexin</w:t>
      </w:r>
      <w:proofErr w:type="spellEnd"/>
      <w:r w:rsidR="00A65A7E" w:rsidRPr="0014325B">
        <w:rPr>
          <w:sz w:val="24"/>
          <w:szCs w:val="24"/>
        </w:rPr>
        <w:t xml:space="preserve"> injections, each 14 days apart, from 10 to 11Mo. Muscles were harvested 28 days later for analysis. (</w:t>
      </w:r>
      <w:r w:rsidR="00A65A7E" w:rsidRPr="0014325B">
        <w:rPr>
          <w:b/>
          <w:sz w:val="24"/>
          <w:szCs w:val="24"/>
        </w:rPr>
        <w:t>C</w:t>
      </w:r>
      <w:r w:rsidR="00A65A7E" w:rsidRPr="0014325B">
        <w:rPr>
          <w:sz w:val="24"/>
          <w:szCs w:val="24"/>
        </w:rPr>
        <w:t xml:space="preserve">) Oil Red O staining of 12Mo B6A/J TA after a single </w:t>
      </w:r>
      <w:proofErr w:type="spellStart"/>
      <w:r w:rsidR="00A65A7E" w:rsidRPr="0014325B">
        <w:rPr>
          <w:sz w:val="24"/>
          <w:szCs w:val="24"/>
        </w:rPr>
        <w:t>notexin</w:t>
      </w:r>
      <w:proofErr w:type="spellEnd"/>
      <w:r w:rsidR="00A65A7E" w:rsidRPr="0014325B">
        <w:rPr>
          <w:sz w:val="24"/>
          <w:szCs w:val="24"/>
        </w:rPr>
        <w:t xml:space="preserve"> injury. Scale = 200µm. Shown are 2 regions approximately 900µm apart, which illustrate both injured and uninjured regions of the muscle. </w:t>
      </w:r>
      <w:r w:rsidR="00A65A7E" w:rsidRPr="0014325B">
        <w:rPr>
          <w:b/>
          <w:sz w:val="24"/>
          <w:szCs w:val="24"/>
        </w:rPr>
        <w:t>Region 1</w:t>
      </w:r>
      <w:r w:rsidR="00A65A7E" w:rsidRPr="0014325B">
        <w:rPr>
          <w:sz w:val="24"/>
          <w:szCs w:val="24"/>
        </w:rPr>
        <w:t xml:space="preserve"> shows the injury site as marked by green tattoo dye (indicated by arrowheads), where centrally nucleated myofibers and Oil Red O-marked lipid are evident. </w:t>
      </w:r>
      <w:r w:rsidR="00A65A7E" w:rsidRPr="0014325B">
        <w:rPr>
          <w:b/>
          <w:sz w:val="24"/>
          <w:szCs w:val="24"/>
        </w:rPr>
        <w:t>Region 2</w:t>
      </w:r>
      <w:r w:rsidR="00A65A7E" w:rsidRPr="0014325B">
        <w:rPr>
          <w:sz w:val="24"/>
          <w:szCs w:val="24"/>
        </w:rPr>
        <w:t xml:space="preserve"> shows an uninjured area without tattoo dye, where only spontaneous regeneration and the absence of lipid can be seen.</w:t>
      </w:r>
    </w:p>
    <w:p w:rsidR="00F20B4D" w:rsidRDefault="00F20B4D" w:rsidP="00A65A7E">
      <w:pPr>
        <w:rPr>
          <w:sz w:val="24"/>
          <w:szCs w:val="24"/>
        </w:rPr>
      </w:pPr>
    </w:p>
    <w:p w:rsidR="00F20B4D" w:rsidRDefault="00F20B4D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65A7E" w:rsidRDefault="00A65A7E" w:rsidP="00A65A7E">
      <w:pPr>
        <w:rPr>
          <w:sz w:val="24"/>
          <w:szCs w:val="24"/>
        </w:rPr>
      </w:pPr>
    </w:p>
    <w:p w:rsidR="00A65A7E" w:rsidRPr="0058261B" w:rsidRDefault="00A65A7E" w:rsidP="00A65A7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22C9675" wp14:editId="5394B0FD">
            <wp:extent cx="6167887" cy="3255929"/>
            <wp:effectExtent l="0" t="0" r="4445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4_AnxA2 Adipogenesi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4740" cy="3259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A7E" w:rsidRDefault="00A65A7E" w:rsidP="00A65A7E">
      <w:pPr>
        <w:rPr>
          <w:sz w:val="24"/>
          <w:szCs w:val="24"/>
        </w:rPr>
      </w:pPr>
      <w:r w:rsidRPr="00F31A66">
        <w:rPr>
          <w:b/>
          <w:sz w:val="24"/>
          <w:szCs w:val="24"/>
        </w:rPr>
        <w:t xml:space="preserve">Supplementary Figure </w:t>
      </w:r>
      <w:r w:rsidR="00BB46FB">
        <w:rPr>
          <w:b/>
          <w:sz w:val="24"/>
          <w:szCs w:val="24"/>
        </w:rPr>
        <w:t>4</w:t>
      </w:r>
      <w:r w:rsidRPr="00F31A66">
        <w:rPr>
          <w:b/>
          <w:sz w:val="24"/>
          <w:szCs w:val="24"/>
        </w:rPr>
        <w:t>: Adipogenic conversion is blocked in A2-B6A/J muscle.</w:t>
      </w:r>
      <w:r>
        <w:rPr>
          <w:sz w:val="24"/>
          <w:szCs w:val="24"/>
        </w:rPr>
        <w:t xml:space="preserve"> (</w:t>
      </w:r>
      <w:r w:rsidRPr="0058261B">
        <w:rPr>
          <w:b/>
          <w:sz w:val="24"/>
          <w:szCs w:val="24"/>
        </w:rPr>
        <w:t>A</w:t>
      </w:r>
      <w:r>
        <w:rPr>
          <w:sz w:val="24"/>
          <w:szCs w:val="24"/>
        </w:rPr>
        <w:t>) Oil Red O and (</w:t>
      </w:r>
      <w:r w:rsidRPr="0058261B">
        <w:rPr>
          <w:b/>
          <w:sz w:val="24"/>
          <w:szCs w:val="24"/>
        </w:rPr>
        <w:t>B</w:t>
      </w:r>
      <w:r>
        <w:rPr>
          <w:sz w:val="24"/>
          <w:szCs w:val="24"/>
        </w:rPr>
        <w:t>) Perilipin-1 staining of quadriceps sections from 24Mo B6A/J and A2-B6A/J. Scales = 100µm. (</w:t>
      </w:r>
      <w:r w:rsidRPr="00DF4C63">
        <w:rPr>
          <w:b/>
          <w:sz w:val="24"/>
          <w:szCs w:val="24"/>
        </w:rPr>
        <w:t>C</w:t>
      </w:r>
      <w:r>
        <w:rPr>
          <w:sz w:val="24"/>
          <w:szCs w:val="24"/>
        </w:rPr>
        <w:t>) Oil Red O staining of B6A/J and A2-B6A/J FAPs after adipogenic induction. Scale = 50µm. (</w:t>
      </w:r>
      <w:r w:rsidRPr="00DF4C63">
        <w:rPr>
          <w:b/>
          <w:sz w:val="24"/>
          <w:szCs w:val="24"/>
        </w:rPr>
        <w:t>D</w:t>
      </w:r>
      <w:r>
        <w:rPr>
          <w:sz w:val="24"/>
          <w:szCs w:val="24"/>
        </w:rPr>
        <w:t>) Quantification of induced adipogenesis from 20,000 FAPs isolated from 24Mo B6A/J and A2-B6A/J. Data presented as mean ± SD.</w:t>
      </w:r>
    </w:p>
    <w:p w:rsidR="00A65A7E" w:rsidRDefault="00A65A7E" w:rsidP="00A65A7E">
      <w:pPr>
        <w:rPr>
          <w:sz w:val="24"/>
          <w:szCs w:val="24"/>
        </w:rPr>
      </w:pPr>
    </w:p>
    <w:p w:rsidR="00A65A7E" w:rsidRPr="0014325B" w:rsidRDefault="00A65A7E" w:rsidP="00A65A7E">
      <w:pPr>
        <w:rPr>
          <w:sz w:val="24"/>
          <w:szCs w:val="24"/>
        </w:rPr>
      </w:pPr>
    </w:p>
    <w:p w:rsidR="00A65A7E" w:rsidRDefault="00A65A7E" w:rsidP="00A65A7E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 wp14:anchorId="343B06B9" wp14:editId="577DACE4">
            <wp:extent cx="4295955" cy="4692452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5_Batimastat PDGFR and Fibrosi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3891" cy="470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A7E" w:rsidRDefault="00BB46FB" w:rsidP="00A65A7E">
      <w:pPr>
        <w:rPr>
          <w:sz w:val="24"/>
          <w:szCs w:val="24"/>
        </w:rPr>
      </w:pPr>
      <w:r>
        <w:rPr>
          <w:b/>
          <w:sz w:val="24"/>
          <w:szCs w:val="24"/>
        </w:rPr>
        <w:t>Supplementary Figure 5</w:t>
      </w:r>
      <w:r w:rsidR="00A65A7E">
        <w:rPr>
          <w:b/>
          <w:sz w:val="24"/>
          <w:szCs w:val="24"/>
        </w:rPr>
        <w:t xml:space="preserve">: </w:t>
      </w:r>
      <w:proofErr w:type="spellStart"/>
      <w:r w:rsidR="00A65A7E">
        <w:rPr>
          <w:b/>
          <w:sz w:val="24"/>
          <w:szCs w:val="24"/>
        </w:rPr>
        <w:t>Batimastat</w:t>
      </w:r>
      <w:proofErr w:type="spellEnd"/>
      <w:r w:rsidR="00A65A7E">
        <w:rPr>
          <w:b/>
          <w:sz w:val="24"/>
          <w:szCs w:val="24"/>
        </w:rPr>
        <w:t xml:space="preserve"> does not alter accumulation of FAPs or fibrotic deposition. </w:t>
      </w:r>
      <w:r w:rsidR="00A65A7E">
        <w:rPr>
          <w:sz w:val="24"/>
          <w:szCs w:val="24"/>
        </w:rPr>
        <w:t>(</w:t>
      </w:r>
      <w:r w:rsidR="00A65A7E" w:rsidRPr="00232EA8">
        <w:rPr>
          <w:b/>
          <w:sz w:val="24"/>
          <w:szCs w:val="24"/>
        </w:rPr>
        <w:t>A</w:t>
      </w:r>
      <w:r w:rsidR="00A65A7E">
        <w:rPr>
          <w:sz w:val="24"/>
          <w:szCs w:val="24"/>
        </w:rPr>
        <w:t xml:space="preserve">) </w:t>
      </w:r>
      <w:proofErr w:type="gramStart"/>
      <w:r w:rsidR="00A65A7E">
        <w:rPr>
          <w:sz w:val="24"/>
          <w:szCs w:val="24"/>
        </w:rPr>
        <w:t>PDGFRα labelling</w:t>
      </w:r>
      <w:proofErr w:type="gramEnd"/>
      <w:r w:rsidR="00A65A7E">
        <w:rPr>
          <w:sz w:val="24"/>
          <w:szCs w:val="24"/>
        </w:rPr>
        <w:t xml:space="preserve"> and (</w:t>
      </w:r>
      <w:r w:rsidR="00A65A7E" w:rsidRPr="00232EA8">
        <w:rPr>
          <w:b/>
          <w:sz w:val="24"/>
          <w:szCs w:val="24"/>
        </w:rPr>
        <w:t>B</w:t>
      </w:r>
      <w:r w:rsidR="00A65A7E">
        <w:rPr>
          <w:sz w:val="24"/>
          <w:szCs w:val="24"/>
        </w:rPr>
        <w:t>) quantification of PDGFRα area and (</w:t>
      </w:r>
      <w:r w:rsidR="00A65A7E" w:rsidRPr="00502919">
        <w:rPr>
          <w:b/>
          <w:sz w:val="24"/>
          <w:szCs w:val="24"/>
        </w:rPr>
        <w:t>C</w:t>
      </w:r>
      <w:r w:rsidR="00A65A7E">
        <w:rPr>
          <w:sz w:val="24"/>
          <w:szCs w:val="24"/>
        </w:rPr>
        <w:t>) myofiber central nucleation from 14Mo gastrocnemius sections following 10 weeks of batimastat treatment. Scale = 20µm.</w:t>
      </w:r>
      <w:r w:rsidR="00A65A7E">
        <w:rPr>
          <w:b/>
          <w:sz w:val="24"/>
          <w:szCs w:val="24"/>
        </w:rPr>
        <w:t xml:space="preserve"> </w:t>
      </w:r>
      <w:r w:rsidR="00A65A7E">
        <w:rPr>
          <w:sz w:val="24"/>
          <w:szCs w:val="24"/>
        </w:rPr>
        <w:t>(</w:t>
      </w:r>
      <w:r w:rsidR="00A65A7E">
        <w:rPr>
          <w:b/>
          <w:sz w:val="24"/>
          <w:szCs w:val="24"/>
        </w:rPr>
        <w:t>D</w:t>
      </w:r>
      <w:r w:rsidR="00A65A7E">
        <w:rPr>
          <w:sz w:val="24"/>
          <w:szCs w:val="24"/>
        </w:rPr>
        <w:t>) PDGFRα labelling and (</w:t>
      </w:r>
      <w:r w:rsidR="00A65A7E">
        <w:rPr>
          <w:b/>
          <w:sz w:val="24"/>
          <w:szCs w:val="24"/>
        </w:rPr>
        <w:t>E</w:t>
      </w:r>
      <w:r w:rsidR="00A65A7E">
        <w:rPr>
          <w:sz w:val="24"/>
          <w:szCs w:val="24"/>
        </w:rPr>
        <w:t xml:space="preserve">) quantification of PDGFRα area from 14Mo TA sections after 3 repeat </w:t>
      </w:r>
      <w:proofErr w:type="spellStart"/>
      <w:r w:rsidR="00A65A7E">
        <w:rPr>
          <w:sz w:val="24"/>
          <w:szCs w:val="24"/>
        </w:rPr>
        <w:t>notexin</w:t>
      </w:r>
      <w:proofErr w:type="spellEnd"/>
      <w:r w:rsidR="00A65A7E">
        <w:rPr>
          <w:sz w:val="24"/>
          <w:szCs w:val="24"/>
        </w:rPr>
        <w:t xml:space="preserve"> injuries and </w:t>
      </w:r>
      <w:proofErr w:type="spellStart"/>
      <w:r w:rsidR="00A65A7E">
        <w:rPr>
          <w:sz w:val="24"/>
          <w:szCs w:val="24"/>
        </w:rPr>
        <w:t>batimastat</w:t>
      </w:r>
      <w:proofErr w:type="spellEnd"/>
      <w:r w:rsidR="00A65A7E">
        <w:rPr>
          <w:sz w:val="24"/>
          <w:szCs w:val="24"/>
        </w:rPr>
        <w:t xml:space="preserve"> treatment. Scale = 20µm. (</w:t>
      </w:r>
      <w:r w:rsidR="00A65A7E" w:rsidRPr="00502919">
        <w:rPr>
          <w:b/>
          <w:sz w:val="24"/>
          <w:szCs w:val="24"/>
        </w:rPr>
        <w:t>F</w:t>
      </w:r>
      <w:r w:rsidR="00A65A7E">
        <w:rPr>
          <w:sz w:val="24"/>
          <w:szCs w:val="24"/>
        </w:rPr>
        <w:t>) Masson’s trichrome staining and (</w:t>
      </w:r>
      <w:r w:rsidR="00A65A7E" w:rsidRPr="00502919">
        <w:rPr>
          <w:b/>
          <w:sz w:val="24"/>
          <w:szCs w:val="24"/>
        </w:rPr>
        <w:t>G</w:t>
      </w:r>
      <w:r w:rsidR="00A65A7E">
        <w:rPr>
          <w:sz w:val="24"/>
          <w:szCs w:val="24"/>
        </w:rPr>
        <w:t>) quantification of fibrosis from 14Mo gastrocnemius sections following 10 weeks of batimastat treatment. Scale = 100µm. (</w:t>
      </w:r>
      <w:r w:rsidR="00A65A7E" w:rsidRPr="00502919">
        <w:rPr>
          <w:b/>
          <w:sz w:val="24"/>
          <w:szCs w:val="24"/>
        </w:rPr>
        <w:t>H</w:t>
      </w:r>
      <w:r w:rsidR="00A65A7E">
        <w:rPr>
          <w:sz w:val="24"/>
          <w:szCs w:val="24"/>
        </w:rPr>
        <w:t>) Masson’s trichrome staining and (</w:t>
      </w:r>
      <w:r w:rsidR="00A65A7E" w:rsidRPr="00502919">
        <w:rPr>
          <w:b/>
          <w:sz w:val="24"/>
          <w:szCs w:val="24"/>
        </w:rPr>
        <w:t>I</w:t>
      </w:r>
      <w:r w:rsidR="00A65A7E">
        <w:rPr>
          <w:sz w:val="24"/>
          <w:szCs w:val="24"/>
        </w:rPr>
        <w:t xml:space="preserve">) quantification of fibrosis area from 14Mo TA sections after 3 repeat </w:t>
      </w:r>
      <w:proofErr w:type="spellStart"/>
      <w:r w:rsidR="00A65A7E">
        <w:rPr>
          <w:sz w:val="24"/>
          <w:szCs w:val="24"/>
        </w:rPr>
        <w:t>notexin</w:t>
      </w:r>
      <w:proofErr w:type="spellEnd"/>
      <w:r w:rsidR="00A65A7E">
        <w:rPr>
          <w:sz w:val="24"/>
          <w:szCs w:val="24"/>
        </w:rPr>
        <w:t xml:space="preserve"> injuries and </w:t>
      </w:r>
      <w:proofErr w:type="spellStart"/>
      <w:r w:rsidR="00A65A7E">
        <w:rPr>
          <w:sz w:val="24"/>
          <w:szCs w:val="24"/>
        </w:rPr>
        <w:t>batimastat</w:t>
      </w:r>
      <w:proofErr w:type="spellEnd"/>
      <w:r w:rsidR="00A65A7E">
        <w:rPr>
          <w:sz w:val="24"/>
          <w:szCs w:val="24"/>
        </w:rPr>
        <w:t xml:space="preserve"> treatment. Scale = 100µm. All data displayed as mean ± SD.</w:t>
      </w:r>
    </w:p>
    <w:p w:rsidR="00BC31FF" w:rsidRPr="008D7A2D" w:rsidRDefault="00BC31FF" w:rsidP="00BC31FF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2CB54168" wp14:editId="409B0940">
            <wp:extent cx="5947258" cy="3728961"/>
            <wp:effectExtent l="0" t="0" r="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684" cy="3729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C31FF">
        <w:rPr>
          <w:b/>
          <w:sz w:val="24"/>
          <w:szCs w:val="24"/>
        </w:rPr>
        <w:t xml:space="preserve"> </w:t>
      </w:r>
      <w:r w:rsidRPr="0014325B">
        <w:rPr>
          <w:b/>
          <w:sz w:val="24"/>
          <w:szCs w:val="24"/>
        </w:rPr>
        <w:t xml:space="preserve">Supplementary Figure </w:t>
      </w:r>
      <w:r>
        <w:rPr>
          <w:b/>
          <w:sz w:val="24"/>
          <w:szCs w:val="24"/>
        </w:rPr>
        <w:t xml:space="preserve">6: Summary of FACS gating to enrich for FAPs. </w:t>
      </w:r>
      <w:r>
        <w:rPr>
          <w:sz w:val="24"/>
          <w:szCs w:val="24"/>
        </w:rPr>
        <w:t>(</w:t>
      </w:r>
      <w:r w:rsidRPr="008D7A2D">
        <w:rPr>
          <w:b/>
          <w:sz w:val="24"/>
          <w:szCs w:val="24"/>
        </w:rPr>
        <w:t>A</w:t>
      </w:r>
      <w:r>
        <w:rPr>
          <w:sz w:val="24"/>
          <w:szCs w:val="24"/>
        </w:rPr>
        <w:t xml:space="preserve">) </w:t>
      </w:r>
      <w:r w:rsidRPr="0078654E">
        <w:rPr>
          <w:sz w:val="24"/>
          <w:szCs w:val="24"/>
        </w:rPr>
        <w:t>Cells were first gated on size by Forward Scatter (FSC) by Side Scatter (SSC)</w:t>
      </w:r>
      <w:r>
        <w:rPr>
          <w:sz w:val="24"/>
          <w:szCs w:val="24"/>
        </w:rPr>
        <w:t xml:space="preserve"> to exclude dead cells and debris. (</w:t>
      </w:r>
      <w:r w:rsidRPr="008D7A2D">
        <w:rPr>
          <w:b/>
          <w:sz w:val="24"/>
          <w:szCs w:val="24"/>
        </w:rPr>
        <w:t>B</w:t>
      </w:r>
      <w:r>
        <w:rPr>
          <w:sz w:val="24"/>
          <w:szCs w:val="24"/>
        </w:rPr>
        <w:t xml:space="preserve">) </w:t>
      </w:r>
      <w:r w:rsidRPr="0078654E">
        <w:rPr>
          <w:sz w:val="24"/>
          <w:szCs w:val="24"/>
        </w:rPr>
        <w:t>Next, singlets were selected by gating on Forward Scatter (FSC) by the trigger pulse width</w:t>
      </w:r>
      <w:r>
        <w:rPr>
          <w:sz w:val="24"/>
          <w:szCs w:val="24"/>
        </w:rPr>
        <w:t>. (</w:t>
      </w:r>
      <w:r w:rsidRPr="008D7A2D">
        <w:rPr>
          <w:b/>
          <w:sz w:val="24"/>
          <w:szCs w:val="24"/>
        </w:rPr>
        <w:t>C</w:t>
      </w:r>
      <w:r>
        <w:rPr>
          <w:sz w:val="24"/>
          <w:szCs w:val="24"/>
        </w:rPr>
        <w:t xml:space="preserve">) FAPs were identified using anti-PDGFRα conjugated to APC and FITC cell </w:t>
      </w:r>
      <w:proofErr w:type="spellStart"/>
      <w:r>
        <w:rPr>
          <w:sz w:val="24"/>
          <w:szCs w:val="24"/>
        </w:rPr>
        <w:t>autofluorescence</w:t>
      </w:r>
      <w:proofErr w:type="spellEnd"/>
      <w:r>
        <w:rPr>
          <w:sz w:val="24"/>
          <w:szCs w:val="24"/>
        </w:rPr>
        <w:t>. Positive staining was confirmed by the absence of this APC-labelled population in (</w:t>
      </w:r>
      <w:r w:rsidRPr="008D7A2D">
        <w:rPr>
          <w:b/>
          <w:sz w:val="24"/>
          <w:szCs w:val="24"/>
        </w:rPr>
        <w:t>D</w:t>
      </w:r>
      <w:r>
        <w:rPr>
          <w:sz w:val="24"/>
          <w:szCs w:val="24"/>
        </w:rPr>
        <w:t>) unstained and (</w:t>
      </w:r>
      <w:r w:rsidRPr="008D7A2D">
        <w:rPr>
          <w:b/>
          <w:sz w:val="24"/>
          <w:szCs w:val="24"/>
        </w:rPr>
        <w:t>E</w:t>
      </w:r>
      <w:r>
        <w:rPr>
          <w:sz w:val="24"/>
          <w:szCs w:val="24"/>
        </w:rPr>
        <w:t>) isotype controls. (</w:t>
      </w:r>
      <w:r w:rsidRPr="00B36216">
        <w:rPr>
          <w:b/>
          <w:sz w:val="24"/>
          <w:szCs w:val="24"/>
        </w:rPr>
        <w:t>F</w:t>
      </w:r>
      <w:r>
        <w:rPr>
          <w:sz w:val="24"/>
          <w:szCs w:val="24"/>
        </w:rPr>
        <w:t xml:space="preserve">) PDGFRα-labelled FAPs made up 13% of the total cell suspension obtained from 12Mo B6A/J muscle. Cells negative for anti-PDGFRα were also collected to serve as controls for </w:t>
      </w:r>
      <w:r>
        <w:rPr>
          <w:i/>
          <w:sz w:val="24"/>
          <w:szCs w:val="24"/>
        </w:rPr>
        <w:t xml:space="preserve">in vitro </w:t>
      </w:r>
      <w:r>
        <w:rPr>
          <w:sz w:val="24"/>
          <w:szCs w:val="24"/>
        </w:rPr>
        <w:t>experiments.</w:t>
      </w:r>
    </w:p>
    <w:p w:rsidR="00BB46FB" w:rsidRDefault="00BB46FB" w:rsidP="00A65A7E">
      <w:pPr>
        <w:rPr>
          <w:sz w:val="24"/>
          <w:szCs w:val="24"/>
        </w:rPr>
      </w:pPr>
      <w:bookmarkStart w:id="0" w:name="_GoBack"/>
      <w:bookmarkEnd w:id="0"/>
    </w:p>
    <w:p w:rsidR="009D62E6" w:rsidRDefault="00A65A7E" w:rsidP="00A65A7E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 wp14:anchorId="2B7C5D2C" wp14:editId="5D0F2D56">
            <wp:extent cx="5943600" cy="71088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6-DotPlots from Fig. 1-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0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A7E" w:rsidRDefault="00F20B4D" w:rsidP="00A65A7E">
      <w:pPr>
        <w:rPr>
          <w:sz w:val="24"/>
          <w:szCs w:val="24"/>
        </w:rPr>
      </w:pPr>
      <w:r>
        <w:rPr>
          <w:b/>
          <w:sz w:val="24"/>
          <w:szCs w:val="24"/>
        </w:rPr>
        <w:t>Supplementary Figure 7</w:t>
      </w:r>
      <w:r w:rsidR="00A65A7E" w:rsidRPr="0073271A">
        <w:rPr>
          <w:b/>
          <w:sz w:val="24"/>
          <w:szCs w:val="24"/>
        </w:rPr>
        <w:t>: Illustration of data distribution.</w:t>
      </w:r>
      <w:r w:rsidR="00A65A7E">
        <w:rPr>
          <w:sz w:val="24"/>
          <w:szCs w:val="24"/>
        </w:rPr>
        <w:t xml:space="preserve"> Dot plots corresponding to the bar graphs presented in the manuscript. The figure panel labels here correspond to the bar graph presented in the main figures 1 through 5.</w:t>
      </w:r>
    </w:p>
    <w:p w:rsidR="00A65A7E" w:rsidRDefault="00A65A7E" w:rsidP="00A65A7E">
      <w:pPr>
        <w:rPr>
          <w:sz w:val="24"/>
          <w:szCs w:val="24"/>
        </w:rPr>
      </w:pPr>
    </w:p>
    <w:p w:rsidR="009D62E6" w:rsidRDefault="00BB46FB" w:rsidP="00A65A7E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5943600" cy="4208780"/>
            <wp:effectExtent l="0" t="0" r="0" b="127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7_DotPlots 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A7E" w:rsidRDefault="00F20B4D" w:rsidP="00A65A7E">
      <w:pPr>
        <w:rPr>
          <w:sz w:val="24"/>
          <w:szCs w:val="24"/>
        </w:rPr>
      </w:pPr>
      <w:r>
        <w:rPr>
          <w:b/>
          <w:sz w:val="24"/>
          <w:szCs w:val="24"/>
        </w:rPr>
        <w:t>Supplementary Figure 8</w:t>
      </w:r>
      <w:r w:rsidR="00A65A7E" w:rsidRPr="0073271A">
        <w:rPr>
          <w:b/>
          <w:sz w:val="24"/>
          <w:szCs w:val="24"/>
        </w:rPr>
        <w:t>: Illustration of data distribution.</w:t>
      </w:r>
      <w:r w:rsidR="00A65A7E">
        <w:rPr>
          <w:sz w:val="24"/>
          <w:szCs w:val="24"/>
        </w:rPr>
        <w:t xml:space="preserve"> Dot plots corresponding to the bar graphs presented in the manuscript. The figure panel labels here correspond to the bar graph presented in the main figures 6, 7 and supplementary figures.</w:t>
      </w:r>
    </w:p>
    <w:p w:rsidR="00067FCE" w:rsidRDefault="00067FCE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65A7E" w:rsidRPr="00232EA8" w:rsidRDefault="00A65A7E" w:rsidP="00A65A7E">
      <w:pPr>
        <w:rPr>
          <w:sz w:val="24"/>
          <w:szCs w:val="24"/>
        </w:rPr>
      </w:pPr>
    </w:p>
    <w:p w:rsidR="00A65A7E" w:rsidRPr="00232EA8" w:rsidRDefault="00A65A7E" w:rsidP="00A65A7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BAED53A" wp14:editId="1D36CB8B">
            <wp:extent cx="5455920" cy="2435352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 S1_Patient Description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5920" cy="2435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DAE" w:rsidRDefault="00A65A7E" w:rsidP="00A65A7E">
      <w:r w:rsidRPr="0014325B">
        <w:rPr>
          <w:b/>
          <w:sz w:val="24"/>
          <w:szCs w:val="24"/>
        </w:rPr>
        <w:t>Supplementary Table 1: Summary of LGMD2B patient biopsies included for analysis.</w:t>
      </w:r>
    </w:p>
    <w:sectPr w:rsidR="00B26D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A7E"/>
    <w:rsid w:val="00000525"/>
    <w:rsid w:val="00067FCE"/>
    <w:rsid w:val="00154AA9"/>
    <w:rsid w:val="00232849"/>
    <w:rsid w:val="0033628C"/>
    <w:rsid w:val="00527B6C"/>
    <w:rsid w:val="00794746"/>
    <w:rsid w:val="007D24DF"/>
    <w:rsid w:val="009533A9"/>
    <w:rsid w:val="009D62E6"/>
    <w:rsid w:val="00A65A7E"/>
    <w:rsid w:val="00B36216"/>
    <w:rsid w:val="00BB46FB"/>
    <w:rsid w:val="00BC31FF"/>
    <w:rsid w:val="00C3623D"/>
    <w:rsid w:val="00DA76DE"/>
    <w:rsid w:val="00F2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A7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5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A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A7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5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9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National Medical Center</Company>
  <LinksUpToDate>false</LinksUpToDate>
  <CharactersWithSpaces>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Marshall Hogarth</dc:creator>
  <cp:lastModifiedBy>Marshall Hogarth</cp:lastModifiedBy>
  <cp:revision>8</cp:revision>
  <dcterms:created xsi:type="dcterms:W3CDTF">2019-04-03T22:17:00Z</dcterms:created>
  <dcterms:modified xsi:type="dcterms:W3CDTF">2019-04-10T18:58:00Z</dcterms:modified>
</cp:coreProperties>
</file>