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7A7" w:rsidRDefault="005F17A7">
      <w:pPr>
        <w:rPr>
          <w:rFonts w:ascii="Calibri" w:eastAsia="Calibri" w:hAnsi="Calibri" w:cs="Calibri"/>
          <w:b/>
          <w:sz w:val="20"/>
          <w:szCs w:val="20"/>
          <w:highlight w:val="white"/>
        </w:rPr>
      </w:pPr>
    </w:p>
    <w:p w:rsidR="005F17A7" w:rsidRDefault="005F17A7">
      <w:pPr>
        <w:rPr>
          <w:rFonts w:ascii="Calibri" w:eastAsia="Calibri" w:hAnsi="Calibri" w:cs="Calibri"/>
          <w:b/>
          <w:sz w:val="20"/>
          <w:szCs w:val="20"/>
          <w:highlight w:val="white"/>
        </w:rPr>
      </w:pPr>
    </w:p>
    <w:p w:rsidR="005F17A7" w:rsidRDefault="005F17A7">
      <w:pPr>
        <w:rPr>
          <w:rFonts w:ascii="Calibri" w:eastAsia="Calibri" w:hAnsi="Calibri" w:cs="Calibri"/>
          <w:b/>
          <w:sz w:val="20"/>
          <w:szCs w:val="20"/>
          <w:highlight w:val="white"/>
        </w:rPr>
      </w:pPr>
    </w:p>
    <w:p w:rsidR="005F17A7" w:rsidRDefault="005F17A7">
      <w:pPr>
        <w:rPr>
          <w:rFonts w:ascii="Calibri" w:eastAsia="Calibri" w:hAnsi="Calibri" w:cs="Calibri"/>
          <w:b/>
          <w:sz w:val="20"/>
          <w:szCs w:val="20"/>
          <w:highlight w:val="white"/>
        </w:rPr>
      </w:pPr>
    </w:p>
    <w:p w:rsidR="005F17A7" w:rsidRDefault="005F17A7">
      <w:pPr>
        <w:rPr>
          <w:rFonts w:ascii="Calibri" w:eastAsia="Calibri" w:hAnsi="Calibri" w:cs="Calibri"/>
          <w:b/>
          <w:sz w:val="20"/>
          <w:szCs w:val="20"/>
          <w:highlight w:val="white"/>
        </w:rPr>
      </w:pPr>
    </w:p>
    <w:p w:rsidR="005F17A7" w:rsidRDefault="005F17A7">
      <w:pPr>
        <w:rPr>
          <w:rFonts w:ascii="Calibri" w:eastAsia="Calibri" w:hAnsi="Calibri" w:cs="Calibri"/>
          <w:b/>
          <w:sz w:val="20"/>
          <w:szCs w:val="20"/>
          <w:highlight w:val="white"/>
        </w:rPr>
      </w:pPr>
    </w:p>
    <w:p w:rsidR="005F17A7" w:rsidRDefault="005F17A7">
      <w:pPr>
        <w:rPr>
          <w:rFonts w:ascii="Calibri" w:eastAsia="Calibri" w:hAnsi="Calibri" w:cs="Calibri"/>
          <w:b/>
          <w:sz w:val="20"/>
          <w:szCs w:val="20"/>
          <w:highlight w:val="white"/>
        </w:rPr>
      </w:pPr>
    </w:p>
    <w:p w:rsidR="005F17A7" w:rsidRDefault="005F17A7">
      <w:pPr>
        <w:rPr>
          <w:rFonts w:ascii="Calibri" w:eastAsia="Calibri" w:hAnsi="Calibri" w:cs="Calibri"/>
          <w:b/>
          <w:sz w:val="20"/>
          <w:szCs w:val="20"/>
          <w:highlight w:val="white"/>
        </w:rPr>
      </w:pPr>
    </w:p>
    <w:p w:rsidR="005F17A7" w:rsidRDefault="005F17A7">
      <w:pPr>
        <w:rPr>
          <w:rFonts w:ascii="Calibri" w:eastAsia="Calibri" w:hAnsi="Calibri" w:cs="Calibri"/>
          <w:b/>
          <w:sz w:val="20"/>
          <w:szCs w:val="20"/>
          <w:highlight w:val="white"/>
        </w:rPr>
      </w:pPr>
    </w:p>
    <w:p w:rsidR="005F17A7" w:rsidRDefault="005F17A7">
      <w:pPr>
        <w:rPr>
          <w:rFonts w:ascii="Calibri" w:eastAsia="Calibri" w:hAnsi="Calibri" w:cs="Calibri"/>
          <w:b/>
          <w:sz w:val="20"/>
          <w:szCs w:val="20"/>
          <w:highlight w:val="white"/>
        </w:rPr>
      </w:pPr>
    </w:p>
    <w:p w:rsidR="005F17A7" w:rsidRDefault="005F17A7">
      <w:pPr>
        <w:rPr>
          <w:rFonts w:ascii="Calibri" w:eastAsia="Calibri" w:hAnsi="Calibri" w:cs="Calibri"/>
          <w:b/>
          <w:sz w:val="20"/>
          <w:szCs w:val="20"/>
          <w:highlight w:val="white"/>
        </w:rPr>
      </w:pPr>
    </w:p>
    <w:p w:rsidR="005F17A7" w:rsidRDefault="005F17A7">
      <w:pPr>
        <w:rPr>
          <w:rFonts w:ascii="Calibri" w:eastAsia="Calibri" w:hAnsi="Calibri" w:cs="Calibri"/>
          <w:b/>
          <w:sz w:val="20"/>
          <w:szCs w:val="20"/>
          <w:highlight w:val="white"/>
        </w:rPr>
      </w:pPr>
    </w:p>
    <w:p w:rsidR="005F17A7" w:rsidRDefault="005F17A7">
      <w:pPr>
        <w:rPr>
          <w:rFonts w:ascii="Calibri" w:eastAsia="Calibri" w:hAnsi="Calibri" w:cs="Calibri"/>
          <w:b/>
          <w:sz w:val="20"/>
          <w:szCs w:val="20"/>
          <w:highlight w:val="white"/>
        </w:rPr>
      </w:pPr>
    </w:p>
    <w:p w:rsidR="005F17A7" w:rsidRDefault="00C90C17">
      <w:pPr>
        <w:rPr>
          <w:rFonts w:ascii="Calibri" w:eastAsia="Calibri" w:hAnsi="Calibri" w:cs="Calibri"/>
          <w:b/>
          <w:sz w:val="20"/>
          <w:szCs w:val="20"/>
          <w:highlight w:val="white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b/>
          <w:sz w:val="20"/>
          <w:szCs w:val="20"/>
          <w:highlight w:val="white"/>
        </w:rPr>
        <w:t xml:space="preserve">Pathologic gene network rewiring implicates PPP1R3A as a central regulator in pressure-overload heart failure </w:t>
      </w:r>
    </w:p>
    <w:p w:rsidR="005F17A7" w:rsidRDefault="00C90C17">
      <w:pPr>
        <w:pStyle w:val="Title"/>
        <w:spacing w:line="360" w:lineRule="auto"/>
        <w:rPr>
          <w:rFonts w:ascii="Calibri" w:eastAsia="Calibri" w:hAnsi="Calibri" w:cs="Calibri"/>
          <w:i/>
          <w:sz w:val="20"/>
          <w:szCs w:val="20"/>
          <w:highlight w:val="white"/>
        </w:rPr>
      </w:pPr>
      <w:bookmarkStart w:id="1" w:name="_30j0zll" w:colFirst="0" w:colLast="0"/>
      <w:bookmarkEnd w:id="1"/>
      <w:r>
        <w:rPr>
          <w:rFonts w:ascii="Calibri" w:eastAsia="Calibri" w:hAnsi="Calibri" w:cs="Calibri"/>
          <w:i/>
          <w:sz w:val="20"/>
          <w:szCs w:val="20"/>
          <w:highlight w:val="white"/>
        </w:rPr>
        <w:t>Cordero et al.</w:t>
      </w:r>
    </w:p>
    <w:p w:rsidR="005F17A7" w:rsidRDefault="00C90C17">
      <w:pPr>
        <w:pStyle w:val="Title"/>
        <w:spacing w:line="360" w:lineRule="auto"/>
        <w:jc w:val="center"/>
        <w:rPr>
          <w:rFonts w:ascii="Calibri" w:eastAsia="Calibri" w:hAnsi="Calibri" w:cs="Calibri"/>
          <w:sz w:val="36"/>
          <w:szCs w:val="36"/>
        </w:rPr>
      </w:pPr>
      <w:bookmarkStart w:id="2" w:name="_1fob9te" w:colFirst="0" w:colLast="0"/>
      <w:bookmarkEnd w:id="2"/>
      <w:r>
        <w:rPr>
          <w:rFonts w:ascii="Calibri" w:eastAsia="Calibri" w:hAnsi="Calibri" w:cs="Calibri"/>
          <w:sz w:val="36"/>
          <w:szCs w:val="36"/>
        </w:rPr>
        <w:t>Supplementary Information</w:t>
      </w:r>
    </w:p>
    <w:p w:rsidR="005F17A7" w:rsidRDefault="005F17A7"/>
    <w:p w:rsidR="005F17A7" w:rsidRDefault="005F17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480" w:lineRule="auto"/>
        <w:ind w:left="440" w:hanging="440"/>
        <w:rPr>
          <w:rFonts w:ascii="Calibri" w:eastAsia="Calibri" w:hAnsi="Calibri" w:cs="Calibri"/>
        </w:rPr>
      </w:pPr>
      <w:bookmarkStart w:id="3" w:name="_3znysh7" w:colFirst="0" w:colLast="0"/>
      <w:bookmarkEnd w:id="3"/>
    </w:p>
    <w:p w:rsidR="005F17A7" w:rsidRDefault="005F17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480" w:lineRule="auto"/>
        <w:ind w:left="440" w:hanging="440"/>
        <w:rPr>
          <w:rFonts w:ascii="Calibri" w:eastAsia="Calibri" w:hAnsi="Calibri" w:cs="Calibri"/>
        </w:rPr>
      </w:pPr>
    </w:p>
    <w:p w:rsidR="005F17A7" w:rsidRDefault="00C90C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480" w:lineRule="auto"/>
        <w:rPr>
          <w:rFonts w:ascii="Calibri" w:eastAsia="Calibri" w:hAnsi="Calibri" w:cs="Calibri"/>
        </w:rPr>
      </w:pPr>
      <w:r>
        <w:br w:type="page"/>
      </w:r>
    </w:p>
    <w:p w:rsidR="005F17A7" w:rsidRDefault="00C90C17">
      <w:pPr>
        <w:pStyle w:val="Heading2"/>
        <w:widowControl w:val="0"/>
        <w:spacing w:after="220"/>
        <w:rPr>
          <w:rFonts w:ascii="Calibri" w:eastAsia="Calibri" w:hAnsi="Calibri" w:cs="Calibri"/>
          <w:b/>
        </w:rPr>
      </w:pPr>
      <w:bookmarkStart w:id="4" w:name="_2et92p0" w:colFirst="0" w:colLast="0"/>
      <w:bookmarkEnd w:id="4"/>
      <w:r>
        <w:rPr>
          <w:rFonts w:ascii="Calibri" w:eastAsia="Calibri" w:hAnsi="Calibri" w:cs="Calibri"/>
          <w:b/>
        </w:rPr>
        <w:lastRenderedPageBreak/>
        <w:t>Supplementary Tables</w:t>
      </w:r>
    </w:p>
    <w:p w:rsidR="005F17A7" w:rsidRDefault="005F17A7">
      <w:pPr>
        <w:widowControl w:val="0"/>
        <w:spacing w:after="220"/>
        <w:ind w:left="440"/>
        <w:rPr>
          <w:rFonts w:ascii="Calibri" w:eastAsia="Calibri" w:hAnsi="Calibri" w:cs="Calibri"/>
        </w:rPr>
      </w:pPr>
    </w:p>
    <w:tbl>
      <w:tblPr>
        <w:tblStyle w:val="a"/>
        <w:tblW w:w="96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85"/>
        <w:gridCol w:w="1287"/>
        <w:gridCol w:w="765"/>
        <w:gridCol w:w="495"/>
        <w:gridCol w:w="945"/>
        <w:gridCol w:w="535"/>
        <w:gridCol w:w="780"/>
        <w:gridCol w:w="1950"/>
      </w:tblGrid>
      <w:tr w:rsidR="005F17A7">
        <w:trPr>
          <w:trHeight w:val="20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5F17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HF </w:t>
            </w:r>
          </w:p>
        </w:tc>
        <w:tc>
          <w:tcPr>
            <w:tcW w:w="2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Control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OR [CI], p</w:t>
            </w:r>
          </w:p>
        </w:tc>
      </w:tr>
      <w:tr w:rsidR="005F17A7">
        <w:trPr>
          <w:trHeight w:val="20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5F17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1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Yes</w:t>
            </w: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</w:t>
            </w: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%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Yes</w:t>
            </w:r>
          </w:p>
        </w:tc>
        <w:tc>
          <w:tcPr>
            <w:tcW w:w="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%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5F17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5F17A7">
        <w:trPr>
          <w:trHeight w:val="20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Age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55.8 +/- 0.8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177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49.3 +/- 1.3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136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&lt;0.0001</w:t>
            </w:r>
          </w:p>
        </w:tc>
      </w:tr>
      <w:tr w:rsidR="005F17A7">
        <w:trPr>
          <w:trHeight w:val="20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Gender (male)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145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177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82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136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3.9 [2.3,6.7],&lt;0.0001</w:t>
            </w:r>
          </w:p>
        </w:tc>
      </w:tr>
      <w:tr w:rsidR="005F17A7">
        <w:trPr>
          <w:trHeight w:val="20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Weight (kg)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82.7+/- 15.4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175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79.0+/-25.9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134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0.11</w:t>
            </w:r>
          </w:p>
        </w:tc>
      </w:tr>
      <w:tr w:rsidR="005F17A7">
        <w:trPr>
          <w:trHeight w:val="20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Diabetes</w:t>
            </w:r>
          </w:p>
        </w:tc>
        <w:tc>
          <w:tcPr>
            <w:tcW w:w="1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177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134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2.5,[1.3,4.9], 0.003</w:t>
            </w:r>
          </w:p>
        </w:tc>
      </w:tr>
      <w:tr w:rsidR="005F17A7">
        <w:trPr>
          <w:trHeight w:val="20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IDDM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2.7 [0.7,15.5], 0.12</w:t>
            </w:r>
          </w:p>
        </w:tc>
      </w:tr>
      <w:tr w:rsidR="005F17A7">
        <w:trPr>
          <w:trHeight w:val="20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HTN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174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134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1.0 [0.61 ,1.6] 0.99</w:t>
            </w:r>
          </w:p>
        </w:tc>
      </w:tr>
      <w:tr w:rsidR="005F17A7">
        <w:trPr>
          <w:trHeight w:val="20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SCD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F17A7">
        <w:trPr>
          <w:trHeight w:val="20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ICD shock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69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F17A7">
        <w:trPr>
          <w:trHeight w:val="20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AF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176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F17A7">
        <w:trPr>
          <w:trHeight w:val="20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VT/VF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177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F17A7">
        <w:trPr>
          <w:trHeight w:val="20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Sustained VT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69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F17A7">
        <w:trPr>
          <w:trHeight w:val="20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ACE-Inhibitor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126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177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6.7, [3.4, 13.4], &lt;0.0001</w:t>
            </w:r>
          </w:p>
        </w:tc>
      </w:tr>
      <w:tr w:rsidR="005F17A7">
        <w:trPr>
          <w:trHeight w:val="20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Angiotensin Receptor Blocker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57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177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6.2 [2.1, 24.5], 0.0002</w:t>
            </w:r>
          </w:p>
        </w:tc>
      </w:tr>
      <w:tr w:rsidR="005F17A7">
        <w:trPr>
          <w:trHeight w:val="20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Beta-Blocker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177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2.6, [1.3,5.1], 0.002</w:t>
            </w:r>
          </w:p>
        </w:tc>
      </w:tr>
      <w:tr w:rsidR="005F17A7">
        <w:trPr>
          <w:trHeight w:val="20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Aldosterone Antagonist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69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F17A7">
        <w:trPr>
          <w:trHeight w:val="20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Milrinone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86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169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F17A7">
        <w:trPr>
          <w:trHeight w:val="20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Dopamine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69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F17A7">
        <w:trPr>
          <w:trHeight w:val="20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Dobutamine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159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F17A7">
        <w:trPr>
          <w:trHeight w:val="20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Digoxin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177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F17A7">
        <w:trPr>
          <w:trHeight w:val="20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Diuretics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126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177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F17A7">
        <w:trPr>
          <w:trHeight w:val="20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Hydralazine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177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F17A7">
        <w:trPr>
          <w:trHeight w:val="20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Nitrates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177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F17A7">
        <w:trPr>
          <w:trHeight w:val="20"/>
        </w:trPr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CABG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177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7A7" w:rsidRDefault="00C9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5F17A7" w:rsidRDefault="00C90C17">
      <w:pPr>
        <w:widowControl w:val="0"/>
        <w:spacing w:after="2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Supplementary Table 1. Clinical characteristics of MAGNet Patients included in study. </w:t>
      </w:r>
      <w:r>
        <w:rPr>
          <w:rFonts w:ascii="Calibri" w:eastAsia="Calibri" w:hAnsi="Calibri" w:cs="Calibri"/>
        </w:rPr>
        <w:t xml:space="preserve">N represents number of subjects for whom data was available (of 177 HF and 136 Control). IDDM: History of insulin use. HTN: History of hypertension. SCD: History of sudden cardiac death/arrest, ICD: Implantable cardiac defibrillator. AF: history of atrial </w:t>
      </w:r>
      <w:r>
        <w:rPr>
          <w:rFonts w:ascii="Calibri" w:eastAsia="Calibri" w:hAnsi="Calibri" w:cs="Calibri"/>
        </w:rPr>
        <w:t xml:space="preserve">fibrillation. VT/VF: History of documented ventricular tachycardia or ventricular fibrillation. CABG: history of coronary artery bypass grafting. Medication classes indicate any history of patient taking these medications by chart review. </w:t>
      </w:r>
    </w:p>
    <w:p w:rsidR="005F17A7" w:rsidRDefault="005F17A7">
      <w:pPr>
        <w:widowControl w:val="0"/>
        <w:spacing w:after="220"/>
        <w:rPr>
          <w:rFonts w:ascii="Calibri" w:eastAsia="Calibri" w:hAnsi="Calibri" w:cs="Calibri"/>
        </w:rPr>
      </w:pPr>
    </w:p>
    <w:p w:rsidR="005F17A7" w:rsidRDefault="00C90C17">
      <w:pPr>
        <w:rPr>
          <w:color w:val="212121"/>
          <w:sz w:val="23"/>
          <w:szCs w:val="23"/>
          <w:highlight w:val="white"/>
        </w:rPr>
      </w:pPr>
      <w:r>
        <w:rPr>
          <w:noProof/>
          <w:color w:val="212121"/>
          <w:sz w:val="23"/>
          <w:szCs w:val="23"/>
          <w:highlight w:val="white"/>
          <w:lang w:val="en-US"/>
        </w:rPr>
        <w:drawing>
          <wp:inline distT="114300" distB="114300" distL="114300" distR="114300">
            <wp:extent cx="6057900" cy="1739900"/>
            <wp:effectExtent l="0" t="0" r="0" b="0"/>
            <wp:docPr id="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739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F17A7" w:rsidRDefault="00C90C1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Supplementary Table 2.  Comparison between eQTL overlap between GTEx versions. </w:t>
      </w:r>
      <w:r>
        <w:rPr>
          <w:rFonts w:ascii="Calibri" w:eastAsia="Calibri" w:hAnsi="Calibri" w:cs="Calibri"/>
        </w:rPr>
        <w:t>While the analysis was conducted on GTEx v6p, we also compared the overlap against v7. Unlike previous releases of GTEx that genotyped using Illumina's OMNI 5M + imputation to 1</w:t>
      </w:r>
      <w:r>
        <w:rPr>
          <w:rFonts w:ascii="Calibri" w:eastAsia="Calibri" w:hAnsi="Calibri" w:cs="Calibri"/>
        </w:rPr>
        <w:t xml:space="preserve">000 Genomes Project Phase, v7 used whole genome sequencing, which should yield more accurate results. We overlapped the eQTLs that we derived with eQTLs from various heart-related tissues in GTEx. The number of eQTLs that overlapped increased by about 102 </w:t>
      </w:r>
      <w:r>
        <w:rPr>
          <w:rFonts w:ascii="Calibri" w:eastAsia="Calibri" w:hAnsi="Calibri" w:cs="Calibri"/>
        </w:rPr>
        <w:t>for the cases (HF) and 44 for controls between v6p and v7.</w:t>
      </w:r>
    </w:p>
    <w:p w:rsidR="005F17A7" w:rsidRPr="00F808D2" w:rsidRDefault="00C90C17">
      <w:pPr>
        <w:pStyle w:val="Heading2"/>
        <w:widowControl w:val="0"/>
        <w:spacing w:after="220"/>
        <w:ind w:left="440"/>
        <w:rPr>
          <w:rFonts w:ascii="Calibri" w:eastAsia="Calibri" w:hAnsi="Calibri" w:cs="Calibri"/>
          <w:b/>
        </w:rPr>
      </w:pPr>
      <w:bookmarkStart w:id="5" w:name="_tyjcwt" w:colFirst="0" w:colLast="0"/>
      <w:bookmarkEnd w:id="5"/>
      <w:r w:rsidRPr="00F808D2">
        <w:rPr>
          <w:rFonts w:ascii="Calibri" w:eastAsia="Calibri" w:hAnsi="Calibri" w:cs="Calibri"/>
          <w:b/>
        </w:rPr>
        <w:lastRenderedPageBreak/>
        <w:t>Supplementary Figures</w:t>
      </w:r>
    </w:p>
    <w:p w:rsidR="005F17A7" w:rsidRDefault="00C90C17">
      <w:r>
        <w:rPr>
          <w:noProof/>
          <w:lang w:val="en-US"/>
        </w:rPr>
        <w:drawing>
          <wp:inline distT="114300" distB="114300" distL="114300" distR="114300">
            <wp:extent cx="6057900" cy="6210300"/>
            <wp:effectExtent l="0" t="0" r="0" b="0"/>
            <wp:docPr id="3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6210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F17A7" w:rsidRDefault="005F17A7">
      <w:pPr>
        <w:rPr>
          <w:rFonts w:ascii="Calibri" w:eastAsia="Calibri" w:hAnsi="Calibri" w:cs="Calibri"/>
        </w:rPr>
      </w:pPr>
    </w:p>
    <w:p w:rsidR="005F17A7" w:rsidRDefault="00C90C17">
      <w:pPr>
        <w:rPr>
          <w:rFonts w:ascii="Calibri" w:eastAsia="Calibri" w:hAnsi="Calibri" w:cs="Calibri"/>
          <w:color w:val="212121"/>
          <w:highlight w:val="white"/>
        </w:rPr>
      </w:pPr>
      <w:r>
        <w:rPr>
          <w:rFonts w:ascii="Calibri" w:eastAsia="Calibri" w:hAnsi="Calibri" w:cs="Calibri"/>
          <w:b/>
        </w:rPr>
        <w:t>Supplementary Figure 1:</w:t>
      </w:r>
      <w:r>
        <w:rPr>
          <w:rFonts w:ascii="Calibri" w:eastAsia="Calibri" w:hAnsi="Calibri" w:cs="Calibri"/>
        </w:rPr>
        <w:t xml:space="preserve"> Principal Component Analysis showing lack of segregation of potential clinical confounders with components of gene expression. </w:t>
      </w:r>
      <w:r>
        <w:rPr>
          <w:rFonts w:ascii="Calibri" w:eastAsia="Calibri" w:hAnsi="Calibri" w:cs="Calibri"/>
          <w:color w:val="212121"/>
          <w:highlight w:val="white"/>
        </w:rPr>
        <w:t xml:space="preserve">Patients are labeled </w:t>
      </w:r>
      <w:r>
        <w:rPr>
          <w:rFonts w:ascii="Calibri" w:eastAsia="Calibri" w:hAnsi="Calibri" w:cs="Calibri"/>
          <w:color w:val="212121"/>
          <w:highlight w:val="white"/>
        </w:rPr>
        <w:t xml:space="preserve">using covariates and comorbidities plotted before and after batch correction on the first two principal components. </w:t>
      </w:r>
    </w:p>
    <w:p w:rsidR="005F17A7" w:rsidRDefault="005F17A7">
      <w:pPr>
        <w:rPr>
          <w:rFonts w:ascii="Calibri" w:eastAsia="Calibri" w:hAnsi="Calibri" w:cs="Calibri"/>
          <w:color w:val="212121"/>
          <w:highlight w:val="white"/>
        </w:rPr>
      </w:pPr>
    </w:p>
    <w:p w:rsidR="005F17A7" w:rsidRDefault="005F17A7">
      <w:pPr>
        <w:rPr>
          <w:rFonts w:ascii="Calibri" w:eastAsia="Calibri" w:hAnsi="Calibri" w:cs="Calibri"/>
          <w:color w:val="212121"/>
          <w:highlight w:val="white"/>
        </w:rPr>
      </w:pPr>
    </w:p>
    <w:p w:rsidR="005F17A7" w:rsidRDefault="005F17A7">
      <w:pPr>
        <w:rPr>
          <w:rFonts w:ascii="Calibri" w:eastAsia="Calibri" w:hAnsi="Calibri" w:cs="Calibri"/>
          <w:color w:val="212121"/>
          <w:highlight w:val="white"/>
        </w:rPr>
      </w:pPr>
    </w:p>
    <w:p w:rsidR="005F17A7" w:rsidRDefault="005F17A7">
      <w:pPr>
        <w:rPr>
          <w:rFonts w:ascii="Calibri" w:eastAsia="Calibri" w:hAnsi="Calibri" w:cs="Calibri"/>
          <w:color w:val="212121"/>
          <w:highlight w:val="white"/>
        </w:rPr>
      </w:pPr>
    </w:p>
    <w:p w:rsidR="005F17A7" w:rsidRDefault="00C90C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:lang w:val="en-US"/>
        </w:rPr>
        <w:lastRenderedPageBreak/>
        <w:drawing>
          <wp:inline distT="114300" distB="114300" distL="114300" distR="114300">
            <wp:extent cx="6057900" cy="5295900"/>
            <wp:effectExtent l="0" t="0" r="0" b="0"/>
            <wp:docPr id="2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5295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F17A7" w:rsidRDefault="00C90C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/>
        <w:rPr>
          <w:rFonts w:ascii="Calibri" w:eastAsia="Calibri" w:hAnsi="Calibri" w:cs="Calibri"/>
        </w:rPr>
      </w:pPr>
      <w:bookmarkStart w:id="6" w:name="_3dy6vkm" w:colFirst="0" w:colLast="0"/>
      <w:bookmarkEnd w:id="6"/>
      <w:r>
        <w:rPr>
          <w:rFonts w:ascii="Calibri" w:eastAsia="Calibri" w:hAnsi="Calibri" w:cs="Calibri"/>
          <w:b/>
        </w:rPr>
        <w:t xml:space="preserve">Supplementary Figure 2: (A) </w:t>
      </w:r>
      <w:r>
        <w:rPr>
          <w:rFonts w:ascii="Calibri" w:eastAsia="Calibri" w:hAnsi="Calibri" w:cs="Calibri"/>
        </w:rPr>
        <w:t>Expression of various genes involved in heart failure in the failing and non-failing control cohorts.</w:t>
      </w:r>
      <w:r>
        <w:rPr>
          <w:rFonts w:ascii="Roboto" w:eastAsia="Roboto" w:hAnsi="Roboto" w:cs="Roboto"/>
          <w:color w:val="3C4043"/>
          <w:sz w:val="21"/>
          <w:szCs w:val="21"/>
          <w:highlight w:val="white"/>
        </w:rPr>
        <w:t xml:space="preserve"> (P-values as indicated).</w:t>
      </w: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b/>
        </w:rPr>
        <w:t>(B)</w:t>
      </w:r>
      <w:r>
        <w:rPr>
          <w:rFonts w:ascii="Calibri" w:eastAsia="Calibri" w:hAnsi="Calibri" w:cs="Calibri"/>
        </w:rPr>
        <w:t xml:space="preserve"> Top differentially expressed genes between failing and non-failing controls. </w:t>
      </w:r>
      <w:r>
        <w:rPr>
          <w:rFonts w:ascii="Calibri" w:eastAsia="Calibri" w:hAnsi="Calibri" w:cs="Calibri"/>
          <w:b/>
        </w:rPr>
        <w:t>(C)</w:t>
      </w:r>
      <w:r>
        <w:rPr>
          <w:rFonts w:ascii="Calibri" w:eastAsia="Calibri" w:hAnsi="Calibri" w:cs="Calibri"/>
        </w:rPr>
        <w:t xml:space="preserve"> Mean expression of various gene sets, including metabolic pathways and oxidative stress/hypoxia genes of the GTEx post-mortem samples (blue) and</w:t>
      </w:r>
      <w:r>
        <w:rPr>
          <w:rFonts w:ascii="Calibri" w:eastAsia="Calibri" w:hAnsi="Calibri" w:cs="Calibri"/>
        </w:rPr>
        <w:t xml:space="preserve"> the control cohort in this study (green) obtained from heart transplant donor hearts. Error bars indicate one standard deviation.</w:t>
      </w:r>
    </w:p>
    <w:p w:rsidR="005F17A7" w:rsidRDefault="00C90C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/>
        <w:rPr>
          <w:rFonts w:ascii="Calibri" w:eastAsia="Calibri" w:hAnsi="Calibri" w:cs="Calibri"/>
        </w:rPr>
      </w:pPr>
      <w:bookmarkStart w:id="7" w:name="_1t3h5sf" w:colFirst="0" w:colLast="0"/>
      <w:bookmarkEnd w:id="7"/>
      <w:r>
        <w:rPr>
          <w:rFonts w:ascii="Calibri" w:eastAsia="Calibri" w:hAnsi="Calibri" w:cs="Calibri"/>
          <w:noProof/>
          <w:lang w:val="en-US"/>
        </w:rPr>
        <w:lastRenderedPageBreak/>
        <w:drawing>
          <wp:inline distT="114300" distB="114300" distL="114300" distR="114300">
            <wp:extent cx="6057900" cy="2133600"/>
            <wp:effectExtent l="0" t="0" r="0" b="0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213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F17A7" w:rsidRDefault="00C90C17">
      <w:pPr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b/>
          <w:color w:val="212121"/>
          <w:highlight w:val="white"/>
        </w:rPr>
        <w:t>Supplementary Figure 3:</w:t>
      </w:r>
      <w:r>
        <w:rPr>
          <w:rFonts w:ascii="Calibri" w:eastAsia="Calibri" w:hAnsi="Calibri" w:cs="Calibri"/>
          <w:b/>
          <w:highlight w:val="white"/>
        </w:rPr>
        <w:t xml:space="preserve"> Dendrograms from WGCNA HF (left) and control (right) networks. </w:t>
      </w:r>
      <w:r>
        <w:rPr>
          <w:rFonts w:ascii="Calibri" w:eastAsia="Calibri" w:hAnsi="Calibri" w:cs="Calibri"/>
          <w:highlight w:val="white"/>
        </w:rPr>
        <w:t>While the number of modules found in each network are similar (12 for HF and 13 for controls), dendrograms visually indicate a more cohesive structure in HF compared to controls, with 2614 genes unassigned to any module in the control (gray module) compare</w:t>
      </w:r>
      <w:r>
        <w:rPr>
          <w:rFonts w:ascii="Calibri" w:eastAsia="Calibri" w:hAnsi="Calibri" w:cs="Calibri"/>
          <w:highlight w:val="white"/>
        </w:rPr>
        <w:t>d to only 13 in HF.</w:t>
      </w:r>
    </w:p>
    <w:p w:rsidR="005F17A7" w:rsidRDefault="005F17A7">
      <w:pPr>
        <w:rPr>
          <w:rFonts w:ascii="Calibri" w:eastAsia="Calibri" w:hAnsi="Calibri" w:cs="Calibri"/>
          <w:highlight w:val="white"/>
        </w:rPr>
      </w:pPr>
    </w:p>
    <w:p w:rsidR="005F17A7" w:rsidRDefault="005F17A7">
      <w:pPr>
        <w:rPr>
          <w:rFonts w:ascii="Calibri" w:eastAsia="Calibri" w:hAnsi="Calibri" w:cs="Calibri"/>
          <w:highlight w:val="white"/>
        </w:rPr>
      </w:pPr>
    </w:p>
    <w:p w:rsidR="005F17A7" w:rsidRDefault="005F17A7">
      <w:pPr>
        <w:rPr>
          <w:rFonts w:ascii="Calibri" w:eastAsia="Calibri" w:hAnsi="Calibri" w:cs="Calibri"/>
          <w:sz w:val="21"/>
          <w:szCs w:val="21"/>
          <w:highlight w:val="white"/>
        </w:rPr>
      </w:pPr>
    </w:p>
    <w:p w:rsidR="005F17A7" w:rsidRDefault="005F17A7">
      <w:pPr>
        <w:rPr>
          <w:rFonts w:ascii="Calibri" w:eastAsia="Calibri" w:hAnsi="Calibri" w:cs="Calibri"/>
          <w:sz w:val="21"/>
          <w:szCs w:val="21"/>
          <w:highlight w:val="white"/>
        </w:rPr>
      </w:pPr>
    </w:p>
    <w:p w:rsidR="005F17A7" w:rsidRDefault="005F17A7">
      <w:pPr>
        <w:rPr>
          <w:rFonts w:ascii="Calibri" w:eastAsia="Calibri" w:hAnsi="Calibri" w:cs="Calibri"/>
          <w:sz w:val="21"/>
          <w:szCs w:val="21"/>
          <w:highlight w:val="white"/>
        </w:rPr>
      </w:pPr>
    </w:p>
    <w:p w:rsidR="005F17A7" w:rsidRDefault="005F17A7">
      <w:pPr>
        <w:rPr>
          <w:rFonts w:ascii="Calibri" w:eastAsia="Calibri" w:hAnsi="Calibri" w:cs="Calibri"/>
          <w:sz w:val="21"/>
          <w:szCs w:val="21"/>
          <w:highlight w:val="white"/>
        </w:rPr>
      </w:pPr>
    </w:p>
    <w:p w:rsidR="005F17A7" w:rsidRDefault="005F17A7">
      <w:pPr>
        <w:rPr>
          <w:rFonts w:ascii="Calibri" w:eastAsia="Calibri" w:hAnsi="Calibri" w:cs="Calibri"/>
          <w:sz w:val="21"/>
          <w:szCs w:val="21"/>
          <w:highlight w:val="white"/>
        </w:rPr>
      </w:pPr>
    </w:p>
    <w:p w:rsidR="005F17A7" w:rsidRDefault="005F17A7">
      <w:pPr>
        <w:rPr>
          <w:rFonts w:ascii="Calibri" w:eastAsia="Calibri" w:hAnsi="Calibri" w:cs="Calibri"/>
          <w:sz w:val="21"/>
          <w:szCs w:val="21"/>
          <w:highlight w:val="white"/>
        </w:rPr>
      </w:pPr>
    </w:p>
    <w:p w:rsidR="005F17A7" w:rsidRDefault="005F17A7">
      <w:pPr>
        <w:rPr>
          <w:rFonts w:ascii="Calibri" w:eastAsia="Calibri" w:hAnsi="Calibri" w:cs="Calibri"/>
          <w:sz w:val="21"/>
          <w:szCs w:val="21"/>
          <w:highlight w:val="white"/>
        </w:rPr>
      </w:pPr>
    </w:p>
    <w:p w:rsidR="005F17A7" w:rsidRDefault="005F17A7">
      <w:pPr>
        <w:rPr>
          <w:rFonts w:ascii="Calibri" w:eastAsia="Calibri" w:hAnsi="Calibri" w:cs="Calibri"/>
          <w:sz w:val="21"/>
          <w:szCs w:val="21"/>
          <w:highlight w:val="white"/>
        </w:rPr>
      </w:pPr>
    </w:p>
    <w:p w:rsidR="005F17A7" w:rsidRDefault="005F17A7">
      <w:pPr>
        <w:rPr>
          <w:rFonts w:ascii="Calibri" w:eastAsia="Calibri" w:hAnsi="Calibri" w:cs="Calibri"/>
          <w:sz w:val="21"/>
          <w:szCs w:val="21"/>
          <w:highlight w:val="white"/>
        </w:rPr>
      </w:pPr>
    </w:p>
    <w:p w:rsidR="005F17A7" w:rsidRDefault="005F17A7">
      <w:pPr>
        <w:rPr>
          <w:rFonts w:ascii="Calibri" w:eastAsia="Calibri" w:hAnsi="Calibri" w:cs="Calibri"/>
          <w:sz w:val="21"/>
          <w:szCs w:val="21"/>
          <w:highlight w:val="white"/>
        </w:rPr>
      </w:pPr>
    </w:p>
    <w:p w:rsidR="005F17A7" w:rsidRDefault="005F17A7">
      <w:pPr>
        <w:rPr>
          <w:rFonts w:ascii="Calibri" w:eastAsia="Calibri" w:hAnsi="Calibri" w:cs="Calibri"/>
          <w:sz w:val="21"/>
          <w:szCs w:val="21"/>
          <w:highlight w:val="white"/>
        </w:rPr>
      </w:pPr>
    </w:p>
    <w:p w:rsidR="005F17A7" w:rsidRDefault="005F17A7">
      <w:pPr>
        <w:rPr>
          <w:rFonts w:ascii="Calibri" w:eastAsia="Calibri" w:hAnsi="Calibri" w:cs="Calibri"/>
          <w:sz w:val="21"/>
          <w:szCs w:val="21"/>
          <w:highlight w:val="white"/>
        </w:rPr>
      </w:pPr>
    </w:p>
    <w:p w:rsidR="005F17A7" w:rsidRDefault="005F17A7">
      <w:pPr>
        <w:rPr>
          <w:rFonts w:ascii="Calibri" w:eastAsia="Calibri" w:hAnsi="Calibri" w:cs="Calibri"/>
          <w:sz w:val="21"/>
          <w:szCs w:val="21"/>
          <w:highlight w:val="white"/>
        </w:rPr>
      </w:pPr>
    </w:p>
    <w:p w:rsidR="005F17A7" w:rsidRDefault="005F17A7">
      <w:pPr>
        <w:rPr>
          <w:rFonts w:ascii="Calibri" w:eastAsia="Calibri" w:hAnsi="Calibri" w:cs="Calibri"/>
          <w:sz w:val="21"/>
          <w:szCs w:val="21"/>
          <w:highlight w:val="white"/>
        </w:rPr>
      </w:pPr>
    </w:p>
    <w:p w:rsidR="005F17A7" w:rsidRDefault="005F17A7">
      <w:pPr>
        <w:rPr>
          <w:rFonts w:ascii="Calibri" w:eastAsia="Calibri" w:hAnsi="Calibri" w:cs="Calibri"/>
          <w:sz w:val="21"/>
          <w:szCs w:val="21"/>
          <w:highlight w:val="white"/>
        </w:rPr>
      </w:pPr>
    </w:p>
    <w:p w:rsidR="005F17A7" w:rsidRDefault="005F17A7">
      <w:pPr>
        <w:rPr>
          <w:rFonts w:ascii="Calibri" w:eastAsia="Calibri" w:hAnsi="Calibri" w:cs="Calibri"/>
          <w:sz w:val="21"/>
          <w:szCs w:val="21"/>
          <w:highlight w:val="white"/>
        </w:rPr>
      </w:pPr>
    </w:p>
    <w:p w:rsidR="005F17A7" w:rsidRDefault="005F17A7">
      <w:pPr>
        <w:rPr>
          <w:rFonts w:ascii="Calibri" w:eastAsia="Calibri" w:hAnsi="Calibri" w:cs="Calibri"/>
          <w:sz w:val="21"/>
          <w:szCs w:val="21"/>
          <w:highlight w:val="white"/>
        </w:rPr>
      </w:pPr>
    </w:p>
    <w:p w:rsidR="005F17A7" w:rsidRDefault="005F17A7">
      <w:pPr>
        <w:rPr>
          <w:rFonts w:ascii="Calibri" w:eastAsia="Calibri" w:hAnsi="Calibri" w:cs="Calibri"/>
          <w:sz w:val="21"/>
          <w:szCs w:val="21"/>
          <w:highlight w:val="white"/>
        </w:rPr>
      </w:pPr>
    </w:p>
    <w:p w:rsidR="005F17A7" w:rsidRDefault="005F17A7">
      <w:pPr>
        <w:rPr>
          <w:rFonts w:ascii="Calibri" w:eastAsia="Calibri" w:hAnsi="Calibri" w:cs="Calibri"/>
          <w:sz w:val="21"/>
          <w:szCs w:val="21"/>
          <w:highlight w:val="white"/>
        </w:rPr>
      </w:pPr>
    </w:p>
    <w:p w:rsidR="005F17A7" w:rsidRDefault="005F17A7">
      <w:pPr>
        <w:rPr>
          <w:rFonts w:ascii="Calibri" w:eastAsia="Calibri" w:hAnsi="Calibri" w:cs="Calibri"/>
          <w:sz w:val="21"/>
          <w:szCs w:val="21"/>
          <w:highlight w:val="white"/>
        </w:rPr>
      </w:pPr>
    </w:p>
    <w:p w:rsidR="005F17A7" w:rsidRDefault="005F17A7">
      <w:pPr>
        <w:rPr>
          <w:rFonts w:ascii="Calibri" w:eastAsia="Calibri" w:hAnsi="Calibri" w:cs="Calibri"/>
          <w:sz w:val="21"/>
          <w:szCs w:val="21"/>
          <w:highlight w:val="white"/>
        </w:rPr>
      </w:pPr>
    </w:p>
    <w:p w:rsidR="005F17A7" w:rsidRDefault="005F17A7">
      <w:pPr>
        <w:rPr>
          <w:rFonts w:ascii="Calibri" w:eastAsia="Calibri" w:hAnsi="Calibri" w:cs="Calibri"/>
          <w:sz w:val="21"/>
          <w:szCs w:val="21"/>
          <w:highlight w:val="white"/>
        </w:rPr>
      </w:pPr>
    </w:p>
    <w:p w:rsidR="005F17A7" w:rsidRDefault="005F17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/>
        <w:rPr>
          <w:rFonts w:ascii="Calibri" w:eastAsia="Calibri" w:hAnsi="Calibri" w:cs="Calibri"/>
        </w:rPr>
      </w:pPr>
    </w:p>
    <w:p w:rsidR="005F17A7" w:rsidRDefault="005F17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/>
        <w:rPr>
          <w:rFonts w:ascii="Calibri" w:eastAsia="Calibri" w:hAnsi="Calibri" w:cs="Calibri"/>
        </w:rPr>
      </w:pPr>
    </w:p>
    <w:p w:rsidR="005F17A7" w:rsidRDefault="00C90C1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lastRenderedPageBreak/>
        <w:t>A</w:t>
      </w:r>
    </w:p>
    <w:p w:rsidR="005F17A7" w:rsidRDefault="00C90C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:lang w:val="en-US"/>
        </w:rPr>
        <w:drawing>
          <wp:inline distT="114300" distB="114300" distL="114300" distR="114300">
            <wp:extent cx="4843463" cy="1797260"/>
            <wp:effectExtent l="0" t="0" r="0" b="0"/>
            <wp:docPr id="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3463" cy="1797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F17A7" w:rsidRDefault="00C90C17">
      <w:pPr>
        <w:widowControl w:val="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B</w:t>
      </w:r>
    </w:p>
    <w:p w:rsidR="005F17A7" w:rsidRDefault="005F17A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36"/>
          <w:szCs w:val="36"/>
        </w:rPr>
      </w:pPr>
    </w:p>
    <w:p w:rsidR="005F17A7" w:rsidRDefault="00C90C17">
      <w:pPr>
        <w:widowControl w:val="0"/>
        <w:jc w:val="center"/>
        <w:rPr>
          <w:rFonts w:ascii="Calibri" w:eastAsia="Calibri" w:hAnsi="Calibri" w:cs="Calibri"/>
          <w:b/>
        </w:rPr>
      </w:pPr>
      <w:r>
        <w:rPr>
          <w:b/>
          <w:noProof/>
          <w:lang w:val="en-US"/>
        </w:rPr>
        <w:drawing>
          <wp:inline distT="114300" distB="114300" distL="114300" distR="114300">
            <wp:extent cx="5172075" cy="3802174"/>
            <wp:effectExtent l="0" t="0" r="0" b="0"/>
            <wp:docPr id="7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38021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F17A7" w:rsidRDefault="00C90C17">
      <w:pPr>
        <w:widowControl w:val="0"/>
        <w:spacing w:after="2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Supplementary Figure 4: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 xml:space="preserve">(A) </w:t>
      </w:r>
      <w:r>
        <w:rPr>
          <w:rFonts w:ascii="Calibri" w:eastAsia="Calibri" w:hAnsi="Calibri" w:cs="Calibri"/>
        </w:rPr>
        <w:t xml:space="preserve">Number of eQTLs for each network for which there were RegulomeDB annotations within a 50 base pair window. RegulomeDB categories are defined as follows: category 1 are known eQTLs with ENCODE DNase sensitivity peaks (1f) and TF binding data (1d); category </w:t>
      </w:r>
      <w:r>
        <w:rPr>
          <w:rFonts w:ascii="Calibri" w:eastAsia="Calibri" w:hAnsi="Calibri" w:cs="Calibri"/>
        </w:rPr>
        <w:t>2 only have evidence of TF binding (2b) and DNase sensitivity peaks as well as a matching TF binding motif (2a); category 3a have predicted TF binding and a TF motif as well as DNase peak; category 4 have predicted TF binding and a DNase peak; and category</w:t>
      </w:r>
      <w:r>
        <w:rPr>
          <w:rFonts w:ascii="Calibri" w:eastAsia="Calibri" w:hAnsi="Calibri" w:cs="Calibri"/>
        </w:rPr>
        <w:t xml:space="preserve"> 5 have either predicted TF binding or a DNase peak.  </w:t>
      </w:r>
      <w:r>
        <w:rPr>
          <w:rFonts w:ascii="Calibri" w:eastAsia="Calibri" w:hAnsi="Calibri" w:cs="Calibri"/>
          <w:b/>
        </w:rPr>
        <w:t xml:space="preserve">(B) </w:t>
      </w:r>
      <w:r>
        <w:rPr>
          <w:rFonts w:ascii="Calibri" w:eastAsia="Calibri" w:hAnsi="Calibri" w:cs="Calibri"/>
        </w:rPr>
        <w:t>Venn diagrams illustrating overlap of HF and Control network eQTLs by relevant tissue type in GTEX.</w:t>
      </w:r>
    </w:p>
    <w:p w:rsidR="005F17A7" w:rsidRDefault="005F17A7">
      <w:pPr>
        <w:rPr>
          <w:b/>
          <w:color w:val="212121"/>
          <w:sz w:val="23"/>
          <w:szCs w:val="23"/>
          <w:highlight w:val="white"/>
        </w:rPr>
      </w:pPr>
    </w:p>
    <w:p w:rsidR="005F17A7" w:rsidRDefault="00C90C17">
      <w:pPr>
        <w:rPr>
          <w:rFonts w:ascii="Calibri" w:eastAsia="Calibri" w:hAnsi="Calibri" w:cs="Calibri"/>
          <w:color w:val="212121"/>
          <w:highlight w:val="white"/>
        </w:rPr>
      </w:pPr>
      <w:r>
        <w:rPr>
          <w:rFonts w:ascii="Calibri" w:eastAsia="Calibri" w:hAnsi="Calibri" w:cs="Calibri"/>
          <w:noProof/>
          <w:color w:val="212121"/>
          <w:highlight w:val="white"/>
          <w:lang w:val="en-US"/>
        </w:rPr>
        <w:drawing>
          <wp:inline distT="114300" distB="114300" distL="114300" distR="114300">
            <wp:extent cx="6057900" cy="2057400"/>
            <wp:effectExtent l="0" t="0" r="0" 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2057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F17A7" w:rsidRDefault="00C90C17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Supplementary Figure 5:</w:t>
      </w:r>
      <w:r>
        <w:rPr>
          <w:rFonts w:ascii="Calibri" w:eastAsia="Calibri" w:hAnsi="Calibri" w:cs="Calibri"/>
        </w:rPr>
        <w:t xml:space="preserve"> Calculation of the differential global connectivity (</w:t>
      </w:r>
      <w:r>
        <w:rPr>
          <w:rFonts w:ascii="Calibri" w:eastAsia="Calibri" w:hAnsi="Calibri" w:cs="Calibri"/>
          <w:i/>
        </w:rPr>
        <w:t>GC</w:t>
      </w:r>
      <w:r>
        <w:rPr>
          <w:rFonts w:ascii="Calibri" w:eastAsia="Calibri" w:hAnsi="Calibri" w:cs="Calibri"/>
        </w:rPr>
        <w:t xml:space="preserve">) of a gene between the HF and Control networks. </w:t>
      </w:r>
      <w:r>
        <w:rPr>
          <w:rFonts w:ascii="Calibri" w:eastAsia="Calibri" w:hAnsi="Calibri" w:cs="Calibri"/>
          <w:b/>
        </w:rPr>
        <w:t>(A)</w:t>
      </w:r>
      <w:r>
        <w:rPr>
          <w:rFonts w:ascii="Calibri" w:eastAsia="Calibri" w:hAnsi="Calibri" w:cs="Calibri"/>
        </w:rPr>
        <w:t xml:space="preserve"> All neighbors of each gene are ranked by edge weight (i.e. network distance). These lists are cross-referenced with the set of genes in manually curated HF-relevant pathways from KEGG and Reactome (Here </w:t>
      </w:r>
      <w:r>
        <w:rPr>
          <w:rFonts w:ascii="Calibri" w:eastAsia="Calibri" w:hAnsi="Calibri" w:cs="Calibri"/>
        </w:rPr>
        <w:t xml:space="preserve">referred to as “Gene set,” Supplemental File S***). </w:t>
      </w:r>
      <w:r>
        <w:rPr>
          <w:rFonts w:ascii="Calibri" w:eastAsia="Calibri" w:hAnsi="Calibri" w:cs="Calibri"/>
          <w:b/>
        </w:rPr>
        <w:t>(B)</w:t>
      </w:r>
      <w:r>
        <w:rPr>
          <w:rFonts w:ascii="Calibri" w:eastAsia="Calibri" w:hAnsi="Calibri" w:cs="Calibri"/>
        </w:rPr>
        <w:t xml:space="preserve"> The number of these globally HF-relevant neighbors within a given edge-weight threshold is then plotted against expanding edge weight thresholds for the HF (red) and control (grey) networks. A KS stat</w:t>
      </w:r>
      <w:r>
        <w:rPr>
          <w:rFonts w:ascii="Calibri" w:eastAsia="Calibri" w:hAnsi="Calibri" w:cs="Calibri"/>
        </w:rPr>
        <w:t xml:space="preserve">istic is then applied. The </w:t>
      </w:r>
      <w:r>
        <w:rPr>
          <w:rFonts w:ascii="Calibri" w:eastAsia="Calibri" w:hAnsi="Calibri" w:cs="Calibri"/>
          <w:i/>
        </w:rPr>
        <w:t xml:space="preserve">GC </w:t>
      </w:r>
      <w:r>
        <w:rPr>
          <w:rFonts w:ascii="Calibri" w:eastAsia="Calibri" w:hAnsi="Calibri" w:cs="Calibri"/>
        </w:rPr>
        <w:t xml:space="preserve">for each gene is the normalized number of pathways to which it is significantly differentially connected (BH corrected FDR &lt; 0.01) based on this test. </w:t>
      </w:r>
      <w:r>
        <w:rPr>
          <w:noProof/>
          <w:lang w:val="en-US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2834005</wp:posOffset>
            </wp:positionH>
            <wp:positionV relativeFrom="paragraph">
              <wp:posOffset>1702435</wp:posOffset>
            </wp:positionV>
            <wp:extent cx="3224213" cy="2275242"/>
            <wp:effectExtent l="0" t="0" r="0" b="0"/>
            <wp:wrapTopAndBottom distT="114300" distB="114300"/>
            <wp:docPr id="1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t="9960" r="49528"/>
                    <a:stretch>
                      <a:fillRect/>
                    </a:stretch>
                  </pic:blipFill>
                  <pic:spPr>
                    <a:xfrm>
                      <a:off x="0" y="0"/>
                      <a:ext cx="3224213" cy="22752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1</wp:posOffset>
            </wp:positionH>
            <wp:positionV relativeFrom="paragraph">
              <wp:posOffset>1657985</wp:posOffset>
            </wp:positionV>
            <wp:extent cx="2543810" cy="2390775"/>
            <wp:effectExtent l="0" t="0" r="0" b="0"/>
            <wp:wrapSquare wrapText="bothSides" distT="0" distB="0" distL="114300" distR="114300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3810" cy="2390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F17A7" w:rsidRDefault="00C90C17">
      <w:pPr>
        <w:widowControl w:val="0"/>
        <w:ind w:left="5760" w:firstLine="7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Hours after isolation</w:t>
      </w:r>
    </w:p>
    <w:p w:rsidR="005F17A7" w:rsidRDefault="005F17A7">
      <w:pPr>
        <w:widowControl w:val="0"/>
        <w:rPr>
          <w:rFonts w:ascii="Calibri" w:eastAsia="Calibri" w:hAnsi="Calibri" w:cs="Calibri"/>
          <w:b/>
        </w:rPr>
      </w:pPr>
    </w:p>
    <w:p w:rsidR="005F17A7" w:rsidRDefault="00C90C17">
      <w:pPr>
        <w:rPr>
          <w:sz w:val="20"/>
          <w:szCs w:val="20"/>
        </w:rPr>
      </w:pPr>
      <w:r>
        <w:rPr>
          <w:rFonts w:ascii="Calibri" w:eastAsia="Calibri" w:hAnsi="Calibri" w:cs="Calibri"/>
          <w:b/>
        </w:rPr>
        <w:t xml:space="preserve">Supplementary Figure 6: (Left) </w:t>
      </w:r>
      <w:r>
        <w:rPr>
          <w:rFonts w:ascii="Calibri" w:eastAsia="Calibri" w:hAnsi="Calibri" w:cs="Calibri"/>
        </w:rPr>
        <w:t>qRT-PCR validation</w:t>
      </w:r>
      <w:r>
        <w:rPr>
          <w:rFonts w:ascii="Calibri" w:eastAsia="Calibri" w:hAnsi="Calibri" w:cs="Calibri"/>
        </w:rPr>
        <w:t xml:space="preserve"> of PPP1R3A knockdown by siRNA (data shown is 72 hours after isolation, p = </w:t>
      </w:r>
      <w:r w:rsidR="00F808D2">
        <w:rPr>
          <w:sz w:val="20"/>
          <w:szCs w:val="20"/>
        </w:rPr>
        <w:t>7.8</w:t>
      </w:r>
      <w:bookmarkStart w:id="8" w:name="_GoBack"/>
      <w:bookmarkEnd w:id="8"/>
      <w:r>
        <w:rPr>
          <w:sz w:val="20"/>
          <w:szCs w:val="20"/>
        </w:rPr>
        <w:t>E-06 by student’s T-test, error bars indicate SEM</w:t>
      </w:r>
      <w:r>
        <w:rPr>
          <w:rFonts w:ascii="Calibri" w:eastAsia="Calibri" w:hAnsi="Calibri" w:cs="Calibri"/>
        </w:rPr>
        <w:t xml:space="preserve">). </w:t>
      </w:r>
      <w:r>
        <w:rPr>
          <w:rFonts w:ascii="Calibri" w:eastAsia="Calibri" w:hAnsi="Calibri" w:cs="Calibri"/>
          <w:b/>
        </w:rPr>
        <w:t xml:space="preserve">(Right) </w:t>
      </w:r>
      <w:r>
        <w:rPr>
          <w:rFonts w:ascii="Calibri" w:eastAsia="Calibri" w:hAnsi="Calibri" w:cs="Calibri"/>
        </w:rPr>
        <w:t xml:space="preserve">Fold change distributions within timepoints between Phenylephrine induced NRVMs and controls under </w:t>
      </w:r>
      <w:r>
        <w:rPr>
          <w:rFonts w:ascii="Calibri" w:eastAsia="Calibri" w:hAnsi="Calibri" w:cs="Calibri"/>
          <w:i/>
        </w:rPr>
        <w:t>PPP1R3A</w:t>
      </w:r>
      <w:r>
        <w:rPr>
          <w:rFonts w:ascii="Calibri" w:eastAsia="Calibri" w:hAnsi="Calibri" w:cs="Calibri"/>
        </w:rPr>
        <w:t xml:space="preserve"> knockd</w:t>
      </w:r>
      <w:r>
        <w:rPr>
          <w:rFonts w:ascii="Calibri" w:eastAsia="Calibri" w:hAnsi="Calibri" w:cs="Calibri"/>
        </w:rPr>
        <w:t>own. Center line indicates mean, box indicates IQR and whiskers indicate 95% CI. Source data are provided as a source data file.</w:t>
      </w:r>
    </w:p>
    <w:p w:rsidR="005F17A7" w:rsidRDefault="005F17A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:rsidR="005F17A7" w:rsidRDefault="00C90C1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noProof/>
          <w:lang w:val="en-US"/>
        </w:rPr>
        <w:lastRenderedPageBreak/>
        <w:drawing>
          <wp:inline distT="114300" distB="114300" distL="114300" distR="114300">
            <wp:extent cx="5476875" cy="4133850"/>
            <wp:effectExtent l="0" t="0" r="0" b="0"/>
            <wp:docPr id="10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4133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F17A7" w:rsidRDefault="00C90C17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Supplementary Figure 7: </w:t>
      </w:r>
      <w:r>
        <w:rPr>
          <w:rFonts w:ascii="Calibri" w:eastAsia="Calibri" w:hAnsi="Calibri" w:cs="Calibri"/>
        </w:rPr>
        <w:t xml:space="preserve"> Differences in expression levels of key metabolic genes in NRVM after siRNA-mediated </w:t>
      </w:r>
      <w:r>
        <w:rPr>
          <w:rFonts w:ascii="Calibri" w:eastAsia="Calibri" w:hAnsi="Calibri" w:cs="Calibri"/>
          <w:i/>
        </w:rPr>
        <w:t>PPP1R3A</w:t>
      </w:r>
      <w:r>
        <w:rPr>
          <w:rFonts w:ascii="Calibri" w:eastAsia="Calibri" w:hAnsi="Calibri" w:cs="Calibri"/>
        </w:rPr>
        <w:t xml:space="preserve"> knockdown (dashed lines) with and without phenylephrine treatment (red lines). Error bars indicate SD.</w:t>
      </w:r>
    </w:p>
    <w:p w:rsidR="005F17A7" w:rsidRDefault="00C90C17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:lang w:val="en-US"/>
        </w:rPr>
        <w:drawing>
          <wp:inline distT="0" distB="0" distL="0" distR="0">
            <wp:extent cx="2656701" cy="2528888"/>
            <wp:effectExtent l="0" t="0" r="0" b="0"/>
            <wp:docPr id="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6"/>
                    <a:srcRect l="18081" t="26061" r="29559" b="36320"/>
                    <a:stretch>
                      <a:fillRect/>
                    </a:stretch>
                  </pic:blipFill>
                  <pic:spPr>
                    <a:xfrm>
                      <a:off x="0" y="0"/>
                      <a:ext cx="2656701" cy="25288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F17A7" w:rsidRDefault="00C90C1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Supplementary Figure 8:</w:t>
      </w:r>
      <w:r>
        <w:rPr>
          <w:rFonts w:ascii="Calibri" w:eastAsia="Calibri" w:hAnsi="Calibri" w:cs="Calibri"/>
        </w:rPr>
        <w:t xml:space="preserve"> Heart weight differences (normalized to body weight) between wild type and </w:t>
      </w:r>
      <w:r>
        <w:rPr>
          <w:rFonts w:ascii="Calibri" w:eastAsia="Calibri" w:hAnsi="Calibri" w:cs="Calibri"/>
          <w:i/>
        </w:rPr>
        <w:t>Ppp1r3a</w:t>
      </w:r>
      <w:r>
        <w:rPr>
          <w:rFonts w:ascii="Calibri" w:eastAsia="Calibri" w:hAnsi="Calibri" w:cs="Calibri"/>
          <w:i/>
          <w:vertAlign w:val="superscript"/>
        </w:rPr>
        <w:t>-/-</w:t>
      </w:r>
      <w:r>
        <w:rPr>
          <w:rFonts w:ascii="Calibri" w:eastAsia="Calibri" w:hAnsi="Calibri" w:cs="Calibri"/>
        </w:rPr>
        <w:t xml:space="preserve"> mice after TAC; p=0.02 (ANOVA). </w:t>
      </w:r>
      <w:r>
        <w:rPr>
          <w:rFonts w:ascii="Calibri" w:eastAsia="Calibri" w:hAnsi="Calibri" w:cs="Calibri"/>
          <w:i/>
        </w:rPr>
        <w:t>Ppp1r3a</w:t>
      </w:r>
      <w:r>
        <w:rPr>
          <w:rFonts w:ascii="Calibri" w:eastAsia="Calibri" w:hAnsi="Calibri" w:cs="Calibri"/>
          <w:i/>
          <w:vertAlign w:val="superscript"/>
        </w:rPr>
        <w:t>+</w:t>
      </w:r>
      <w:r>
        <w:rPr>
          <w:rFonts w:ascii="Calibri" w:eastAsia="Calibri" w:hAnsi="Calibri" w:cs="Calibri"/>
          <w:i/>
          <w:vertAlign w:val="superscript"/>
        </w:rPr>
        <w:t xml:space="preserve">/+ </w:t>
      </w:r>
      <w:r>
        <w:rPr>
          <w:rFonts w:ascii="Calibri" w:eastAsia="Calibri" w:hAnsi="Calibri" w:cs="Calibri"/>
        </w:rPr>
        <w:t xml:space="preserve">TAC vs Sham p=0.07 (Bonferroni post test).  </w:t>
      </w:r>
      <w:r>
        <w:rPr>
          <w:rFonts w:ascii="Calibri" w:eastAsia="Calibri" w:hAnsi="Calibri" w:cs="Calibri"/>
          <w:i/>
        </w:rPr>
        <w:t>Ppp1r3a</w:t>
      </w:r>
      <w:r>
        <w:rPr>
          <w:rFonts w:ascii="Calibri" w:eastAsia="Calibri" w:hAnsi="Calibri" w:cs="Calibri"/>
          <w:i/>
          <w:vertAlign w:val="superscript"/>
        </w:rPr>
        <w:t xml:space="preserve">-/- </w:t>
      </w:r>
      <w:r>
        <w:rPr>
          <w:rFonts w:ascii="Calibri" w:eastAsia="Calibri" w:hAnsi="Calibri" w:cs="Calibri"/>
        </w:rPr>
        <w:t>TAC vs Sham p=0.35 (Bonferroni post test). Error bars indicate SEM. Source data are provided as a source data file.</w:t>
      </w:r>
    </w:p>
    <w:p w:rsidR="005F17A7" w:rsidRDefault="005F17A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:rsidR="005F17A7" w:rsidRDefault="005F17A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:rsidR="005F17A7" w:rsidRDefault="005F17A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:rsidR="005F17A7" w:rsidRDefault="00C90C17">
      <w:pPr>
        <w:rPr>
          <w:b/>
          <w:color w:val="212121"/>
          <w:sz w:val="23"/>
          <w:szCs w:val="23"/>
          <w:highlight w:val="white"/>
        </w:rPr>
      </w:pPr>
      <w:r>
        <w:rPr>
          <w:b/>
          <w:noProof/>
          <w:color w:val="212121"/>
          <w:sz w:val="23"/>
          <w:szCs w:val="23"/>
          <w:highlight w:val="white"/>
          <w:lang w:val="en-US"/>
        </w:rPr>
        <w:drawing>
          <wp:inline distT="114300" distB="114300" distL="114300" distR="114300">
            <wp:extent cx="6057900" cy="3060700"/>
            <wp:effectExtent l="0" t="0" r="0" b="0"/>
            <wp:docPr id="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060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F17A7" w:rsidRDefault="005F17A7">
      <w:pPr>
        <w:rPr>
          <w:color w:val="212121"/>
          <w:sz w:val="23"/>
          <w:szCs w:val="23"/>
          <w:highlight w:val="white"/>
        </w:rPr>
      </w:pPr>
    </w:p>
    <w:p w:rsidR="005F17A7" w:rsidRDefault="00C90C17">
      <w:pPr>
        <w:widowControl w:val="0"/>
        <w:spacing w:after="220"/>
        <w:rPr>
          <w:rFonts w:ascii="Calibri" w:eastAsia="Calibri" w:hAnsi="Calibri" w:cs="Calibri"/>
          <w:color w:val="212121"/>
          <w:highlight w:val="white"/>
        </w:rPr>
      </w:pPr>
      <w:r>
        <w:rPr>
          <w:rFonts w:ascii="Calibri" w:eastAsia="Calibri" w:hAnsi="Calibri" w:cs="Calibri"/>
          <w:b/>
          <w:color w:val="212121"/>
          <w:highlight w:val="white"/>
        </w:rPr>
        <w:t xml:space="preserve">Supplementary Figure 9: (A) </w:t>
      </w:r>
      <w:r>
        <w:rPr>
          <w:rFonts w:ascii="Calibri" w:eastAsia="Calibri" w:hAnsi="Calibri" w:cs="Calibri"/>
          <w:color w:val="212121"/>
          <w:highlight w:val="white"/>
        </w:rPr>
        <w:t>QQ plots of the differential expression analysis</w:t>
      </w:r>
      <w:r>
        <w:rPr>
          <w:rFonts w:ascii="Calibri" w:eastAsia="Calibri" w:hAnsi="Calibri" w:cs="Calibri"/>
          <w:color w:val="212121"/>
          <w:highlight w:val="white"/>
        </w:rPr>
        <w:t xml:space="preserve"> before and after batch correction. Batch correction does not appear to significantly skew p-values. </w:t>
      </w:r>
      <w:r>
        <w:rPr>
          <w:rFonts w:ascii="Calibri" w:eastAsia="Calibri" w:hAnsi="Calibri" w:cs="Calibri"/>
          <w:b/>
          <w:color w:val="212121"/>
          <w:highlight w:val="white"/>
        </w:rPr>
        <w:t>(B)</w:t>
      </w:r>
      <w:r>
        <w:rPr>
          <w:rFonts w:ascii="Calibri" w:eastAsia="Calibri" w:hAnsi="Calibri" w:cs="Calibri"/>
          <w:color w:val="212121"/>
          <w:highlight w:val="white"/>
        </w:rPr>
        <w:t xml:space="preserve"> QQ plots of the eQTL analysis before and after batch correction. Batch correction does not appear to significantly skew p-values.</w:t>
      </w:r>
    </w:p>
    <w:p w:rsidR="005F17A7" w:rsidRDefault="005F17A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:rsidR="005F17A7" w:rsidRDefault="005F17A7">
      <w:pPr>
        <w:widowControl w:val="0"/>
        <w:spacing w:after="220"/>
        <w:rPr>
          <w:rFonts w:ascii="Calibri" w:eastAsia="Calibri" w:hAnsi="Calibri" w:cs="Calibri"/>
        </w:rPr>
      </w:pPr>
    </w:p>
    <w:p w:rsidR="005F17A7" w:rsidRDefault="005F17A7">
      <w:pPr>
        <w:widowControl w:val="0"/>
        <w:rPr>
          <w:rFonts w:ascii="Calibri" w:eastAsia="Calibri" w:hAnsi="Calibri" w:cs="Calibri"/>
        </w:rPr>
      </w:pPr>
    </w:p>
    <w:p w:rsidR="005F17A7" w:rsidRDefault="005F17A7">
      <w:pPr>
        <w:widowControl w:val="0"/>
        <w:rPr>
          <w:rFonts w:ascii="Calibri" w:eastAsia="Calibri" w:hAnsi="Calibri" w:cs="Calibri"/>
        </w:rPr>
      </w:pPr>
    </w:p>
    <w:p w:rsidR="005F17A7" w:rsidRDefault="005F17A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5F17A7" w:rsidRDefault="005F17A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sectPr w:rsidR="005F17A7">
      <w:footerReference w:type="default" r:id="rId18"/>
      <w:pgSz w:w="12240" w:h="15840"/>
      <w:pgMar w:top="1440" w:right="1440" w:bottom="1440" w:left="126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C17" w:rsidRDefault="00C90C17">
      <w:pPr>
        <w:spacing w:line="240" w:lineRule="auto"/>
      </w:pPr>
      <w:r>
        <w:separator/>
      </w:r>
    </w:p>
  </w:endnote>
  <w:endnote w:type="continuationSeparator" w:id="0">
    <w:p w:rsidR="00C90C17" w:rsidRDefault="00C90C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Roboto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7A7" w:rsidRDefault="00C90C17">
    <w:pPr>
      <w:jc w:val="right"/>
    </w:pPr>
    <w:r>
      <w:fldChar w:fldCharType="begin"/>
    </w:r>
    <w:r>
      <w:instrText>PAGE</w:instrText>
    </w:r>
    <w:r w:rsidR="00F808D2">
      <w:fldChar w:fldCharType="separate"/>
    </w:r>
    <w:r w:rsidR="00F808D2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C17" w:rsidRDefault="00C90C17">
      <w:pPr>
        <w:spacing w:line="240" w:lineRule="auto"/>
      </w:pPr>
      <w:r>
        <w:separator/>
      </w:r>
    </w:p>
  </w:footnote>
  <w:footnote w:type="continuationSeparator" w:id="0">
    <w:p w:rsidR="00C90C17" w:rsidRDefault="00C90C1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7A7"/>
    <w:rsid w:val="005F17A7"/>
    <w:rsid w:val="00C90C17"/>
    <w:rsid w:val="00F8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554EC6-0B6E-46EB-AE33-3CDF1FED9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Victoria Parikh</cp:lastModifiedBy>
  <cp:revision>3</cp:revision>
  <dcterms:created xsi:type="dcterms:W3CDTF">2019-05-07T21:57:00Z</dcterms:created>
  <dcterms:modified xsi:type="dcterms:W3CDTF">2019-05-07T21:58:00Z</dcterms:modified>
</cp:coreProperties>
</file>