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29476" w14:textId="77777777" w:rsidR="005354B6" w:rsidRPr="00AA7FF1" w:rsidRDefault="005354B6" w:rsidP="005354B6">
      <w:pPr>
        <w:rPr>
          <w:rFonts w:ascii="Arial" w:hAnsi="Arial" w:cs="Arial"/>
          <w:b/>
          <w:sz w:val="28"/>
          <w:szCs w:val="24"/>
        </w:rPr>
      </w:pPr>
      <w:bookmarkStart w:id="0" w:name="_GoBack"/>
      <w:bookmarkEnd w:id="0"/>
      <w:r w:rsidRPr="00AA7FF1">
        <w:rPr>
          <w:rFonts w:ascii="Arial" w:hAnsi="Arial" w:cs="Arial"/>
          <w:b/>
          <w:sz w:val="28"/>
          <w:szCs w:val="24"/>
        </w:rPr>
        <w:t>Supplementary Figures</w:t>
      </w:r>
    </w:p>
    <w:p w14:paraId="50D651CD" w14:textId="77777777" w:rsidR="005354B6" w:rsidRPr="00AA7FF1" w:rsidRDefault="005354B6" w:rsidP="005354B6">
      <w:pPr>
        <w:rPr>
          <w:rFonts w:ascii="Arial" w:hAnsi="Arial" w:cs="Arial"/>
          <w:b/>
          <w:sz w:val="28"/>
          <w:szCs w:val="24"/>
        </w:rPr>
      </w:pPr>
    </w:p>
    <w:p w14:paraId="490D04A2"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b/>
          <w:sz w:val="24"/>
          <w:szCs w:val="24"/>
        </w:rPr>
        <w:t>Supplementary Figure 1.</w:t>
      </w:r>
      <w:r w:rsidRPr="00AA7FF1">
        <w:rPr>
          <w:rFonts w:ascii="Arial" w:hAnsi="Arial" w:cs="Arial"/>
          <w:sz w:val="24"/>
          <w:szCs w:val="24"/>
        </w:rPr>
        <w:t xml:space="preserve"> </w:t>
      </w:r>
    </w:p>
    <w:p w14:paraId="1377888E"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b/>
          <w:sz w:val="24"/>
          <w:szCs w:val="24"/>
        </w:rPr>
        <w:t>The second-generation DREADD agonist C21 exhibits low in vitro DREADD affinity and potency compared to clozapine.</w:t>
      </w:r>
      <w:r w:rsidRPr="00AA7FF1">
        <w:rPr>
          <w:rFonts w:ascii="Arial" w:hAnsi="Arial" w:cs="Arial"/>
          <w:sz w:val="24"/>
          <w:szCs w:val="24"/>
        </w:rPr>
        <w:t xml:space="preserve"> </w:t>
      </w:r>
    </w:p>
    <w:p w14:paraId="6BBE70EC"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sz w:val="24"/>
          <w:szCs w:val="24"/>
        </w:rPr>
        <w:t xml:space="preserve"> We assessed Compound 21 (C21) and clozapine (</w:t>
      </w:r>
      <w:r w:rsidRPr="00AA7FF1">
        <w:rPr>
          <w:rFonts w:ascii="Arial" w:hAnsi="Arial" w:cs="Arial"/>
          <w:b/>
          <w:sz w:val="24"/>
          <w:szCs w:val="24"/>
        </w:rPr>
        <w:t>a</w:t>
      </w:r>
      <w:r w:rsidRPr="00AA7FF1">
        <w:rPr>
          <w:rFonts w:ascii="Arial" w:hAnsi="Arial" w:cs="Arial"/>
          <w:sz w:val="24"/>
          <w:szCs w:val="24"/>
        </w:rPr>
        <w:t>) binding in mouse and rhesus monkey (</w:t>
      </w:r>
      <w:r w:rsidRPr="00AA7FF1">
        <w:rPr>
          <w:rFonts w:ascii="Arial" w:hAnsi="Arial" w:cs="Arial"/>
          <w:i/>
          <w:sz w:val="24"/>
          <w:szCs w:val="24"/>
        </w:rPr>
        <w:t>Macaca mulatta</w:t>
      </w:r>
      <w:r w:rsidRPr="00AA7FF1">
        <w:rPr>
          <w:rFonts w:ascii="Arial" w:hAnsi="Arial" w:cs="Arial"/>
          <w:sz w:val="24"/>
          <w:szCs w:val="24"/>
        </w:rPr>
        <w:t>) brain sections expressing DREADDs. Low concentrations of [</w:t>
      </w:r>
      <w:r w:rsidRPr="00AA7FF1">
        <w:rPr>
          <w:rFonts w:ascii="Arial" w:hAnsi="Arial" w:cs="Arial"/>
          <w:sz w:val="24"/>
          <w:szCs w:val="24"/>
          <w:vertAlign w:val="superscript"/>
        </w:rPr>
        <w:t>3</w:t>
      </w:r>
      <w:r w:rsidRPr="00AA7FF1">
        <w:rPr>
          <w:rFonts w:ascii="Arial" w:hAnsi="Arial" w:cs="Arial"/>
          <w:sz w:val="24"/>
          <w:szCs w:val="24"/>
        </w:rPr>
        <w:t>H]clozapine bound to DREADDs in intact tissue sections in both species but [</w:t>
      </w:r>
      <w:r w:rsidRPr="00AA7FF1">
        <w:rPr>
          <w:rFonts w:ascii="Arial" w:hAnsi="Arial" w:cs="Arial"/>
          <w:sz w:val="24"/>
          <w:szCs w:val="24"/>
          <w:vertAlign w:val="superscript"/>
        </w:rPr>
        <w:t>3</w:t>
      </w:r>
      <w:r w:rsidRPr="00AA7FF1">
        <w:rPr>
          <w:rFonts w:ascii="Arial" w:hAnsi="Arial" w:cs="Arial"/>
          <w:sz w:val="24"/>
          <w:szCs w:val="24"/>
        </w:rPr>
        <w:t>H]C21 did not show any DREADD binding in the mouse (</w:t>
      </w:r>
      <w:r w:rsidRPr="00AA7FF1">
        <w:rPr>
          <w:rFonts w:ascii="Arial" w:hAnsi="Arial" w:cs="Arial"/>
          <w:b/>
          <w:sz w:val="24"/>
          <w:szCs w:val="24"/>
        </w:rPr>
        <w:t>b</w:t>
      </w:r>
      <w:r w:rsidRPr="00AA7FF1">
        <w:rPr>
          <w:rFonts w:ascii="Arial" w:hAnsi="Arial" w:cs="Arial"/>
          <w:sz w:val="24"/>
          <w:szCs w:val="24"/>
        </w:rPr>
        <w:t>) and showed only weak DREADD binding coupled with high off-target binding in the monkey (</w:t>
      </w:r>
      <w:r w:rsidRPr="00AA7FF1">
        <w:rPr>
          <w:rFonts w:ascii="Arial" w:hAnsi="Arial" w:cs="Arial"/>
          <w:b/>
          <w:sz w:val="24"/>
          <w:szCs w:val="24"/>
        </w:rPr>
        <w:t>c</w:t>
      </w:r>
      <w:r w:rsidRPr="00AA7FF1">
        <w:rPr>
          <w:rFonts w:ascii="Arial" w:hAnsi="Arial" w:cs="Arial"/>
          <w:sz w:val="24"/>
          <w:szCs w:val="24"/>
        </w:rPr>
        <w:t>). In DREADD-expressing HEK-293 membranes, C21 inhibited [</w:t>
      </w:r>
      <w:r w:rsidRPr="00AA7FF1">
        <w:rPr>
          <w:rFonts w:ascii="Arial" w:hAnsi="Arial" w:cs="Arial"/>
          <w:sz w:val="24"/>
          <w:szCs w:val="24"/>
          <w:vertAlign w:val="superscript"/>
        </w:rPr>
        <w:t>3</w:t>
      </w:r>
      <w:r w:rsidRPr="00AA7FF1">
        <w:rPr>
          <w:rFonts w:ascii="Arial" w:hAnsi="Arial" w:cs="Arial"/>
          <w:sz w:val="24"/>
          <w:szCs w:val="24"/>
        </w:rPr>
        <w:t>H]clozapine binding with low affinity (</w:t>
      </w:r>
      <w:r w:rsidRPr="00AA7FF1">
        <w:rPr>
          <w:rFonts w:ascii="Arial" w:hAnsi="Arial" w:cs="Arial"/>
          <w:sz w:val="24"/>
          <w:szCs w:val="24"/>
          <w:vertAlign w:val="superscript"/>
        </w:rPr>
        <w:t>hM3Dq</w:t>
      </w:r>
      <w:r w:rsidRPr="00AA7FF1">
        <w:rPr>
          <w:rFonts w:ascii="Arial" w:hAnsi="Arial" w:cs="Arial"/>
          <w:i/>
          <w:sz w:val="24"/>
          <w:szCs w:val="24"/>
        </w:rPr>
        <w:t>K</w:t>
      </w:r>
      <w:r w:rsidRPr="00AA7FF1">
        <w:rPr>
          <w:rFonts w:ascii="Arial" w:hAnsi="Arial" w:cs="Arial"/>
          <w:sz w:val="24"/>
          <w:szCs w:val="24"/>
          <w:vertAlign w:val="subscript"/>
        </w:rPr>
        <w:t>i</w:t>
      </w:r>
      <w:r w:rsidRPr="00AA7FF1">
        <w:rPr>
          <w:rFonts w:ascii="Arial" w:hAnsi="Arial" w:cs="Arial"/>
          <w:sz w:val="24"/>
          <w:szCs w:val="24"/>
        </w:rPr>
        <w:t xml:space="preserve">=230 nM; </w:t>
      </w:r>
      <w:r w:rsidRPr="00AA7FF1">
        <w:rPr>
          <w:rFonts w:ascii="Arial" w:hAnsi="Arial" w:cs="Arial"/>
          <w:sz w:val="24"/>
          <w:szCs w:val="24"/>
          <w:vertAlign w:val="superscript"/>
        </w:rPr>
        <w:t>hM4Di</w:t>
      </w:r>
      <w:r w:rsidRPr="00AA7FF1">
        <w:rPr>
          <w:rFonts w:ascii="Arial" w:hAnsi="Arial" w:cs="Arial"/>
          <w:i/>
          <w:sz w:val="24"/>
          <w:szCs w:val="24"/>
        </w:rPr>
        <w:t>K</w:t>
      </w:r>
      <w:r w:rsidRPr="00AA7FF1">
        <w:rPr>
          <w:rFonts w:ascii="Arial" w:hAnsi="Arial" w:cs="Arial"/>
          <w:sz w:val="24"/>
          <w:szCs w:val="24"/>
          <w:vertAlign w:val="subscript"/>
        </w:rPr>
        <w:t>i</w:t>
      </w:r>
      <w:r w:rsidRPr="00AA7FF1">
        <w:rPr>
          <w:rFonts w:ascii="Arial" w:hAnsi="Arial" w:cs="Arial"/>
          <w:sz w:val="24"/>
          <w:szCs w:val="24"/>
        </w:rPr>
        <w:t>=91 nM) compared to clozapine (</w:t>
      </w:r>
      <w:r w:rsidRPr="00AA7FF1">
        <w:rPr>
          <w:rFonts w:ascii="Arial" w:hAnsi="Arial" w:cs="Arial"/>
          <w:sz w:val="24"/>
          <w:szCs w:val="24"/>
          <w:vertAlign w:val="superscript"/>
        </w:rPr>
        <w:t>hM3Dq</w:t>
      </w:r>
      <w:r w:rsidRPr="00AA7FF1">
        <w:rPr>
          <w:rFonts w:ascii="Arial" w:hAnsi="Arial" w:cs="Arial"/>
          <w:i/>
          <w:sz w:val="24"/>
          <w:szCs w:val="24"/>
        </w:rPr>
        <w:t>K</w:t>
      </w:r>
      <w:r w:rsidRPr="00AA7FF1">
        <w:rPr>
          <w:rFonts w:ascii="Arial" w:hAnsi="Arial" w:cs="Arial"/>
          <w:sz w:val="24"/>
          <w:szCs w:val="24"/>
          <w:vertAlign w:val="subscript"/>
        </w:rPr>
        <w:t>i</w:t>
      </w:r>
      <w:r w:rsidRPr="00AA7FF1">
        <w:rPr>
          <w:rFonts w:ascii="Arial" w:hAnsi="Arial" w:cs="Arial"/>
          <w:sz w:val="24"/>
          <w:szCs w:val="24"/>
        </w:rPr>
        <w:t xml:space="preserve">=3.5 nM; </w:t>
      </w:r>
      <w:r w:rsidRPr="00AA7FF1">
        <w:rPr>
          <w:rFonts w:ascii="Arial" w:hAnsi="Arial" w:cs="Arial"/>
          <w:sz w:val="24"/>
          <w:szCs w:val="24"/>
          <w:vertAlign w:val="superscript"/>
        </w:rPr>
        <w:t>hM4Di</w:t>
      </w:r>
      <w:r w:rsidRPr="00AA7FF1">
        <w:rPr>
          <w:rFonts w:ascii="Arial" w:hAnsi="Arial" w:cs="Arial"/>
          <w:i/>
          <w:sz w:val="24"/>
          <w:szCs w:val="24"/>
        </w:rPr>
        <w:t>K</w:t>
      </w:r>
      <w:r w:rsidRPr="00AA7FF1">
        <w:rPr>
          <w:rFonts w:ascii="Arial" w:hAnsi="Arial" w:cs="Arial"/>
          <w:sz w:val="24"/>
          <w:szCs w:val="24"/>
          <w:vertAlign w:val="subscript"/>
        </w:rPr>
        <w:t>i</w:t>
      </w:r>
      <w:r w:rsidRPr="00AA7FF1">
        <w:rPr>
          <w:rFonts w:ascii="Arial" w:hAnsi="Arial" w:cs="Arial"/>
          <w:sz w:val="24"/>
          <w:szCs w:val="24"/>
        </w:rPr>
        <w:t>=2.8 nM) (</w:t>
      </w:r>
      <w:r w:rsidRPr="00AA7FF1">
        <w:rPr>
          <w:rFonts w:ascii="Arial" w:hAnsi="Arial" w:cs="Arial"/>
          <w:b/>
          <w:sz w:val="24"/>
          <w:szCs w:val="24"/>
        </w:rPr>
        <w:t>d</w:t>
      </w:r>
      <w:r w:rsidRPr="00AA7FF1">
        <w:rPr>
          <w:rFonts w:ascii="Arial" w:hAnsi="Arial" w:cs="Arial"/>
          <w:sz w:val="24"/>
          <w:szCs w:val="24"/>
        </w:rPr>
        <w:t>).  In functional assays measuring excitatory hM3Dq DREADD activation in transfected HEK-293 cells, C21 elicited potent intracellular Ca</w:t>
      </w:r>
      <w:r w:rsidRPr="00AA7FF1">
        <w:rPr>
          <w:rFonts w:ascii="Arial" w:hAnsi="Arial" w:cs="Arial"/>
          <w:sz w:val="24"/>
          <w:szCs w:val="24"/>
          <w:vertAlign w:val="superscript"/>
        </w:rPr>
        <w:t>2+</w:t>
      </w:r>
      <w:r w:rsidRPr="00AA7FF1">
        <w:rPr>
          <w:rFonts w:ascii="Arial" w:hAnsi="Arial" w:cs="Arial"/>
          <w:sz w:val="24"/>
          <w:szCs w:val="24"/>
        </w:rPr>
        <w:t xml:space="preserve"> increases comparable to that of clozapine (</w:t>
      </w:r>
      <w:r w:rsidRPr="00AA7FF1">
        <w:rPr>
          <w:rFonts w:ascii="Arial" w:hAnsi="Arial" w:cs="Arial"/>
          <w:b/>
          <w:sz w:val="24"/>
          <w:szCs w:val="24"/>
        </w:rPr>
        <w:t>e</w:t>
      </w:r>
      <w:r w:rsidRPr="00AA7FF1">
        <w:rPr>
          <w:rFonts w:ascii="Arial" w:hAnsi="Arial" w:cs="Arial"/>
          <w:sz w:val="24"/>
          <w:szCs w:val="24"/>
        </w:rPr>
        <w:t>). However, C21 was less potent than clozapine at Gi/o activation in cells or tissue expressing hM4Di (</w:t>
      </w:r>
      <w:r w:rsidRPr="00AA7FF1">
        <w:rPr>
          <w:rFonts w:ascii="Arial" w:hAnsi="Arial" w:cs="Arial"/>
          <w:b/>
          <w:sz w:val="24"/>
          <w:szCs w:val="24"/>
        </w:rPr>
        <w:t>e-g</w:t>
      </w:r>
      <w:r w:rsidRPr="00AA7FF1">
        <w:rPr>
          <w:rFonts w:ascii="Arial" w:hAnsi="Arial" w:cs="Arial"/>
          <w:sz w:val="24"/>
          <w:szCs w:val="24"/>
        </w:rPr>
        <w:t>). Neither clozapine nor C21 produced detectable functional responses in cells (Supplementary Fig. 3) or tissues devoid of DREADD expression (</w:t>
      </w:r>
      <w:r w:rsidRPr="00AA7FF1">
        <w:rPr>
          <w:rFonts w:ascii="Arial" w:hAnsi="Arial" w:cs="Arial"/>
          <w:b/>
          <w:sz w:val="24"/>
          <w:szCs w:val="24"/>
        </w:rPr>
        <w:t>f</w:t>
      </w:r>
      <w:r w:rsidRPr="00AA7FF1">
        <w:rPr>
          <w:rFonts w:ascii="Arial" w:hAnsi="Arial" w:cs="Arial"/>
          <w:sz w:val="24"/>
          <w:szCs w:val="24"/>
        </w:rPr>
        <w:t xml:space="preserve">). </w:t>
      </w:r>
    </w:p>
    <w:p w14:paraId="03FEF690" w14:textId="77777777" w:rsidR="005354B6" w:rsidRPr="00AA7FF1" w:rsidRDefault="005354B6" w:rsidP="005354B6">
      <w:pPr>
        <w:rPr>
          <w:rFonts w:ascii="Arial" w:hAnsi="Arial" w:cs="Arial"/>
          <w:b/>
          <w:sz w:val="28"/>
          <w:szCs w:val="24"/>
        </w:rPr>
      </w:pPr>
    </w:p>
    <w:p w14:paraId="6745AA48" w14:textId="77777777" w:rsidR="005354B6" w:rsidRPr="00AA7FF1" w:rsidRDefault="005354B6" w:rsidP="005354B6">
      <w:pPr>
        <w:rPr>
          <w:rFonts w:ascii="Arial" w:hAnsi="Arial" w:cs="Arial"/>
          <w:b/>
          <w:sz w:val="28"/>
          <w:szCs w:val="24"/>
        </w:rPr>
      </w:pPr>
      <w:r w:rsidRPr="00AA7FF1">
        <w:rPr>
          <w:rFonts w:ascii="Arial" w:hAnsi="Arial" w:cs="Arial"/>
          <w:b/>
          <w:noProof/>
          <w:sz w:val="28"/>
          <w:szCs w:val="24"/>
          <w:lang w:val="en-GB" w:eastAsia="en-GB"/>
        </w:rPr>
        <w:lastRenderedPageBreak/>
        <w:drawing>
          <wp:inline distT="0" distB="0" distL="0" distR="0" wp14:anchorId="1D942D9F" wp14:editId="58A6FEBB">
            <wp:extent cx="6400800" cy="3601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0" cy="3601720"/>
                    </a:xfrm>
                    <a:prstGeom prst="rect">
                      <a:avLst/>
                    </a:prstGeom>
                    <a:noFill/>
                    <a:ln>
                      <a:noFill/>
                    </a:ln>
                  </pic:spPr>
                </pic:pic>
              </a:graphicData>
            </a:graphic>
          </wp:inline>
        </w:drawing>
      </w:r>
    </w:p>
    <w:p w14:paraId="76A2804B" w14:textId="77777777" w:rsidR="005354B6" w:rsidRPr="00AA7FF1" w:rsidRDefault="005354B6" w:rsidP="005354B6">
      <w:pPr>
        <w:jc w:val="both"/>
        <w:rPr>
          <w:rFonts w:ascii="Arial" w:hAnsi="Arial" w:cs="Arial"/>
          <w:b/>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w:t>
      </w:r>
      <w:r w:rsidRPr="00AA7FF1">
        <w:rPr>
          <w:rFonts w:ascii="Arial" w:hAnsi="Arial" w:cs="Arial"/>
          <w:sz w:val="24"/>
          <w:szCs w:val="24"/>
        </w:rPr>
        <w:t>) Structures of C21 and clozapine (CLZ). (</w:t>
      </w:r>
      <w:r w:rsidRPr="00AA7FF1">
        <w:rPr>
          <w:rFonts w:ascii="Arial" w:hAnsi="Arial" w:cs="Arial"/>
          <w:b/>
          <w:sz w:val="24"/>
          <w:szCs w:val="24"/>
        </w:rPr>
        <w:t>b</w:t>
      </w:r>
      <w:r w:rsidRPr="00AA7FF1">
        <w:rPr>
          <w:rFonts w:ascii="Arial" w:hAnsi="Arial" w:cs="Arial"/>
          <w:sz w:val="24"/>
          <w:szCs w:val="24"/>
        </w:rPr>
        <w:t>) Unlike [</w:t>
      </w:r>
      <w:r w:rsidRPr="00AA7FF1">
        <w:rPr>
          <w:rFonts w:ascii="Arial" w:hAnsi="Arial" w:cs="Arial"/>
          <w:sz w:val="24"/>
          <w:szCs w:val="24"/>
          <w:vertAlign w:val="superscript"/>
        </w:rPr>
        <w:t>3</w:t>
      </w:r>
      <w:r w:rsidRPr="00AA7FF1">
        <w:rPr>
          <w:rFonts w:ascii="Arial" w:hAnsi="Arial" w:cs="Arial"/>
          <w:sz w:val="24"/>
          <w:szCs w:val="24"/>
        </w:rPr>
        <w:t>H]CLZ (3.5 nM), [</w:t>
      </w:r>
      <w:r w:rsidRPr="00AA7FF1">
        <w:rPr>
          <w:rFonts w:ascii="Arial" w:hAnsi="Arial" w:cs="Arial"/>
          <w:sz w:val="24"/>
          <w:szCs w:val="24"/>
          <w:vertAlign w:val="superscript"/>
        </w:rPr>
        <w:t>3</w:t>
      </w:r>
      <w:r w:rsidRPr="00AA7FF1">
        <w:rPr>
          <w:rFonts w:ascii="Arial" w:hAnsi="Arial" w:cs="Arial"/>
          <w:sz w:val="24"/>
          <w:szCs w:val="24"/>
        </w:rPr>
        <w:t>H]C21 (10 nM) does not bind to DREADDs expressed in mouse brain slices. (</w:t>
      </w:r>
      <w:r w:rsidRPr="00AA7FF1">
        <w:rPr>
          <w:rFonts w:ascii="Arial" w:hAnsi="Arial" w:cs="Arial"/>
          <w:b/>
          <w:sz w:val="24"/>
          <w:szCs w:val="24"/>
        </w:rPr>
        <w:t>c</w:t>
      </w:r>
      <w:r w:rsidRPr="00AA7FF1">
        <w:rPr>
          <w:rFonts w:ascii="Arial" w:hAnsi="Arial" w:cs="Arial"/>
          <w:sz w:val="24"/>
          <w:szCs w:val="24"/>
        </w:rPr>
        <w:t>) [</w:t>
      </w:r>
      <w:r w:rsidRPr="00AA7FF1">
        <w:rPr>
          <w:rFonts w:ascii="Arial" w:hAnsi="Arial" w:cs="Arial"/>
          <w:sz w:val="24"/>
          <w:szCs w:val="24"/>
          <w:vertAlign w:val="superscript"/>
        </w:rPr>
        <w:t>3</w:t>
      </w:r>
      <w:r w:rsidRPr="00AA7FF1">
        <w:rPr>
          <w:rFonts w:ascii="Arial" w:hAnsi="Arial" w:cs="Arial"/>
          <w:sz w:val="24"/>
          <w:szCs w:val="24"/>
        </w:rPr>
        <w:t>H]C21 (10 nM) and [</w:t>
      </w:r>
      <w:r w:rsidRPr="00AA7FF1">
        <w:rPr>
          <w:rFonts w:ascii="Arial" w:hAnsi="Arial" w:cs="Arial"/>
          <w:sz w:val="24"/>
          <w:szCs w:val="24"/>
          <w:vertAlign w:val="superscript"/>
        </w:rPr>
        <w:t>3</w:t>
      </w:r>
      <w:r w:rsidRPr="00AA7FF1">
        <w:rPr>
          <w:rFonts w:ascii="Arial" w:hAnsi="Arial" w:cs="Arial"/>
          <w:sz w:val="24"/>
          <w:szCs w:val="24"/>
        </w:rPr>
        <w:t>H]CLZ (3.5 nM) both bind to hM4Di expressed in the monkey amygdala but [</w:t>
      </w:r>
      <w:r w:rsidRPr="00AA7FF1">
        <w:rPr>
          <w:rFonts w:ascii="Arial" w:hAnsi="Arial" w:cs="Arial"/>
          <w:sz w:val="24"/>
          <w:szCs w:val="24"/>
          <w:vertAlign w:val="superscript"/>
        </w:rPr>
        <w:t>3</w:t>
      </w:r>
      <w:r w:rsidRPr="00AA7FF1">
        <w:rPr>
          <w:rFonts w:ascii="Arial" w:hAnsi="Arial" w:cs="Arial"/>
          <w:sz w:val="24"/>
          <w:szCs w:val="24"/>
        </w:rPr>
        <w:t>H]C21 exhibits lower selectivity. (</w:t>
      </w:r>
      <w:r w:rsidRPr="00AA7FF1">
        <w:rPr>
          <w:rFonts w:ascii="Arial" w:hAnsi="Arial" w:cs="Arial"/>
          <w:b/>
          <w:sz w:val="24"/>
          <w:szCs w:val="24"/>
        </w:rPr>
        <w:t>d</w:t>
      </w:r>
      <w:r w:rsidRPr="00AA7FF1">
        <w:rPr>
          <w:rFonts w:ascii="Arial" w:hAnsi="Arial" w:cs="Arial"/>
          <w:sz w:val="24"/>
          <w:szCs w:val="24"/>
        </w:rPr>
        <w:t>) Binding competition curves of [</w:t>
      </w:r>
      <w:r w:rsidRPr="00AA7FF1">
        <w:rPr>
          <w:rFonts w:ascii="Arial" w:hAnsi="Arial" w:cs="Arial"/>
          <w:sz w:val="24"/>
          <w:szCs w:val="24"/>
          <w:vertAlign w:val="superscript"/>
        </w:rPr>
        <w:t>3</w:t>
      </w:r>
      <w:r w:rsidRPr="00AA7FF1">
        <w:rPr>
          <w:rFonts w:ascii="Arial" w:hAnsi="Arial" w:cs="Arial"/>
          <w:sz w:val="24"/>
          <w:szCs w:val="24"/>
        </w:rPr>
        <w:t>H]CLZ versus increasing concentrations of C13 and C22 in HEK-293 cells expressing DREADDs. C21 has 100-fold less affinity than CLZ. (</w:t>
      </w:r>
      <w:r w:rsidRPr="00AA7FF1">
        <w:rPr>
          <w:rFonts w:ascii="Arial" w:hAnsi="Arial" w:cs="Arial"/>
          <w:b/>
          <w:sz w:val="24"/>
          <w:szCs w:val="24"/>
        </w:rPr>
        <w:t>e</w:t>
      </w:r>
      <w:r w:rsidRPr="00AA7FF1">
        <w:rPr>
          <w:rFonts w:ascii="Arial" w:hAnsi="Arial" w:cs="Arial"/>
          <w:sz w:val="24"/>
          <w:szCs w:val="24"/>
        </w:rPr>
        <w:t>) C21 and CLZ have comparable potency at inducing hM3Dq-mediated intracellular Ca2+ increases in HEK-293 cells but CLZ showed greater potency at hM4Di-dependent Go activation. (</w:t>
      </w:r>
      <w:r w:rsidRPr="00AA7FF1">
        <w:rPr>
          <w:rFonts w:ascii="Arial" w:hAnsi="Arial" w:cs="Arial"/>
          <w:b/>
          <w:sz w:val="24"/>
          <w:szCs w:val="24"/>
        </w:rPr>
        <w:t>f, g</w:t>
      </w:r>
      <w:r w:rsidRPr="00AA7FF1">
        <w:rPr>
          <w:rFonts w:ascii="Arial" w:hAnsi="Arial" w:cs="Arial"/>
          <w:sz w:val="24"/>
          <w:szCs w:val="24"/>
        </w:rPr>
        <w:t>) CLZ induces significantly greater hM4Di activation (measured as [</w:t>
      </w:r>
      <w:r w:rsidRPr="00AA7FF1">
        <w:rPr>
          <w:rFonts w:ascii="Arial" w:hAnsi="Arial" w:cs="Arial"/>
          <w:sz w:val="24"/>
          <w:szCs w:val="24"/>
          <w:vertAlign w:val="superscript"/>
        </w:rPr>
        <w:t>35</w:t>
      </w:r>
      <w:r w:rsidRPr="00AA7FF1">
        <w:rPr>
          <w:rFonts w:ascii="Arial" w:hAnsi="Arial" w:cs="Arial"/>
          <w:sz w:val="24"/>
          <w:szCs w:val="24"/>
        </w:rPr>
        <w:t xml:space="preserve">S]GTPγS binding) compared to C21 in rat brain sections.  Data panels </w:t>
      </w:r>
      <w:r w:rsidRPr="00AA7FF1">
        <w:rPr>
          <w:rFonts w:ascii="Arial" w:hAnsi="Arial" w:cs="Arial"/>
          <w:b/>
          <w:sz w:val="24"/>
          <w:szCs w:val="24"/>
        </w:rPr>
        <w:t>d</w:t>
      </w:r>
      <w:r w:rsidRPr="00AA7FF1">
        <w:rPr>
          <w:rFonts w:ascii="Arial" w:hAnsi="Arial" w:cs="Arial"/>
          <w:sz w:val="24"/>
          <w:szCs w:val="24"/>
        </w:rPr>
        <w:t xml:space="preserve">, </w:t>
      </w:r>
      <w:r w:rsidRPr="00AA7FF1">
        <w:rPr>
          <w:rFonts w:ascii="Arial" w:hAnsi="Arial" w:cs="Arial"/>
          <w:b/>
          <w:sz w:val="24"/>
          <w:szCs w:val="24"/>
        </w:rPr>
        <w:t>e</w:t>
      </w:r>
      <w:r w:rsidRPr="00AA7FF1">
        <w:rPr>
          <w:rFonts w:ascii="Arial" w:hAnsi="Arial" w:cs="Arial"/>
          <w:sz w:val="24"/>
          <w:szCs w:val="24"/>
        </w:rPr>
        <w:t xml:space="preserve"> and </w:t>
      </w:r>
      <w:r w:rsidRPr="00AA7FF1">
        <w:rPr>
          <w:rFonts w:ascii="Arial" w:hAnsi="Arial" w:cs="Arial"/>
          <w:b/>
          <w:sz w:val="24"/>
          <w:szCs w:val="24"/>
        </w:rPr>
        <w:t>g</w:t>
      </w:r>
      <w:r w:rsidRPr="00AA7FF1">
        <w:rPr>
          <w:rFonts w:ascii="Arial" w:hAnsi="Arial" w:cs="Arial"/>
          <w:sz w:val="24"/>
          <w:szCs w:val="24"/>
        </w:rPr>
        <w:t xml:space="preserve"> represents mean ± SEM (error bars smaller than the data points are not displayed). In </w:t>
      </w:r>
      <w:r w:rsidRPr="00AA7FF1">
        <w:rPr>
          <w:rFonts w:ascii="Arial" w:hAnsi="Arial" w:cs="Arial"/>
          <w:b/>
          <w:sz w:val="24"/>
          <w:szCs w:val="24"/>
        </w:rPr>
        <w:t>g</w:t>
      </w:r>
      <w:r w:rsidRPr="00AA7FF1">
        <w:rPr>
          <w:rFonts w:ascii="Arial" w:hAnsi="Arial" w:cs="Arial"/>
          <w:sz w:val="24"/>
          <w:szCs w:val="24"/>
        </w:rPr>
        <w:t>, one-way ANOVA (F</w:t>
      </w:r>
      <w:r w:rsidRPr="00AA7FF1">
        <w:rPr>
          <w:rFonts w:ascii="Arial" w:hAnsi="Arial" w:cs="Arial"/>
          <w:sz w:val="24"/>
          <w:szCs w:val="24"/>
          <w:vertAlign w:val="subscript"/>
        </w:rPr>
        <w:t>(2,15)</w:t>
      </w:r>
      <w:r w:rsidRPr="00AA7FF1">
        <w:rPr>
          <w:rFonts w:ascii="Arial" w:hAnsi="Arial" w:cs="Arial"/>
          <w:sz w:val="24"/>
          <w:szCs w:val="24"/>
        </w:rPr>
        <w:t>=52.79) followed by Dunnett’s multiple comparison tests, *** represents p &lt; 0.0001 compared with basal.</w:t>
      </w:r>
    </w:p>
    <w:p w14:paraId="5320ABEA" w14:textId="77777777" w:rsidR="005354B6" w:rsidRPr="00AA7FF1" w:rsidRDefault="005354B6" w:rsidP="005354B6">
      <w:pPr>
        <w:spacing w:line="480" w:lineRule="auto"/>
        <w:jc w:val="both"/>
        <w:rPr>
          <w:rFonts w:ascii="Arial" w:hAnsi="Arial" w:cs="Arial"/>
          <w:b/>
          <w:sz w:val="24"/>
          <w:szCs w:val="24"/>
        </w:rPr>
      </w:pPr>
    </w:p>
    <w:p w14:paraId="277014CA" w14:textId="77777777" w:rsidR="005354B6" w:rsidRPr="00AA7FF1" w:rsidRDefault="005354B6" w:rsidP="005354B6">
      <w:pPr>
        <w:rPr>
          <w:rFonts w:ascii="Arial" w:hAnsi="Arial" w:cs="Arial"/>
          <w:b/>
          <w:sz w:val="24"/>
          <w:szCs w:val="24"/>
        </w:rPr>
      </w:pPr>
      <w:r w:rsidRPr="00AA7FF1">
        <w:rPr>
          <w:rFonts w:ascii="Arial" w:hAnsi="Arial" w:cs="Arial"/>
          <w:b/>
          <w:sz w:val="24"/>
          <w:szCs w:val="24"/>
        </w:rPr>
        <w:br w:type="page"/>
      </w:r>
    </w:p>
    <w:p w14:paraId="11DA48A0"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b/>
          <w:sz w:val="24"/>
          <w:szCs w:val="24"/>
        </w:rPr>
        <w:lastRenderedPageBreak/>
        <w:t>Supplementary Figure 2.</w:t>
      </w:r>
      <w:r w:rsidRPr="00AA7FF1">
        <w:rPr>
          <w:rFonts w:ascii="Arial" w:hAnsi="Arial" w:cs="Arial"/>
          <w:sz w:val="24"/>
          <w:szCs w:val="24"/>
        </w:rPr>
        <w:t xml:space="preserve"> </w:t>
      </w:r>
    </w:p>
    <w:p w14:paraId="7E20E149" w14:textId="77777777" w:rsidR="005354B6" w:rsidRPr="00AA7FF1" w:rsidRDefault="005354B6" w:rsidP="005354B6">
      <w:pPr>
        <w:spacing w:line="480" w:lineRule="auto"/>
        <w:jc w:val="both"/>
        <w:rPr>
          <w:rFonts w:ascii="Arial" w:hAnsi="Arial" w:cs="Arial"/>
          <w:b/>
          <w:i/>
          <w:sz w:val="24"/>
          <w:szCs w:val="24"/>
        </w:rPr>
      </w:pPr>
      <w:r w:rsidRPr="00AA7FF1">
        <w:rPr>
          <w:rFonts w:ascii="Arial" w:hAnsi="Arial" w:cs="Arial"/>
          <w:b/>
          <w:sz w:val="24"/>
          <w:szCs w:val="24"/>
        </w:rPr>
        <w:t xml:space="preserve">C21 exhibits lower brain penetrance and weaker </w:t>
      </w:r>
      <w:r w:rsidRPr="00AA7FF1">
        <w:rPr>
          <w:rFonts w:ascii="Arial" w:hAnsi="Arial" w:cs="Arial"/>
          <w:b/>
          <w:i/>
          <w:sz w:val="24"/>
          <w:szCs w:val="24"/>
        </w:rPr>
        <w:t xml:space="preserve">in vivo </w:t>
      </w:r>
      <w:r w:rsidRPr="00AA7FF1">
        <w:rPr>
          <w:rFonts w:ascii="Arial" w:hAnsi="Arial" w:cs="Arial"/>
          <w:b/>
          <w:sz w:val="24"/>
          <w:szCs w:val="24"/>
        </w:rPr>
        <w:t>DREADD potency in rodents and in monkeys compared to clozapine</w:t>
      </w:r>
      <w:r w:rsidRPr="00AA7FF1">
        <w:rPr>
          <w:rFonts w:ascii="Arial" w:hAnsi="Arial" w:cs="Arial"/>
          <w:b/>
          <w:i/>
          <w:sz w:val="24"/>
          <w:szCs w:val="24"/>
        </w:rPr>
        <w:t xml:space="preserve"> </w:t>
      </w:r>
    </w:p>
    <w:p w14:paraId="4E6FB271"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sz w:val="24"/>
          <w:szCs w:val="24"/>
        </w:rPr>
        <w:t>As recently reported</w:t>
      </w:r>
      <w:r w:rsidRPr="00AA7FF1">
        <w:rPr>
          <w:rFonts w:ascii="Arial" w:hAnsi="Arial" w:cs="Arial"/>
          <w:sz w:val="24"/>
          <w:szCs w:val="24"/>
        </w:rPr>
        <w:fldChar w:fldCharType="begin"/>
      </w:r>
      <w:r w:rsidRPr="00AA7FF1">
        <w:rPr>
          <w:rFonts w:ascii="Arial" w:hAnsi="Arial" w:cs="Arial"/>
          <w:sz w:val="24"/>
          <w:szCs w:val="24"/>
        </w:rPr>
        <w:instrText xml:space="preserve"> ADDIN EN.CITE &lt;EndNote&gt;&lt;Cite&gt;&lt;Author&gt;Thompson&lt;/Author&gt;&lt;Year&gt;2018&lt;/Year&gt;&lt;RecNum&gt;3&lt;/RecNum&gt;&lt;DisplayText&gt;&lt;style face="superscript"&gt;4&lt;/style&gt;&lt;/DisplayText&gt;&lt;record&gt;&lt;rec-number&gt;3&lt;/rec-number&gt;&lt;foreign-keys&gt;&lt;key app="EN" db-id="et50zf5vm0zv2hewvt3x5v5td5dwptvze59a" timestamp="1536712495"&gt;3&lt;/key&gt;&lt;/foreign-keys&gt;&lt;ref-type name="Journal Article"&gt;17&lt;/ref-type&gt;&lt;contributors&gt;&lt;authors&gt;&lt;author&gt;Thompson, Karen J.&lt;/author&gt;&lt;author&gt;Khajehali, Elham&lt;/author&gt;&lt;author&gt;Bradley, Sophie J.&lt;/author&gt;&lt;author&gt;Navarrete, Jovana S.&lt;/author&gt;&lt;author&gt;Huang, Xi Ping&lt;/author&gt;&lt;author&gt;Slocum, Samuel&lt;/author&gt;&lt;author&gt;Jin, Jian&lt;/author&gt;&lt;author&gt;Liu, Jing&lt;/author&gt;&lt;author&gt;Xiong, Yan&lt;/author&gt;&lt;author&gt;Olsen, Reid H. J.&lt;/author&gt;&lt;author&gt;Diberto, Jeffrey F.&lt;/author&gt;&lt;author&gt;Boyt, Kristen M.&lt;/author&gt;&lt;author&gt;Pina, Melanie M.&lt;/author&gt;&lt;author&gt;Pati, Dipanwita&lt;/author&gt;&lt;author&gt;Molloy, Colin&lt;/author&gt;&lt;author&gt;Bundgaard, Christoffer&lt;/author&gt;&lt;author&gt;Sexton, Patrick M.&lt;/author&gt;&lt;author&gt;Kash, Thomas L.&lt;/author&gt;&lt;author&gt;Krashes, Michael J.&lt;/author&gt;&lt;author&gt;Christopoulos, Arthur&lt;/author&gt;&lt;author&gt;Roth, Bryan L.&lt;/author&gt;&lt;author&gt;Tobin, Andrew B.&lt;/author&gt;&lt;/authors&gt;&lt;/contributors&gt;&lt;titles&gt;&lt;title&gt;DREADD Agonist 21 Is an Effective Agonist for Muscarinic-Based DREADDs in Vitro and in Vivo&lt;/title&gt;&lt;secondary-title&gt;ACS Pharmacology &amp;amp; Translational Science&lt;/secondary-title&gt;&lt;/titles&gt;&lt;periodical&gt;&lt;full-title&gt;ACS Pharmacology &amp;amp; Translational Science&lt;/full-title&gt;&lt;/periodical&gt;&lt;dates&gt;&lt;year&gt;2018&lt;/year&gt;&lt;pub-dates&gt;&lt;date&gt;2018/07/27&lt;/date&gt;&lt;/pub-dates&gt;&lt;/dates&gt;&lt;publisher&gt;American Chemical Society&lt;/publisher&gt;&lt;urls&gt;&lt;related-urls&gt;&lt;url&gt;https://doi.org/10.1021/acsptsci.8b00012&lt;/url&gt;&lt;/related-urls&gt;&lt;/urls&gt;&lt;electronic-resource-num&gt;10.1021/acsptsci.8b00012&lt;/electronic-resource-num&gt;&lt;/record&gt;&lt;/Cite&gt;&lt;/EndNote&gt;</w:instrText>
      </w:r>
      <w:r w:rsidRPr="00AA7FF1">
        <w:rPr>
          <w:rFonts w:ascii="Arial" w:hAnsi="Arial" w:cs="Arial"/>
          <w:sz w:val="24"/>
          <w:szCs w:val="24"/>
        </w:rPr>
        <w:fldChar w:fldCharType="separate"/>
      </w:r>
      <w:r w:rsidRPr="00AA7FF1">
        <w:rPr>
          <w:rFonts w:ascii="Arial" w:hAnsi="Arial" w:cs="Arial"/>
          <w:noProof/>
          <w:sz w:val="24"/>
          <w:szCs w:val="24"/>
          <w:vertAlign w:val="superscript"/>
        </w:rPr>
        <w:t>4</w:t>
      </w:r>
      <w:r w:rsidRPr="00AA7FF1">
        <w:rPr>
          <w:rFonts w:ascii="Arial" w:hAnsi="Arial" w:cs="Arial"/>
          <w:sz w:val="24"/>
          <w:szCs w:val="24"/>
        </w:rPr>
        <w:fldChar w:fldCharType="end"/>
      </w:r>
      <w:r w:rsidRPr="00AA7FF1">
        <w:rPr>
          <w:rFonts w:ascii="Arial" w:hAnsi="Arial" w:cs="Arial"/>
          <w:sz w:val="24"/>
          <w:szCs w:val="24"/>
        </w:rPr>
        <w:t>, we found that systemic administration of C21 led to a low brain/serum ratios of the compound in mice and a similar result (CSF/serum) was observed in the monkey (</w:t>
      </w:r>
      <w:r w:rsidRPr="00AA7FF1">
        <w:rPr>
          <w:rFonts w:ascii="Arial" w:hAnsi="Arial" w:cs="Arial"/>
          <w:b/>
          <w:sz w:val="24"/>
          <w:szCs w:val="24"/>
        </w:rPr>
        <w:t>a, b</w:t>
      </w:r>
      <w:r w:rsidRPr="00AA7FF1">
        <w:rPr>
          <w:rFonts w:ascii="Arial" w:hAnsi="Arial" w:cs="Arial"/>
          <w:sz w:val="24"/>
          <w:szCs w:val="24"/>
        </w:rPr>
        <w:t>). These low ratios suggested poor brain penetrance. Unlike CNO</w:t>
      </w:r>
      <w:r w:rsidRPr="00AA7FF1">
        <w:rPr>
          <w:rFonts w:ascii="Arial" w:hAnsi="Arial" w:cs="Arial"/>
          <w:sz w:val="24"/>
          <w:szCs w:val="24"/>
        </w:rPr>
        <w:fldChar w:fldCharType="begin">
          <w:fldData xml:space="preserve">PEVuZE5vdGU+PENpdGU+PEF1dGhvcj5SYXBlcjwvQXV0aG9yPjxZZWFyPjIwMTc8L1llYXI+PFJl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==
</w:fldData>
        </w:fldChar>
      </w:r>
      <w:r w:rsidRPr="00AA7FF1">
        <w:rPr>
          <w:rFonts w:ascii="Arial" w:hAnsi="Arial" w:cs="Arial"/>
          <w:sz w:val="24"/>
          <w:szCs w:val="24"/>
        </w:rPr>
        <w:instrText xml:space="preserve"> ADDIN EN.CITE </w:instrText>
      </w:r>
      <w:r w:rsidRPr="00AA7FF1">
        <w:rPr>
          <w:rFonts w:ascii="Arial" w:hAnsi="Arial" w:cs="Arial"/>
          <w:sz w:val="24"/>
          <w:szCs w:val="24"/>
        </w:rPr>
        <w:fldChar w:fldCharType="begin">
          <w:fldData xml:space="preserve">PEVuZE5vdGU+PENpdGU+PEF1dGhvcj5SYXBlcjwvQXV0aG9yPjxZZWFyPjIwMTc8L1llYXI+PFJl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==
</w:fldData>
        </w:fldChar>
      </w:r>
      <w:r w:rsidRPr="00AA7FF1">
        <w:rPr>
          <w:rFonts w:ascii="Arial" w:hAnsi="Arial" w:cs="Arial"/>
          <w:sz w:val="24"/>
          <w:szCs w:val="24"/>
        </w:rPr>
        <w:instrText xml:space="preserve"> ADDIN EN.CITE.DATA </w:instrText>
      </w:r>
      <w:r w:rsidRPr="00AA7FF1">
        <w:rPr>
          <w:rFonts w:ascii="Arial" w:hAnsi="Arial" w:cs="Arial"/>
          <w:sz w:val="24"/>
          <w:szCs w:val="24"/>
        </w:rPr>
      </w:r>
      <w:r w:rsidRPr="00AA7FF1">
        <w:rPr>
          <w:rFonts w:ascii="Arial" w:hAnsi="Arial" w:cs="Arial"/>
          <w:sz w:val="24"/>
          <w:szCs w:val="24"/>
        </w:rPr>
        <w:fldChar w:fldCharType="end"/>
      </w:r>
      <w:r w:rsidRPr="00AA7FF1">
        <w:rPr>
          <w:rFonts w:ascii="Arial" w:hAnsi="Arial" w:cs="Arial"/>
          <w:sz w:val="24"/>
          <w:szCs w:val="24"/>
        </w:rPr>
      </w:r>
      <w:r w:rsidRPr="00AA7FF1">
        <w:rPr>
          <w:rFonts w:ascii="Arial" w:hAnsi="Arial" w:cs="Arial"/>
          <w:sz w:val="24"/>
          <w:szCs w:val="24"/>
        </w:rPr>
        <w:fldChar w:fldCharType="separate"/>
      </w:r>
      <w:r w:rsidRPr="00AA7FF1">
        <w:rPr>
          <w:rFonts w:ascii="Arial" w:hAnsi="Arial" w:cs="Arial"/>
          <w:noProof/>
          <w:sz w:val="24"/>
          <w:szCs w:val="24"/>
          <w:vertAlign w:val="superscript"/>
        </w:rPr>
        <w:t>2,14</w:t>
      </w:r>
      <w:r w:rsidRPr="00AA7FF1">
        <w:rPr>
          <w:rFonts w:ascii="Arial" w:hAnsi="Arial" w:cs="Arial"/>
          <w:sz w:val="24"/>
          <w:szCs w:val="24"/>
        </w:rPr>
        <w:fldChar w:fldCharType="end"/>
      </w:r>
      <w:r w:rsidRPr="00AA7FF1">
        <w:rPr>
          <w:rFonts w:ascii="Arial" w:hAnsi="Arial" w:cs="Arial"/>
          <w:sz w:val="24"/>
          <w:szCs w:val="24"/>
        </w:rPr>
        <w:t>, C21 was not a substrate for the P-glycoprotein (P-gp) efflux pump (Supplementary Fig. 5). To assess direct brain engagement of DREADDs we injected wild-type (WT) and transgenic mice expressing hM3Dq or hM4Di in dopamine D1 receptor-expressing neurons (D1-hM3Dq or D1-hM4Di) intraperitoneally (IP) with [</w:t>
      </w:r>
      <w:r w:rsidRPr="00AA7FF1">
        <w:rPr>
          <w:rFonts w:ascii="Arial" w:hAnsi="Arial" w:cs="Arial"/>
          <w:sz w:val="24"/>
          <w:szCs w:val="24"/>
          <w:vertAlign w:val="superscript"/>
        </w:rPr>
        <w:t>3</w:t>
      </w:r>
      <w:r w:rsidRPr="00AA7FF1">
        <w:rPr>
          <w:rFonts w:ascii="Arial" w:hAnsi="Arial" w:cs="Arial"/>
          <w:sz w:val="24"/>
          <w:szCs w:val="24"/>
        </w:rPr>
        <w:t>H]C21 or [</w:t>
      </w:r>
      <w:r w:rsidRPr="00AA7FF1">
        <w:rPr>
          <w:rFonts w:ascii="Arial" w:hAnsi="Arial" w:cs="Arial"/>
          <w:sz w:val="24"/>
          <w:szCs w:val="24"/>
          <w:vertAlign w:val="superscript"/>
        </w:rPr>
        <w:t>3</w:t>
      </w:r>
      <w:r w:rsidRPr="00AA7FF1">
        <w:rPr>
          <w:rFonts w:ascii="Arial" w:hAnsi="Arial" w:cs="Arial"/>
          <w:sz w:val="24"/>
          <w:szCs w:val="24"/>
        </w:rPr>
        <w:t>H]clozapine and collected brain and organs 30 or 60 min later. [</w:t>
      </w:r>
      <w:r w:rsidRPr="00AA7FF1">
        <w:rPr>
          <w:rFonts w:ascii="Arial" w:hAnsi="Arial" w:cs="Arial"/>
          <w:sz w:val="24"/>
          <w:szCs w:val="24"/>
          <w:vertAlign w:val="superscript"/>
        </w:rPr>
        <w:t>3</w:t>
      </w:r>
      <w:r w:rsidRPr="00AA7FF1">
        <w:rPr>
          <w:rFonts w:ascii="Arial" w:hAnsi="Arial" w:cs="Arial"/>
          <w:sz w:val="24"/>
          <w:szCs w:val="24"/>
        </w:rPr>
        <w:t>H]C21 showed widespread uptake across various organs and in blood. The highest levels of [</w:t>
      </w:r>
      <w:r w:rsidRPr="00AA7FF1">
        <w:rPr>
          <w:rFonts w:ascii="Arial" w:hAnsi="Arial" w:cs="Arial"/>
          <w:sz w:val="24"/>
          <w:szCs w:val="24"/>
          <w:vertAlign w:val="superscript"/>
        </w:rPr>
        <w:t>3</w:t>
      </w:r>
      <w:r w:rsidRPr="00AA7FF1">
        <w:rPr>
          <w:rFonts w:ascii="Arial" w:hAnsi="Arial" w:cs="Arial"/>
          <w:sz w:val="24"/>
          <w:szCs w:val="24"/>
        </w:rPr>
        <w:t>H]C21 were observed in kidneys (Supplementary Fig. 3). In brain, [</w:t>
      </w:r>
      <w:r w:rsidRPr="00AA7FF1">
        <w:rPr>
          <w:rFonts w:ascii="Arial" w:hAnsi="Arial" w:cs="Arial"/>
          <w:sz w:val="24"/>
          <w:szCs w:val="24"/>
          <w:vertAlign w:val="superscript"/>
        </w:rPr>
        <w:t>3</w:t>
      </w:r>
      <w:r w:rsidRPr="00AA7FF1">
        <w:rPr>
          <w:rFonts w:ascii="Arial" w:hAnsi="Arial" w:cs="Arial"/>
          <w:sz w:val="24"/>
          <w:szCs w:val="24"/>
        </w:rPr>
        <w:t>H]C21 accumulated exclusively in ventricles without discernible DREADD engagement (</w:t>
      </w:r>
      <w:r w:rsidRPr="00AA7FF1">
        <w:rPr>
          <w:rFonts w:ascii="Arial" w:hAnsi="Arial" w:cs="Arial"/>
          <w:b/>
          <w:sz w:val="24"/>
          <w:szCs w:val="24"/>
        </w:rPr>
        <w:t>c-e</w:t>
      </w:r>
      <w:r w:rsidRPr="00AA7FF1">
        <w:rPr>
          <w:rFonts w:ascii="Arial" w:hAnsi="Arial" w:cs="Arial"/>
          <w:sz w:val="24"/>
          <w:szCs w:val="24"/>
        </w:rPr>
        <w:t xml:space="preserve">). In agreement with the results of the </w:t>
      </w:r>
      <w:r w:rsidRPr="00AA7FF1">
        <w:rPr>
          <w:rFonts w:ascii="Arial" w:hAnsi="Arial" w:cs="Arial"/>
          <w:i/>
          <w:sz w:val="24"/>
          <w:szCs w:val="24"/>
        </w:rPr>
        <w:t>ex vivo</w:t>
      </w:r>
      <w:r w:rsidRPr="00AA7FF1">
        <w:rPr>
          <w:rFonts w:ascii="Arial" w:hAnsi="Arial" w:cs="Arial"/>
          <w:sz w:val="24"/>
          <w:szCs w:val="24"/>
        </w:rPr>
        <w:t xml:space="preserve"> autoradiography described immediately above, PET imaging revealed that 1 mg/kg C21 (mouse: IP, monkey: IV) led to low (~10%) </w:t>
      </w:r>
      <w:r w:rsidRPr="00AA7FF1">
        <w:rPr>
          <w:rFonts w:ascii="Arial" w:hAnsi="Arial" w:cs="Arial"/>
          <w:i/>
          <w:sz w:val="24"/>
          <w:szCs w:val="24"/>
        </w:rPr>
        <w:t>in vivo</w:t>
      </w:r>
      <w:r w:rsidRPr="00AA7FF1">
        <w:rPr>
          <w:rFonts w:ascii="Arial" w:hAnsi="Arial" w:cs="Arial"/>
          <w:sz w:val="24"/>
          <w:szCs w:val="24"/>
        </w:rPr>
        <w:t xml:space="preserve"> DREADD occupancy in mice (</w:t>
      </w:r>
      <w:r w:rsidRPr="00AA7FF1">
        <w:rPr>
          <w:rFonts w:ascii="Arial" w:hAnsi="Arial" w:cs="Arial"/>
          <w:b/>
          <w:sz w:val="24"/>
          <w:szCs w:val="24"/>
        </w:rPr>
        <w:t>f, g</w:t>
      </w:r>
      <w:r w:rsidRPr="00AA7FF1">
        <w:rPr>
          <w:rFonts w:ascii="Arial" w:hAnsi="Arial" w:cs="Arial"/>
          <w:sz w:val="24"/>
          <w:szCs w:val="24"/>
        </w:rPr>
        <w:t>) and no measurable occupancy in the monkey (</w:t>
      </w:r>
      <w:r w:rsidRPr="00AA7FF1">
        <w:rPr>
          <w:rFonts w:ascii="Arial" w:hAnsi="Arial" w:cs="Arial"/>
          <w:b/>
          <w:sz w:val="24"/>
          <w:szCs w:val="24"/>
        </w:rPr>
        <w:t>h, i</w:t>
      </w:r>
      <w:r w:rsidRPr="00AA7FF1">
        <w:rPr>
          <w:rFonts w:ascii="Arial" w:hAnsi="Arial" w:cs="Arial"/>
          <w:sz w:val="24"/>
          <w:szCs w:val="24"/>
        </w:rPr>
        <w:t>). At 10 mg/kg, C21 achieved ~50% hM4Di occupancy in the monkey (</w:t>
      </w:r>
      <w:r w:rsidRPr="00AA7FF1">
        <w:rPr>
          <w:rFonts w:ascii="Arial" w:hAnsi="Arial" w:cs="Arial"/>
          <w:b/>
          <w:sz w:val="24"/>
          <w:szCs w:val="24"/>
        </w:rPr>
        <w:t>h, i</w:t>
      </w:r>
      <w:r w:rsidRPr="00AA7FF1">
        <w:rPr>
          <w:rFonts w:ascii="Arial" w:hAnsi="Arial" w:cs="Arial"/>
          <w:sz w:val="24"/>
          <w:szCs w:val="24"/>
        </w:rPr>
        <w:t>) but this dose also produced extensive displacement of [</w:t>
      </w:r>
      <w:r w:rsidRPr="00AA7FF1">
        <w:rPr>
          <w:rFonts w:ascii="Arial" w:hAnsi="Arial" w:cs="Arial"/>
          <w:sz w:val="24"/>
          <w:szCs w:val="24"/>
          <w:vertAlign w:val="superscript"/>
        </w:rPr>
        <w:t>11</w:t>
      </w:r>
      <w:r w:rsidRPr="00AA7FF1">
        <w:rPr>
          <w:rFonts w:ascii="Arial" w:hAnsi="Arial" w:cs="Arial"/>
          <w:sz w:val="24"/>
          <w:szCs w:val="24"/>
        </w:rPr>
        <w:t xml:space="preserve">C]clozapine binding at endogenous binding sites and non-specific effects, thus no further monkey studies were conducted.   </w:t>
      </w:r>
    </w:p>
    <w:p w14:paraId="2E1D7BE2"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sz w:val="24"/>
          <w:szCs w:val="24"/>
        </w:rPr>
        <w:tab/>
        <w:t>C21 did not affect locomotor activity in WT mice at doses up to 1 mg/kg but, like in the monkey, produced non-specific effects at 10 mg/kg (</w:t>
      </w:r>
      <w:r w:rsidRPr="00AA7FF1">
        <w:rPr>
          <w:rFonts w:ascii="Arial" w:hAnsi="Arial" w:cs="Arial"/>
          <w:b/>
          <w:sz w:val="24"/>
          <w:szCs w:val="24"/>
        </w:rPr>
        <w:t>j</w:t>
      </w:r>
      <w:r w:rsidRPr="00AA7FF1">
        <w:rPr>
          <w:rFonts w:ascii="Arial" w:hAnsi="Arial" w:cs="Arial"/>
          <w:sz w:val="24"/>
          <w:szCs w:val="24"/>
        </w:rPr>
        <w:t>). In D1-hM3Dq mice, C21 exhibited a robust decrease of locomotor activity at 0.1 and 1 mg/kg (</w:t>
      </w:r>
      <w:r w:rsidRPr="00AA7FF1">
        <w:rPr>
          <w:rFonts w:ascii="Arial" w:hAnsi="Arial" w:cs="Arial"/>
          <w:b/>
          <w:sz w:val="24"/>
          <w:szCs w:val="24"/>
        </w:rPr>
        <w:t>k</w:t>
      </w:r>
      <w:r w:rsidRPr="00AA7FF1">
        <w:rPr>
          <w:rFonts w:ascii="Arial" w:hAnsi="Arial" w:cs="Arial"/>
          <w:sz w:val="24"/>
          <w:szCs w:val="24"/>
        </w:rPr>
        <w:t>) and seizure-like behavior at 10 mg/kg. Thus, no further experiments were performed at this dose.  In D1-hM4Di mice, C21 produced a small but significant decrease in locomotor activity at 1 mg/kg and sedation similar to that observed in the other groups of mice at 10 mg/kg (</w:t>
      </w:r>
      <w:r w:rsidRPr="00AA7FF1">
        <w:rPr>
          <w:rFonts w:ascii="Arial" w:hAnsi="Arial" w:cs="Arial"/>
          <w:b/>
          <w:sz w:val="24"/>
          <w:szCs w:val="24"/>
        </w:rPr>
        <w:t>l</w:t>
      </w:r>
      <w:r w:rsidRPr="00AA7FF1">
        <w:rPr>
          <w:rFonts w:ascii="Arial" w:hAnsi="Arial" w:cs="Arial"/>
          <w:sz w:val="24"/>
          <w:szCs w:val="24"/>
        </w:rPr>
        <w:t xml:space="preserve">).  The doses required to induce the </w:t>
      </w:r>
      <w:r w:rsidRPr="00AA7FF1">
        <w:rPr>
          <w:rFonts w:ascii="Arial" w:hAnsi="Arial" w:cs="Arial"/>
          <w:sz w:val="24"/>
          <w:szCs w:val="24"/>
        </w:rPr>
        <w:lastRenderedPageBreak/>
        <w:t>same degree of DREADD-specific locomotor inhibition by clozapine were approximately 100-fold lower. DREADD-specific behavioral effects of C21 were also examined in transgenic rats expressing hM3Dq in tyrosine hydroxylase (TH)-expressing neurons in the ventral tegmental area (VTA) (</w:t>
      </w:r>
      <w:r w:rsidRPr="00AA7FF1">
        <w:rPr>
          <w:rFonts w:ascii="Arial" w:hAnsi="Arial" w:cs="Arial"/>
          <w:b/>
          <w:sz w:val="24"/>
          <w:szCs w:val="24"/>
        </w:rPr>
        <w:t>m</w:t>
      </w:r>
      <w:r w:rsidRPr="00AA7FF1">
        <w:rPr>
          <w:rFonts w:ascii="Arial" w:hAnsi="Arial" w:cs="Arial"/>
          <w:sz w:val="24"/>
          <w:szCs w:val="24"/>
        </w:rPr>
        <w:t>).  Rats were injected IP with 1 or 5 mg/kg C21, which led to significant increases in locomotor activity, while clozapine produced comparable locomotor increases at a dose as low as 0.001 mg/kg (</w:t>
      </w:r>
      <w:r w:rsidRPr="00AA7FF1">
        <w:rPr>
          <w:rFonts w:ascii="Arial" w:hAnsi="Arial" w:cs="Arial"/>
          <w:b/>
          <w:sz w:val="24"/>
          <w:szCs w:val="24"/>
        </w:rPr>
        <w:t>n, o</w:t>
      </w:r>
      <w:r w:rsidRPr="00AA7FF1">
        <w:rPr>
          <w:rFonts w:ascii="Arial" w:hAnsi="Arial" w:cs="Arial"/>
          <w:sz w:val="24"/>
          <w:szCs w:val="24"/>
        </w:rPr>
        <w:t xml:space="preserve">). DREADD-mediated behavioral effects were observed at low levels of </w:t>
      </w:r>
      <w:r w:rsidRPr="00AA7FF1">
        <w:rPr>
          <w:rFonts w:ascii="Arial" w:hAnsi="Arial" w:cs="Arial"/>
          <w:i/>
          <w:sz w:val="24"/>
          <w:szCs w:val="24"/>
        </w:rPr>
        <w:t>in vivo</w:t>
      </w:r>
      <w:r w:rsidRPr="00AA7FF1">
        <w:rPr>
          <w:rFonts w:ascii="Arial" w:hAnsi="Arial" w:cs="Arial"/>
          <w:sz w:val="24"/>
          <w:szCs w:val="24"/>
        </w:rPr>
        <w:t xml:space="preserve"> occupancy, likely due to supraphysiological viral-mediated DREADD expression and high intrinsic efficacy of C21 and clozapine.  </w:t>
      </w:r>
    </w:p>
    <w:p w14:paraId="3C2656FB"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sz w:val="24"/>
          <w:szCs w:val="24"/>
        </w:rPr>
        <w:tab/>
        <w:t xml:space="preserve">In a competitive binding screen C21 showed a similar target profile to clozapine at 10 µM, but unlike clozapine, C21 exhibited binding to mu, kappa, and delta opioid receptors (Supplementary Fig. 8).  C21 tested at 100 nM showed a similar profile to 10 nM of clozapine. However, given that C21 exhibited lower </w:t>
      </w:r>
      <w:r w:rsidRPr="00AA7FF1">
        <w:rPr>
          <w:rFonts w:ascii="Arial" w:hAnsi="Arial" w:cs="Arial"/>
          <w:i/>
          <w:sz w:val="24"/>
          <w:szCs w:val="24"/>
        </w:rPr>
        <w:t>in vivo</w:t>
      </w:r>
      <w:r w:rsidRPr="00AA7FF1">
        <w:rPr>
          <w:rFonts w:ascii="Arial" w:hAnsi="Arial" w:cs="Arial"/>
          <w:sz w:val="24"/>
          <w:szCs w:val="24"/>
        </w:rPr>
        <w:t xml:space="preserve"> DREADD binding than clozapine, and that higher (~1000-fold) doses needed to drive DREADD-specific behaviors, this </w:t>
      </w:r>
      <w:r w:rsidRPr="00AA7FF1">
        <w:rPr>
          <w:rFonts w:ascii="Arial" w:hAnsi="Arial" w:cs="Arial"/>
          <w:i/>
          <w:sz w:val="24"/>
          <w:szCs w:val="24"/>
        </w:rPr>
        <w:t>in vitro</w:t>
      </w:r>
      <w:r w:rsidRPr="00AA7FF1">
        <w:rPr>
          <w:rFonts w:ascii="Arial" w:hAnsi="Arial" w:cs="Arial"/>
          <w:sz w:val="24"/>
          <w:szCs w:val="24"/>
        </w:rPr>
        <w:t xml:space="preserve"> selectivity profile for endogenous targets does not appear to predict </w:t>
      </w:r>
      <w:r w:rsidRPr="00AA7FF1">
        <w:rPr>
          <w:rFonts w:ascii="Arial" w:hAnsi="Arial" w:cs="Arial"/>
          <w:i/>
          <w:sz w:val="24"/>
          <w:szCs w:val="24"/>
        </w:rPr>
        <w:t xml:space="preserve">in vivo </w:t>
      </w:r>
      <w:r w:rsidRPr="00AA7FF1">
        <w:rPr>
          <w:rFonts w:ascii="Arial" w:hAnsi="Arial" w:cs="Arial"/>
          <w:sz w:val="24"/>
          <w:szCs w:val="24"/>
        </w:rPr>
        <w:t xml:space="preserve">outcomes very well.  </w:t>
      </w:r>
    </w:p>
    <w:p w14:paraId="25E3B8C5" w14:textId="77777777" w:rsidR="005354B6" w:rsidRPr="00AA7FF1" w:rsidRDefault="005354B6" w:rsidP="005354B6">
      <w:pPr>
        <w:spacing w:line="480" w:lineRule="auto"/>
        <w:ind w:firstLine="720"/>
        <w:jc w:val="both"/>
        <w:rPr>
          <w:rFonts w:ascii="Arial" w:hAnsi="Arial" w:cs="Arial"/>
          <w:sz w:val="24"/>
          <w:szCs w:val="24"/>
        </w:rPr>
      </w:pPr>
      <w:r w:rsidRPr="00AA7FF1">
        <w:rPr>
          <w:rFonts w:ascii="Arial" w:hAnsi="Arial" w:cs="Arial"/>
          <w:sz w:val="24"/>
          <w:szCs w:val="24"/>
        </w:rPr>
        <w:t>In PET studies using [</w:t>
      </w:r>
      <w:r w:rsidRPr="00AA7FF1">
        <w:rPr>
          <w:rFonts w:ascii="Arial" w:hAnsi="Arial" w:cs="Arial"/>
          <w:sz w:val="24"/>
          <w:szCs w:val="24"/>
          <w:vertAlign w:val="superscript"/>
        </w:rPr>
        <w:t>18</w:t>
      </w:r>
      <w:r w:rsidRPr="00AA7FF1">
        <w:rPr>
          <w:rFonts w:ascii="Arial" w:hAnsi="Arial" w:cs="Arial"/>
          <w:sz w:val="24"/>
          <w:szCs w:val="24"/>
        </w:rPr>
        <w:t>F]fluorodeoxyglucose (FDG) to measure changes in regional metabolic activity, we injected 1 mg/kg C21 (IP), a dose on the lower end of the range recently suggested for its use</w:t>
      </w:r>
      <w:r w:rsidRPr="00AA7FF1">
        <w:rPr>
          <w:rFonts w:ascii="Arial" w:hAnsi="Arial" w:cs="Arial"/>
          <w:sz w:val="24"/>
          <w:szCs w:val="24"/>
        </w:rPr>
        <w:fldChar w:fldCharType="begin"/>
      </w:r>
      <w:r w:rsidRPr="00AA7FF1">
        <w:rPr>
          <w:rFonts w:ascii="Arial" w:hAnsi="Arial" w:cs="Arial"/>
          <w:sz w:val="24"/>
          <w:szCs w:val="24"/>
        </w:rPr>
        <w:instrText xml:space="preserve"> ADDIN EN.CITE &lt;EndNote&gt;&lt;Cite&gt;&lt;Author&gt;Thompson&lt;/Author&gt;&lt;Year&gt;2018&lt;/Year&gt;&lt;RecNum&gt;3&lt;/RecNum&gt;&lt;DisplayText&gt;&lt;style face="superscript"&gt;4&lt;/style&gt;&lt;/DisplayText&gt;&lt;record&gt;&lt;rec-number&gt;3&lt;/rec-number&gt;&lt;foreign-keys&gt;&lt;key app="EN" db-id="et50zf5vm0zv2hewvt3x5v5td5dwptvze59a" timestamp="1536712495"&gt;3&lt;/key&gt;&lt;/foreign-keys&gt;&lt;ref-type name="Journal Article"&gt;17&lt;/ref-type&gt;&lt;contributors&gt;&lt;authors&gt;&lt;author&gt;Thompson, Karen J.&lt;/author&gt;&lt;author&gt;Khajehali, Elham&lt;/author&gt;&lt;author&gt;Bradley, Sophie J.&lt;/author&gt;&lt;author&gt;Navarrete, Jovana S.&lt;/author&gt;&lt;author&gt;Huang, Xi Ping&lt;/author&gt;&lt;author&gt;Slocum, Samuel&lt;/author&gt;&lt;author&gt;Jin, Jian&lt;/author&gt;&lt;author&gt;Liu, Jing&lt;/author&gt;&lt;author&gt;Xiong, Yan&lt;/author&gt;&lt;author&gt;Olsen, Reid H. J.&lt;/author&gt;&lt;author&gt;Diberto, Jeffrey F.&lt;/author&gt;&lt;author&gt;Boyt, Kristen M.&lt;/author&gt;&lt;author&gt;Pina, Melanie M.&lt;/author&gt;&lt;author&gt;Pati, Dipanwita&lt;/author&gt;&lt;author&gt;Molloy, Colin&lt;/author&gt;&lt;author&gt;Bundgaard, Christoffer&lt;/author&gt;&lt;author&gt;Sexton, Patrick M.&lt;/author&gt;&lt;author&gt;Kash, Thomas L.&lt;/author&gt;&lt;author&gt;Krashes, Michael J.&lt;/author&gt;&lt;author&gt;Christopoulos, Arthur&lt;/author&gt;&lt;author&gt;Roth, Bryan L.&lt;/author&gt;&lt;author&gt;Tobin, Andrew B.&lt;/author&gt;&lt;/authors&gt;&lt;/contributors&gt;&lt;titles&gt;&lt;title&gt;DREADD Agonist 21 Is an Effective Agonist for Muscarinic-Based DREADDs in Vitro and in Vivo&lt;/title&gt;&lt;secondary-title&gt;ACS Pharmacology &amp;amp; Translational Science&lt;/secondary-title&gt;&lt;/titles&gt;&lt;periodical&gt;&lt;full-title&gt;ACS Pharmacology &amp;amp; Translational Science&lt;/full-title&gt;&lt;/periodical&gt;&lt;dates&gt;&lt;year&gt;2018&lt;/year&gt;&lt;pub-dates&gt;&lt;date&gt;2018/07/27&lt;/date&gt;&lt;/pub-dates&gt;&lt;/dates&gt;&lt;publisher&gt;American Chemical Society&lt;/publisher&gt;&lt;urls&gt;&lt;related-urls&gt;&lt;url&gt;https://doi.org/10.1021/acsptsci.8b00012&lt;/url&gt;&lt;/related-urls&gt;&lt;/urls&gt;&lt;electronic-resource-num&gt;10.1021/acsptsci.8b00012&lt;/electronic-resource-num&gt;&lt;/record&gt;&lt;/Cite&gt;&lt;/EndNote&gt;</w:instrText>
      </w:r>
      <w:r w:rsidRPr="00AA7FF1">
        <w:rPr>
          <w:rFonts w:ascii="Arial" w:hAnsi="Arial" w:cs="Arial"/>
          <w:sz w:val="24"/>
          <w:szCs w:val="24"/>
        </w:rPr>
        <w:fldChar w:fldCharType="separate"/>
      </w:r>
      <w:r w:rsidRPr="00AA7FF1">
        <w:rPr>
          <w:rFonts w:ascii="Arial" w:hAnsi="Arial" w:cs="Arial"/>
          <w:noProof/>
          <w:sz w:val="24"/>
          <w:szCs w:val="24"/>
          <w:vertAlign w:val="superscript"/>
        </w:rPr>
        <w:t>4</w:t>
      </w:r>
      <w:r w:rsidRPr="00AA7FF1">
        <w:rPr>
          <w:rFonts w:ascii="Arial" w:hAnsi="Arial" w:cs="Arial"/>
          <w:sz w:val="24"/>
          <w:szCs w:val="24"/>
        </w:rPr>
        <w:fldChar w:fldCharType="end"/>
      </w:r>
      <w:r w:rsidRPr="00AA7FF1">
        <w:rPr>
          <w:rFonts w:ascii="Arial" w:hAnsi="Arial" w:cs="Arial"/>
          <w:sz w:val="24"/>
          <w:szCs w:val="24"/>
        </w:rPr>
        <w:t>. This dose produced significant changes in brain metabolic activity in WT mice (Supplementary Fig. 7), indicating that 1 mg/kg of C21 affects brain function and cannot be used for DREADD-assisted metabolic mapping (DREAMM) studies</w:t>
      </w:r>
      <w:r w:rsidRPr="00AA7FF1">
        <w:rPr>
          <w:rFonts w:ascii="Arial" w:hAnsi="Arial" w:cs="Arial"/>
          <w:sz w:val="24"/>
          <w:szCs w:val="24"/>
        </w:rPr>
        <w:fldChar w:fldCharType="begin">
          <w:fldData xml:space="preserve">PEVuZE5vdGU+PENpdGU+PEF1dGhvcj5NaWNoYWVsaWRlczwvQXV0aG9yPjxZZWFyPjIwMTQ8L1ll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=
</w:fldData>
        </w:fldChar>
      </w:r>
      <w:r w:rsidRPr="00AA7FF1">
        <w:rPr>
          <w:rFonts w:ascii="Arial" w:hAnsi="Arial" w:cs="Arial"/>
          <w:sz w:val="24"/>
          <w:szCs w:val="24"/>
        </w:rPr>
        <w:instrText xml:space="preserve"> ADDIN EN.CITE </w:instrText>
      </w:r>
      <w:r w:rsidRPr="00AA7FF1">
        <w:rPr>
          <w:rFonts w:ascii="Arial" w:hAnsi="Arial" w:cs="Arial"/>
          <w:sz w:val="24"/>
          <w:szCs w:val="24"/>
        </w:rPr>
        <w:fldChar w:fldCharType="begin">
          <w:fldData xml:space="preserve">PEVuZE5vdGU+PENpdGU+PEF1dGhvcj5NaWNoYWVsaWRlczwvQXV0aG9yPjxZZWFyPjIwMTQ8L1ll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=
</w:fldData>
        </w:fldChar>
      </w:r>
      <w:r w:rsidRPr="00AA7FF1">
        <w:rPr>
          <w:rFonts w:ascii="Arial" w:hAnsi="Arial" w:cs="Arial"/>
          <w:sz w:val="24"/>
          <w:szCs w:val="24"/>
        </w:rPr>
        <w:instrText xml:space="preserve"> ADDIN EN.CITE.DATA </w:instrText>
      </w:r>
      <w:r w:rsidRPr="00AA7FF1">
        <w:rPr>
          <w:rFonts w:ascii="Arial" w:hAnsi="Arial" w:cs="Arial"/>
          <w:sz w:val="24"/>
          <w:szCs w:val="24"/>
        </w:rPr>
      </w:r>
      <w:r w:rsidRPr="00AA7FF1">
        <w:rPr>
          <w:rFonts w:ascii="Arial" w:hAnsi="Arial" w:cs="Arial"/>
          <w:sz w:val="24"/>
          <w:szCs w:val="24"/>
        </w:rPr>
        <w:fldChar w:fldCharType="end"/>
      </w:r>
      <w:r w:rsidRPr="00AA7FF1">
        <w:rPr>
          <w:rFonts w:ascii="Arial" w:hAnsi="Arial" w:cs="Arial"/>
          <w:sz w:val="24"/>
          <w:szCs w:val="24"/>
        </w:rPr>
      </w:r>
      <w:r w:rsidRPr="00AA7FF1">
        <w:rPr>
          <w:rFonts w:ascii="Arial" w:hAnsi="Arial" w:cs="Arial"/>
          <w:sz w:val="24"/>
          <w:szCs w:val="24"/>
        </w:rPr>
        <w:fldChar w:fldCharType="separate"/>
      </w:r>
      <w:r w:rsidRPr="00AA7FF1">
        <w:rPr>
          <w:rFonts w:ascii="Arial" w:hAnsi="Arial" w:cs="Arial"/>
          <w:noProof/>
          <w:sz w:val="24"/>
          <w:szCs w:val="24"/>
          <w:vertAlign w:val="superscript"/>
        </w:rPr>
        <w:t>8,9</w:t>
      </w:r>
      <w:r w:rsidRPr="00AA7FF1">
        <w:rPr>
          <w:rFonts w:ascii="Arial" w:hAnsi="Arial" w:cs="Arial"/>
          <w:sz w:val="24"/>
          <w:szCs w:val="24"/>
        </w:rPr>
        <w:fldChar w:fldCharType="end"/>
      </w:r>
      <w:r w:rsidRPr="00AA7FF1">
        <w:rPr>
          <w:rFonts w:ascii="Arial" w:hAnsi="Arial" w:cs="Arial"/>
          <w:sz w:val="24"/>
          <w:szCs w:val="24"/>
        </w:rPr>
        <w:t>, even though no behavioral effects were detected in our model at this dose.  In contrast, an equipotent dose of clozapine (0.1 mg/kg) did not produce any significant changes in brain glucose metabolism (Supplementary Fig. 7).</w:t>
      </w:r>
    </w:p>
    <w:p w14:paraId="2C343263"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noProof/>
          <w:sz w:val="24"/>
          <w:szCs w:val="24"/>
          <w:lang w:val="en-GB" w:eastAsia="en-GB"/>
        </w:rPr>
        <w:lastRenderedPageBreak/>
        <w:drawing>
          <wp:inline distT="0" distB="0" distL="0" distR="0" wp14:anchorId="19874133" wp14:editId="74DCFF44">
            <wp:extent cx="6400800" cy="79990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0" cy="7999095"/>
                    </a:xfrm>
                    <a:prstGeom prst="rect">
                      <a:avLst/>
                    </a:prstGeom>
                    <a:noFill/>
                    <a:ln>
                      <a:noFill/>
                    </a:ln>
                  </pic:spPr>
                </pic:pic>
              </a:graphicData>
            </a:graphic>
          </wp:inline>
        </w:drawing>
      </w:r>
    </w:p>
    <w:p w14:paraId="697DCB1E" w14:textId="77777777" w:rsidR="005354B6" w:rsidRPr="00AA7FF1" w:rsidRDefault="005354B6" w:rsidP="005354B6">
      <w:pPr>
        <w:spacing w:line="480" w:lineRule="auto"/>
        <w:jc w:val="both"/>
        <w:rPr>
          <w:rFonts w:ascii="Arial" w:hAnsi="Arial" w:cs="Arial"/>
          <w:sz w:val="24"/>
          <w:szCs w:val="24"/>
        </w:rPr>
      </w:pPr>
    </w:p>
    <w:p w14:paraId="19E61EDC" w14:textId="77777777" w:rsidR="005354B6" w:rsidRPr="00AA7FF1" w:rsidRDefault="005354B6" w:rsidP="005354B6">
      <w:pPr>
        <w:jc w:val="both"/>
        <w:rPr>
          <w:rFonts w:ascii="Arial" w:hAnsi="Arial" w:cs="Arial"/>
          <w:sz w:val="24"/>
          <w:szCs w:val="24"/>
        </w:rPr>
      </w:pPr>
      <w:r w:rsidRPr="00AA7FF1">
        <w:rPr>
          <w:rFonts w:ascii="Arial" w:hAnsi="Arial" w:cs="Arial"/>
          <w:sz w:val="24"/>
          <w:szCs w:val="24"/>
        </w:rPr>
        <w:lastRenderedPageBreak/>
        <w:t>(</w:t>
      </w:r>
      <w:r w:rsidRPr="00AA7FF1">
        <w:rPr>
          <w:rFonts w:ascii="Arial" w:hAnsi="Arial" w:cs="Arial"/>
          <w:b/>
          <w:sz w:val="24"/>
          <w:szCs w:val="24"/>
        </w:rPr>
        <w:t>a</w:t>
      </w:r>
      <w:r w:rsidRPr="00AA7FF1">
        <w:rPr>
          <w:rFonts w:ascii="Arial" w:hAnsi="Arial" w:cs="Arial"/>
          <w:sz w:val="24"/>
          <w:szCs w:val="24"/>
        </w:rPr>
        <w:t>) Systemic C21 administration leads to low brain and high plasma concentrations in mice (n = 3 mice) and in monkeys (n = 2 monkeys) and (</w:t>
      </w:r>
      <w:r w:rsidRPr="00AA7FF1">
        <w:rPr>
          <w:rFonts w:ascii="Arial" w:hAnsi="Arial" w:cs="Arial"/>
          <w:b/>
          <w:sz w:val="24"/>
          <w:szCs w:val="24"/>
        </w:rPr>
        <w:t>b</w:t>
      </w:r>
      <w:r w:rsidRPr="00AA7FF1">
        <w:rPr>
          <w:rFonts w:ascii="Arial" w:hAnsi="Arial" w:cs="Arial"/>
          <w:sz w:val="24"/>
          <w:szCs w:val="24"/>
        </w:rPr>
        <w:t>) low brain/serum (mice) and CSF/serum ratios (monkey). (</w:t>
      </w:r>
      <w:r w:rsidRPr="00AA7FF1">
        <w:rPr>
          <w:rFonts w:ascii="Arial" w:hAnsi="Arial" w:cs="Arial"/>
          <w:b/>
          <w:sz w:val="24"/>
          <w:szCs w:val="24"/>
        </w:rPr>
        <w:t>c-e</w:t>
      </w:r>
      <w:r w:rsidRPr="00AA7FF1">
        <w:rPr>
          <w:rFonts w:ascii="Arial" w:hAnsi="Arial" w:cs="Arial"/>
          <w:sz w:val="24"/>
          <w:szCs w:val="24"/>
        </w:rPr>
        <w:t>) Immunohistochemical (IHC) and autoradiographic (ARG) localization of HA-DREADDs in transgenic mouse brain tissue (non-fused mCitrine (yellow) and fused HA-tag (red)) along with ex vivo [</w:t>
      </w:r>
      <w:r w:rsidRPr="00AA7FF1">
        <w:rPr>
          <w:rFonts w:ascii="Arial" w:hAnsi="Arial" w:cs="Arial"/>
          <w:sz w:val="24"/>
          <w:szCs w:val="24"/>
          <w:vertAlign w:val="superscript"/>
        </w:rPr>
        <w:t>3</w:t>
      </w:r>
      <w:r w:rsidRPr="00AA7FF1">
        <w:rPr>
          <w:rFonts w:ascii="Arial" w:hAnsi="Arial" w:cs="Arial"/>
          <w:sz w:val="24"/>
          <w:szCs w:val="24"/>
        </w:rPr>
        <w:t>H]C21 and [</w:t>
      </w:r>
      <w:r w:rsidRPr="00AA7FF1">
        <w:rPr>
          <w:rFonts w:ascii="Arial" w:hAnsi="Arial" w:cs="Arial"/>
          <w:sz w:val="24"/>
          <w:szCs w:val="24"/>
          <w:vertAlign w:val="superscript"/>
        </w:rPr>
        <w:t>3</w:t>
      </w:r>
      <w:r w:rsidRPr="00AA7FF1">
        <w:rPr>
          <w:rFonts w:ascii="Arial" w:hAnsi="Arial" w:cs="Arial"/>
          <w:sz w:val="24"/>
          <w:szCs w:val="24"/>
        </w:rPr>
        <w:t>H]CLZ brain uptake in striatum and cortex showing that [</w:t>
      </w:r>
      <w:r w:rsidRPr="00AA7FF1">
        <w:rPr>
          <w:rFonts w:ascii="Arial" w:hAnsi="Arial" w:cs="Arial"/>
          <w:sz w:val="24"/>
          <w:szCs w:val="24"/>
          <w:vertAlign w:val="superscript"/>
        </w:rPr>
        <w:t>3</w:t>
      </w:r>
      <w:r w:rsidRPr="00AA7FF1">
        <w:rPr>
          <w:rFonts w:ascii="Arial" w:hAnsi="Arial" w:cs="Arial"/>
          <w:sz w:val="24"/>
          <w:szCs w:val="24"/>
        </w:rPr>
        <w:t xml:space="preserve">H]C21 is not found on DREADD-expressing areas. Representative images from sections collected from 3 different mice per condition are displayed in </w:t>
      </w:r>
      <w:r w:rsidRPr="00AA7FF1">
        <w:rPr>
          <w:rFonts w:ascii="Arial" w:hAnsi="Arial" w:cs="Arial"/>
          <w:b/>
          <w:sz w:val="24"/>
          <w:szCs w:val="24"/>
        </w:rPr>
        <w:t>c</w:t>
      </w:r>
      <w:r w:rsidRPr="00AA7FF1">
        <w:rPr>
          <w:rFonts w:ascii="Arial" w:hAnsi="Arial" w:cs="Arial"/>
          <w:sz w:val="24"/>
          <w:szCs w:val="24"/>
        </w:rPr>
        <w:t xml:space="preserve">, quantification of the uptake in cortex and striatum is displayed in </w:t>
      </w:r>
      <w:r w:rsidRPr="00AA7FF1">
        <w:rPr>
          <w:rFonts w:ascii="Arial" w:hAnsi="Arial" w:cs="Arial"/>
          <w:b/>
          <w:sz w:val="24"/>
          <w:szCs w:val="24"/>
        </w:rPr>
        <w:t>d</w:t>
      </w:r>
      <w:r w:rsidRPr="00AA7FF1">
        <w:rPr>
          <w:rFonts w:ascii="Arial" w:hAnsi="Arial" w:cs="Arial"/>
          <w:sz w:val="24"/>
          <w:szCs w:val="24"/>
        </w:rPr>
        <w:t xml:space="preserve"> and </w:t>
      </w:r>
      <w:r w:rsidRPr="00AA7FF1">
        <w:rPr>
          <w:rFonts w:ascii="Arial" w:hAnsi="Arial" w:cs="Arial"/>
          <w:b/>
          <w:sz w:val="24"/>
          <w:szCs w:val="24"/>
        </w:rPr>
        <w:t>e</w:t>
      </w:r>
      <w:r w:rsidRPr="00AA7FF1">
        <w:rPr>
          <w:rFonts w:ascii="Arial" w:hAnsi="Arial" w:cs="Arial"/>
          <w:sz w:val="24"/>
          <w:szCs w:val="24"/>
        </w:rPr>
        <w:t>.  (</w:t>
      </w:r>
      <w:r w:rsidRPr="00AA7FF1">
        <w:rPr>
          <w:rFonts w:ascii="Arial" w:hAnsi="Arial" w:cs="Arial"/>
          <w:b/>
          <w:sz w:val="24"/>
          <w:szCs w:val="24"/>
        </w:rPr>
        <w:t>f, g</w:t>
      </w:r>
      <w:r w:rsidRPr="00AA7FF1">
        <w:rPr>
          <w:rFonts w:ascii="Arial" w:hAnsi="Arial" w:cs="Arial"/>
          <w:sz w:val="24"/>
          <w:szCs w:val="24"/>
        </w:rPr>
        <w:t>) C21 (1 mg/kg, IP) produces an approximate 10% displacement of [</w:t>
      </w:r>
      <w:r w:rsidRPr="00AA7FF1">
        <w:rPr>
          <w:rFonts w:ascii="Arial" w:hAnsi="Arial" w:cs="Arial"/>
          <w:sz w:val="24"/>
          <w:szCs w:val="24"/>
          <w:vertAlign w:val="superscript"/>
        </w:rPr>
        <w:t>11</w:t>
      </w:r>
      <w:r w:rsidRPr="00AA7FF1">
        <w:rPr>
          <w:rFonts w:ascii="Arial" w:hAnsi="Arial" w:cs="Arial"/>
          <w:sz w:val="24"/>
          <w:szCs w:val="24"/>
        </w:rPr>
        <w:t>C]CLZ in mice (n = 5 mice) expressing AAV-DREADDs in striatum. (</w:t>
      </w:r>
      <w:r w:rsidRPr="00AA7FF1">
        <w:rPr>
          <w:rFonts w:ascii="Arial" w:hAnsi="Arial" w:cs="Arial"/>
          <w:b/>
          <w:sz w:val="24"/>
          <w:szCs w:val="24"/>
        </w:rPr>
        <w:t>h, i</w:t>
      </w:r>
      <w:r w:rsidRPr="00AA7FF1">
        <w:rPr>
          <w:rFonts w:ascii="Arial" w:hAnsi="Arial" w:cs="Arial"/>
          <w:sz w:val="24"/>
          <w:szCs w:val="24"/>
        </w:rPr>
        <w:t>) Systemic delivery of 1 mg/kg C21 does not displace [</w:t>
      </w:r>
      <w:r w:rsidRPr="00AA7FF1">
        <w:rPr>
          <w:rFonts w:ascii="Arial" w:hAnsi="Arial" w:cs="Arial"/>
          <w:sz w:val="24"/>
          <w:szCs w:val="24"/>
          <w:vertAlign w:val="superscript"/>
        </w:rPr>
        <w:t>11</w:t>
      </w:r>
      <w:r w:rsidRPr="00AA7FF1">
        <w:rPr>
          <w:rFonts w:ascii="Arial" w:hAnsi="Arial" w:cs="Arial"/>
          <w:sz w:val="24"/>
          <w:szCs w:val="24"/>
        </w:rPr>
        <w:t>C]CLZ binding in monkeys (n = 2 monkeys) expressing AAV-hM4Di in the amygdala whereas 10 mg/kg displaces [</w:t>
      </w:r>
      <w:r w:rsidRPr="00AA7FF1">
        <w:rPr>
          <w:rFonts w:ascii="Arial" w:hAnsi="Arial" w:cs="Arial"/>
          <w:sz w:val="24"/>
          <w:szCs w:val="24"/>
          <w:vertAlign w:val="superscript"/>
        </w:rPr>
        <w:t>11</w:t>
      </w:r>
      <w:r w:rsidRPr="00AA7FF1">
        <w:rPr>
          <w:rFonts w:ascii="Arial" w:hAnsi="Arial" w:cs="Arial"/>
          <w:sz w:val="24"/>
          <w:szCs w:val="24"/>
        </w:rPr>
        <w:t>C]CLZ from both hM4Di and non-hM4Di expressing sites. (</w:t>
      </w:r>
      <w:r w:rsidRPr="00AA7FF1">
        <w:rPr>
          <w:rFonts w:ascii="Arial" w:hAnsi="Arial" w:cs="Arial"/>
          <w:b/>
          <w:sz w:val="24"/>
          <w:szCs w:val="24"/>
        </w:rPr>
        <w:t>j-l</w:t>
      </w:r>
      <w:r w:rsidRPr="00AA7FF1">
        <w:rPr>
          <w:rFonts w:ascii="Arial" w:hAnsi="Arial" w:cs="Arial"/>
          <w:sz w:val="24"/>
          <w:szCs w:val="24"/>
        </w:rPr>
        <w:t xml:space="preserve">) CLZ exhibits significantly greater </w:t>
      </w:r>
      <w:r w:rsidRPr="00AA7FF1">
        <w:rPr>
          <w:rFonts w:ascii="Arial" w:hAnsi="Arial" w:cs="Arial"/>
          <w:i/>
          <w:sz w:val="24"/>
          <w:szCs w:val="24"/>
        </w:rPr>
        <w:t>in vivo</w:t>
      </w:r>
      <w:r w:rsidRPr="00AA7FF1">
        <w:rPr>
          <w:rFonts w:ascii="Arial" w:hAnsi="Arial" w:cs="Arial"/>
          <w:sz w:val="24"/>
          <w:szCs w:val="24"/>
        </w:rPr>
        <w:t xml:space="preserve"> potency than C21 in transgenic DREADD mice (n = 8 to 18 mice per condition) and (</w:t>
      </w:r>
      <w:r w:rsidRPr="00AA7FF1">
        <w:rPr>
          <w:rFonts w:ascii="Arial" w:hAnsi="Arial" w:cs="Arial"/>
          <w:b/>
          <w:sz w:val="24"/>
          <w:szCs w:val="24"/>
        </w:rPr>
        <w:t>m-o</w:t>
      </w:r>
      <w:r w:rsidRPr="00AA7FF1">
        <w:rPr>
          <w:rFonts w:ascii="Arial" w:hAnsi="Arial" w:cs="Arial"/>
          <w:sz w:val="24"/>
          <w:szCs w:val="24"/>
        </w:rPr>
        <w:t xml:space="preserve">) in transgenic rats (n = 10 rats per condition) expressing hM3Dq in tyrosine-hydroxylase (TH) neurons in ventral tegmental area (VTA). </w:t>
      </w:r>
      <w:r w:rsidRPr="00AA7FF1">
        <w:rPr>
          <w:rFonts w:ascii="Arial" w:hAnsi="Arial" w:cs="Arial"/>
          <w:b/>
          <w:sz w:val="24"/>
          <w:szCs w:val="24"/>
        </w:rPr>
        <w:t>m</w:t>
      </w:r>
      <w:r w:rsidRPr="00AA7FF1">
        <w:rPr>
          <w:rFonts w:ascii="Arial" w:hAnsi="Arial" w:cs="Arial"/>
          <w:sz w:val="24"/>
          <w:szCs w:val="24"/>
        </w:rPr>
        <w:t xml:space="preserve"> is a representative IHC image (TH green, mCherry red) of the animals used in </w:t>
      </w:r>
      <w:r w:rsidRPr="00AA7FF1">
        <w:rPr>
          <w:rFonts w:ascii="Arial" w:hAnsi="Arial" w:cs="Arial"/>
          <w:b/>
          <w:sz w:val="24"/>
          <w:szCs w:val="24"/>
        </w:rPr>
        <w:t>o</w:t>
      </w:r>
      <w:r w:rsidRPr="00AA7FF1">
        <w:rPr>
          <w:rFonts w:ascii="Arial" w:hAnsi="Arial" w:cs="Arial"/>
          <w:sz w:val="24"/>
          <w:szCs w:val="24"/>
        </w:rPr>
        <w:t xml:space="preserve">. In all cases, data are represented as mean ± SEM.  One or two-way repeated measures ANOVA followed by Dunnett’s multiple comparison tests were performed, * p &lt; 0.05 and ** p &lt; 0.01 compared with the respective vehicle. </w:t>
      </w:r>
    </w:p>
    <w:p w14:paraId="2C3A930C" w14:textId="77777777" w:rsidR="005354B6" w:rsidRPr="00AA7FF1" w:rsidRDefault="005354B6" w:rsidP="005354B6">
      <w:pPr>
        <w:rPr>
          <w:rFonts w:ascii="Arial" w:hAnsi="Arial" w:cs="Arial"/>
          <w:b/>
          <w:sz w:val="24"/>
          <w:szCs w:val="24"/>
        </w:rPr>
      </w:pPr>
      <w:r w:rsidRPr="00AA7FF1">
        <w:rPr>
          <w:rFonts w:ascii="Arial" w:hAnsi="Arial" w:cs="Arial"/>
          <w:b/>
          <w:sz w:val="24"/>
          <w:szCs w:val="24"/>
        </w:rPr>
        <w:br w:type="page"/>
      </w:r>
    </w:p>
    <w:p w14:paraId="5E2804E1"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 xml:space="preserve">Supplementary Figure 3. </w:t>
      </w:r>
    </w:p>
    <w:p w14:paraId="40501D8E"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t xml:space="preserve">Biodistribution of C21 and C13. </w:t>
      </w:r>
    </w:p>
    <w:p w14:paraId="5C8AA70D"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noProof/>
          <w:sz w:val="24"/>
          <w:szCs w:val="24"/>
          <w:lang w:val="en-GB" w:eastAsia="en-GB"/>
        </w:rPr>
        <w:drawing>
          <wp:inline distT="0" distB="0" distL="0" distR="0" wp14:anchorId="5D39C751" wp14:editId="0CA052C2">
            <wp:extent cx="5852160" cy="37903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230" cy="3824729"/>
                    </a:xfrm>
                    <a:prstGeom prst="rect">
                      <a:avLst/>
                    </a:prstGeom>
                    <a:noFill/>
                  </pic:spPr>
                </pic:pic>
              </a:graphicData>
            </a:graphic>
          </wp:inline>
        </w:drawing>
      </w:r>
    </w:p>
    <w:p w14:paraId="4E378F17"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 b</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Concentration of [</w:t>
      </w:r>
      <w:r w:rsidRPr="00AA7FF1">
        <w:rPr>
          <w:rFonts w:ascii="Arial" w:hAnsi="Arial" w:cs="Arial"/>
          <w:sz w:val="24"/>
          <w:szCs w:val="24"/>
          <w:vertAlign w:val="superscript"/>
        </w:rPr>
        <w:t>3</w:t>
      </w:r>
      <w:r w:rsidRPr="00AA7FF1">
        <w:rPr>
          <w:rFonts w:ascii="Arial" w:hAnsi="Arial" w:cs="Arial"/>
          <w:sz w:val="24"/>
          <w:szCs w:val="24"/>
        </w:rPr>
        <w:t>H]Compound 21 (C21) in major organs 30 or 60 min after an intraperitoneal injection of 2 µCi/g of C21.  (</w:t>
      </w:r>
      <w:r w:rsidRPr="00AA7FF1">
        <w:rPr>
          <w:rFonts w:ascii="Arial" w:hAnsi="Arial" w:cs="Arial"/>
          <w:b/>
          <w:sz w:val="24"/>
          <w:szCs w:val="24"/>
        </w:rPr>
        <w:t>c, d</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Concentration of [</w:t>
      </w:r>
      <w:r w:rsidRPr="00AA7FF1">
        <w:rPr>
          <w:rFonts w:ascii="Arial" w:hAnsi="Arial" w:cs="Arial"/>
          <w:sz w:val="24"/>
          <w:szCs w:val="24"/>
          <w:vertAlign w:val="superscript"/>
        </w:rPr>
        <w:t>3</w:t>
      </w:r>
      <w:r w:rsidRPr="00AA7FF1">
        <w:rPr>
          <w:rFonts w:ascii="Arial" w:hAnsi="Arial" w:cs="Arial"/>
          <w:sz w:val="24"/>
          <w:szCs w:val="24"/>
        </w:rPr>
        <w:t xml:space="preserve">H]Compound 13 (C13) in major organs 30 or 60 min after an intraperitoneal injection of 2 µCi/g of C13. Data is shown as Mean ± SEM.  </w:t>
      </w:r>
    </w:p>
    <w:p w14:paraId="44793860" w14:textId="77777777" w:rsidR="005354B6" w:rsidRPr="00AA7FF1" w:rsidRDefault="005354B6" w:rsidP="005354B6">
      <w:pPr>
        <w:jc w:val="both"/>
        <w:rPr>
          <w:rFonts w:ascii="Arial" w:hAnsi="Arial" w:cs="Arial"/>
          <w:sz w:val="24"/>
          <w:szCs w:val="24"/>
        </w:rPr>
      </w:pPr>
      <w:r w:rsidRPr="00AA7FF1">
        <w:rPr>
          <w:rFonts w:ascii="Arial" w:hAnsi="Arial" w:cs="Arial"/>
          <w:sz w:val="24"/>
          <w:szCs w:val="24"/>
        </w:rPr>
        <w:br w:type="page"/>
      </w:r>
    </w:p>
    <w:p w14:paraId="79749E9A"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 xml:space="preserve">Supplementary Figure 4. </w:t>
      </w:r>
    </w:p>
    <w:p w14:paraId="09F57116" w14:textId="77777777" w:rsidR="005354B6" w:rsidRPr="00AA7FF1" w:rsidRDefault="005354B6" w:rsidP="005354B6">
      <w:pPr>
        <w:spacing w:line="480" w:lineRule="auto"/>
        <w:jc w:val="both"/>
        <w:rPr>
          <w:rFonts w:ascii="Arial" w:hAnsi="Arial" w:cs="Arial"/>
          <w:b/>
          <w:sz w:val="28"/>
        </w:rPr>
      </w:pPr>
      <w:r w:rsidRPr="00AA7FF1">
        <w:rPr>
          <w:rFonts w:ascii="Arial" w:hAnsi="Arial" w:cs="Arial"/>
          <w:b/>
          <w:sz w:val="24"/>
          <w:szCs w:val="24"/>
        </w:rPr>
        <w:t>Negative controls for the cell-based functional assays.</w:t>
      </w:r>
    </w:p>
    <w:p w14:paraId="28000547" w14:textId="77777777" w:rsidR="005354B6" w:rsidRPr="00AA7FF1" w:rsidRDefault="005354B6" w:rsidP="005354B6">
      <w:pPr>
        <w:spacing w:line="480" w:lineRule="auto"/>
        <w:jc w:val="both"/>
        <w:rPr>
          <w:rFonts w:ascii="Arial" w:hAnsi="Arial" w:cs="Arial"/>
        </w:rPr>
      </w:pPr>
      <w:r w:rsidRPr="00AA7FF1">
        <w:rPr>
          <w:rFonts w:ascii="Arial" w:hAnsi="Arial" w:cs="Arial"/>
          <w:noProof/>
          <w:lang w:val="en-GB" w:eastAsia="en-GB"/>
        </w:rPr>
        <w:drawing>
          <wp:inline distT="0" distB="0" distL="0" distR="0" wp14:anchorId="7D939844" wp14:editId="224566F6">
            <wp:extent cx="5852160" cy="4219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1205" cy="4240301"/>
                    </a:xfrm>
                    <a:prstGeom prst="rect">
                      <a:avLst/>
                    </a:prstGeom>
                    <a:noFill/>
                  </pic:spPr>
                </pic:pic>
              </a:graphicData>
            </a:graphic>
          </wp:inline>
        </w:drawing>
      </w:r>
    </w:p>
    <w:p w14:paraId="23D735AF"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 b</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HEK-293 cells transfected with G</w:t>
      </w:r>
      <w:r w:rsidRPr="00AA7FF1">
        <w:rPr>
          <w:rFonts w:ascii="Arial" w:hAnsi="Arial" w:cs="Arial"/>
          <w:sz w:val="24"/>
          <w:szCs w:val="24"/>
          <w:vertAlign w:val="subscript"/>
        </w:rPr>
        <w:t>o</w:t>
      </w:r>
      <w:r w:rsidRPr="00AA7FF1">
        <w:rPr>
          <w:rFonts w:ascii="Arial" w:hAnsi="Arial" w:cs="Arial"/>
          <w:sz w:val="24"/>
          <w:szCs w:val="24"/>
        </w:rPr>
        <w:t>α-Rluc8, ß1 and γ2-mVenus but not DREADD did not show any functional response to Compound 21 (C21), clozapine (CLZ), CNO, Compound 13 (C13), JHU37152 (J52) or JHU37160 (J60). (</w:t>
      </w:r>
      <w:r w:rsidRPr="00AA7FF1">
        <w:rPr>
          <w:rFonts w:ascii="Arial" w:hAnsi="Arial" w:cs="Arial"/>
          <w:b/>
          <w:sz w:val="24"/>
          <w:szCs w:val="24"/>
        </w:rPr>
        <w:t>c, d</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HEK-293 cells transfected with GCaMP6f but not DREADD did not show any functional response to C21, CLZ, CNO, C13, J52 or J60. Data is shown as Mean ± SEM.</w:t>
      </w:r>
    </w:p>
    <w:p w14:paraId="12333998" w14:textId="77777777" w:rsidR="005354B6" w:rsidRPr="00AA7FF1" w:rsidRDefault="005354B6" w:rsidP="005354B6">
      <w:pPr>
        <w:jc w:val="both"/>
        <w:rPr>
          <w:rFonts w:ascii="Arial" w:hAnsi="Arial" w:cs="Arial"/>
          <w:sz w:val="24"/>
          <w:szCs w:val="24"/>
        </w:rPr>
      </w:pPr>
      <w:r w:rsidRPr="00AA7FF1">
        <w:rPr>
          <w:rFonts w:ascii="Arial" w:hAnsi="Arial" w:cs="Arial"/>
          <w:sz w:val="24"/>
          <w:szCs w:val="24"/>
        </w:rPr>
        <w:br w:type="page"/>
      </w:r>
    </w:p>
    <w:p w14:paraId="5235267A"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 xml:space="preserve">Supplementary Figure 5. </w:t>
      </w:r>
    </w:p>
    <w:p w14:paraId="5C12013E"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b/>
          <w:sz w:val="24"/>
          <w:szCs w:val="24"/>
        </w:rPr>
        <w:t>P-glycoprotein (P-gp) efflux assay.</w:t>
      </w:r>
      <w:r w:rsidRPr="00AA7FF1">
        <w:rPr>
          <w:rFonts w:ascii="Arial" w:hAnsi="Arial" w:cs="Arial"/>
          <w:sz w:val="24"/>
          <w:szCs w:val="24"/>
        </w:rPr>
        <w:t xml:space="preserve"> </w:t>
      </w:r>
      <w:r w:rsidRPr="00AA7FF1">
        <w:rPr>
          <w:rFonts w:ascii="Arial" w:hAnsi="Arial" w:cs="Arial"/>
          <w:b/>
          <w:sz w:val="24"/>
          <w:szCs w:val="24"/>
        </w:rPr>
        <w:t xml:space="preserve"> </w:t>
      </w:r>
    </w:p>
    <w:p w14:paraId="39C68915"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noProof/>
          <w:sz w:val="24"/>
          <w:szCs w:val="24"/>
          <w:lang w:val="en-GB" w:eastAsia="en-GB"/>
        </w:rPr>
        <w:drawing>
          <wp:inline distT="0" distB="0" distL="0" distR="0" wp14:anchorId="5B8BA164" wp14:editId="16BB51BF">
            <wp:extent cx="5742712" cy="1874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8500" cy="1902523"/>
                    </a:xfrm>
                    <a:prstGeom prst="rect">
                      <a:avLst/>
                    </a:prstGeom>
                    <a:noFill/>
                  </pic:spPr>
                </pic:pic>
              </a:graphicData>
            </a:graphic>
          </wp:inline>
        </w:drawing>
      </w:r>
    </w:p>
    <w:p w14:paraId="1085B124" w14:textId="77777777" w:rsidR="005354B6" w:rsidRPr="00AA7FF1" w:rsidRDefault="005354B6" w:rsidP="005354B6">
      <w:pPr>
        <w:jc w:val="both"/>
        <w:rPr>
          <w:rFonts w:ascii="Arial" w:hAnsi="Arial" w:cs="Arial"/>
          <w:sz w:val="24"/>
          <w:szCs w:val="24"/>
        </w:rPr>
      </w:pPr>
      <w:r w:rsidRPr="00AA7FF1">
        <w:rPr>
          <w:rFonts w:ascii="Arial" w:hAnsi="Arial" w:cs="Arial"/>
          <w:sz w:val="24"/>
          <w:szCs w:val="24"/>
        </w:rPr>
        <w:t>Efflux ratios for clozapine (CLZ), C21 (</w:t>
      </w:r>
      <w:r w:rsidRPr="00AA7FF1">
        <w:rPr>
          <w:rFonts w:ascii="Arial" w:hAnsi="Arial" w:cs="Arial"/>
          <w:b/>
          <w:sz w:val="24"/>
          <w:szCs w:val="24"/>
        </w:rPr>
        <w:t>a</w:t>
      </w:r>
      <w:r w:rsidRPr="00AA7FF1">
        <w:rPr>
          <w:rFonts w:ascii="Arial" w:hAnsi="Arial" w:cs="Arial"/>
          <w:sz w:val="24"/>
          <w:szCs w:val="24"/>
        </w:rPr>
        <w:t>), and JHU37152 (J52) and JHU37160 (J60) (</w:t>
      </w:r>
      <w:r w:rsidRPr="00AA7FF1">
        <w:rPr>
          <w:rFonts w:ascii="Arial" w:hAnsi="Arial" w:cs="Arial"/>
          <w:b/>
          <w:sz w:val="24"/>
          <w:szCs w:val="24"/>
        </w:rPr>
        <w:t>b</w:t>
      </w:r>
      <w:r w:rsidRPr="00AA7FF1">
        <w:rPr>
          <w:rFonts w:ascii="Arial" w:hAnsi="Arial" w:cs="Arial"/>
          <w:sz w:val="24"/>
          <w:szCs w:val="24"/>
        </w:rPr>
        <w:t>) in the P-gp assay. If a compound has an efflux ratio greater than two in the absence of verapamil, and verapamil reduces the efflux ratio, it indicates that the compound is a substrate of P-gp. Hence, none of these compounds is a substrate for P-gp. Data is shown as Mean ± SEM.</w:t>
      </w:r>
    </w:p>
    <w:p w14:paraId="73E962A1" w14:textId="77777777" w:rsidR="005354B6" w:rsidRPr="00AA7FF1" w:rsidRDefault="005354B6" w:rsidP="005354B6">
      <w:pPr>
        <w:rPr>
          <w:rFonts w:ascii="Arial" w:hAnsi="Arial" w:cs="Arial"/>
          <w:sz w:val="24"/>
          <w:szCs w:val="24"/>
        </w:rPr>
      </w:pPr>
      <w:r w:rsidRPr="00AA7FF1">
        <w:rPr>
          <w:rFonts w:ascii="Arial" w:hAnsi="Arial" w:cs="Arial"/>
          <w:sz w:val="24"/>
          <w:szCs w:val="24"/>
        </w:rPr>
        <w:br w:type="page"/>
      </w:r>
    </w:p>
    <w:p w14:paraId="5B79AF4D" w14:textId="77777777" w:rsidR="005354B6" w:rsidRPr="00AA7FF1" w:rsidRDefault="005354B6" w:rsidP="005354B6">
      <w:pPr>
        <w:spacing w:line="360" w:lineRule="auto"/>
        <w:jc w:val="both"/>
        <w:rPr>
          <w:rFonts w:ascii="Arial" w:hAnsi="Arial" w:cs="Arial"/>
          <w:sz w:val="24"/>
          <w:szCs w:val="24"/>
        </w:rPr>
      </w:pPr>
      <w:r w:rsidRPr="00AA7FF1">
        <w:rPr>
          <w:rFonts w:ascii="Arial" w:hAnsi="Arial" w:cs="Arial"/>
          <w:b/>
          <w:sz w:val="24"/>
          <w:szCs w:val="24"/>
        </w:rPr>
        <w:lastRenderedPageBreak/>
        <w:t>Supplementary Figure 6.</w:t>
      </w:r>
      <w:r w:rsidRPr="00AA7FF1">
        <w:rPr>
          <w:rFonts w:ascii="Arial" w:hAnsi="Arial" w:cs="Arial"/>
          <w:sz w:val="24"/>
          <w:szCs w:val="24"/>
        </w:rPr>
        <w:t xml:space="preserve"> </w:t>
      </w:r>
    </w:p>
    <w:p w14:paraId="6646FDB4" w14:textId="77777777" w:rsidR="005354B6" w:rsidRPr="00AA7FF1" w:rsidRDefault="005354B6" w:rsidP="005354B6">
      <w:pPr>
        <w:spacing w:line="360" w:lineRule="auto"/>
        <w:jc w:val="both"/>
        <w:rPr>
          <w:rFonts w:ascii="Arial" w:hAnsi="Arial" w:cs="Arial"/>
          <w:sz w:val="24"/>
          <w:szCs w:val="24"/>
        </w:rPr>
      </w:pPr>
      <w:r w:rsidRPr="00AA7FF1">
        <w:rPr>
          <w:rFonts w:ascii="Arial" w:hAnsi="Arial" w:cs="Arial"/>
          <w:b/>
          <w:sz w:val="24"/>
          <w:szCs w:val="24"/>
        </w:rPr>
        <w:t>JHU37160 bioanalytics and</w:t>
      </w:r>
      <w:r w:rsidRPr="00AA7FF1">
        <w:rPr>
          <w:rFonts w:ascii="Arial" w:hAnsi="Arial" w:cs="Arial"/>
          <w:sz w:val="24"/>
          <w:szCs w:val="24"/>
        </w:rPr>
        <w:t xml:space="preserve"> </w:t>
      </w:r>
      <w:r w:rsidRPr="00AA7FF1">
        <w:rPr>
          <w:rFonts w:ascii="Arial" w:hAnsi="Arial" w:cs="Arial"/>
          <w:b/>
          <w:sz w:val="24"/>
          <w:szCs w:val="24"/>
        </w:rPr>
        <w:t>target engagement in monkeys.</w:t>
      </w:r>
      <w:r w:rsidRPr="00AA7FF1">
        <w:rPr>
          <w:rFonts w:ascii="Arial" w:hAnsi="Arial" w:cs="Arial"/>
          <w:sz w:val="24"/>
          <w:szCs w:val="24"/>
        </w:rPr>
        <w:t xml:space="preserve"> </w:t>
      </w:r>
    </w:p>
    <w:p w14:paraId="4C7FCF56" w14:textId="77777777" w:rsidR="005354B6" w:rsidRPr="00AA7FF1" w:rsidRDefault="005354B6" w:rsidP="005354B6">
      <w:pPr>
        <w:spacing w:line="480" w:lineRule="auto"/>
        <w:jc w:val="center"/>
        <w:rPr>
          <w:rFonts w:ascii="Arial" w:hAnsi="Arial" w:cs="Arial"/>
          <w:sz w:val="24"/>
          <w:szCs w:val="24"/>
        </w:rPr>
      </w:pPr>
    </w:p>
    <w:p w14:paraId="5E41F420" w14:textId="77777777" w:rsidR="005354B6" w:rsidRPr="00AA7FF1" w:rsidRDefault="005354B6" w:rsidP="005354B6">
      <w:pPr>
        <w:spacing w:line="480" w:lineRule="auto"/>
        <w:jc w:val="center"/>
        <w:rPr>
          <w:rFonts w:ascii="Arial" w:hAnsi="Arial" w:cs="Arial"/>
          <w:sz w:val="24"/>
          <w:szCs w:val="24"/>
        </w:rPr>
      </w:pPr>
      <w:r w:rsidRPr="00AA7FF1">
        <w:rPr>
          <w:rFonts w:ascii="Arial" w:hAnsi="Arial" w:cs="Arial"/>
          <w:noProof/>
          <w:lang w:val="en-GB" w:eastAsia="en-GB"/>
        </w:rPr>
        <w:drawing>
          <wp:inline distT="0" distB="0" distL="0" distR="0" wp14:anchorId="2B3BCCC0" wp14:editId="302ABCB7">
            <wp:extent cx="6400800" cy="3601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0" cy="3601700"/>
                    </a:xfrm>
                    <a:prstGeom prst="rect">
                      <a:avLst/>
                    </a:prstGeom>
                    <a:noFill/>
                    <a:ln>
                      <a:noFill/>
                    </a:ln>
                  </pic:spPr>
                </pic:pic>
              </a:graphicData>
            </a:graphic>
          </wp:inline>
        </w:drawing>
      </w:r>
    </w:p>
    <w:p w14:paraId="233F6052" w14:textId="77777777" w:rsidR="005354B6" w:rsidRPr="00AA7FF1" w:rsidRDefault="005354B6" w:rsidP="005354B6">
      <w:pPr>
        <w:jc w:val="both"/>
        <w:rPr>
          <w:rFonts w:ascii="Arial" w:hAnsi="Arial" w:cs="Arial"/>
          <w:b/>
          <w:sz w:val="24"/>
          <w:szCs w:val="24"/>
        </w:rPr>
      </w:pPr>
      <w:r w:rsidRPr="00AA7FF1">
        <w:rPr>
          <w:rFonts w:ascii="Arial" w:hAnsi="Arial" w:cs="Arial"/>
          <w:sz w:val="24"/>
          <w:szCs w:val="24"/>
        </w:rPr>
        <w:t>(</w:t>
      </w:r>
      <w:r w:rsidRPr="00AA7FF1">
        <w:rPr>
          <w:rFonts w:ascii="Arial" w:hAnsi="Arial" w:cs="Arial"/>
          <w:b/>
          <w:sz w:val="24"/>
          <w:szCs w:val="24"/>
        </w:rPr>
        <w:t>a</w:t>
      </w:r>
      <w:r w:rsidRPr="00AA7FF1">
        <w:rPr>
          <w:rFonts w:ascii="Arial" w:hAnsi="Arial" w:cs="Arial"/>
          <w:sz w:val="24"/>
          <w:szCs w:val="24"/>
        </w:rPr>
        <w:t>) JHU37160 concentration in rhesus macaque serum after a 0.1 mg/kg systemic dose. (</w:t>
      </w:r>
      <w:r w:rsidRPr="00AA7FF1">
        <w:rPr>
          <w:rFonts w:ascii="Arial" w:hAnsi="Arial" w:cs="Arial"/>
          <w:b/>
          <w:sz w:val="24"/>
          <w:szCs w:val="24"/>
        </w:rPr>
        <w:t>b-e</w:t>
      </w:r>
      <w:r w:rsidRPr="00AA7FF1">
        <w:rPr>
          <w:rFonts w:ascii="Arial" w:hAnsi="Arial" w:cs="Arial"/>
          <w:sz w:val="24"/>
          <w:szCs w:val="24"/>
        </w:rPr>
        <w:t>) J60 at 0.01 mg/kg (</w:t>
      </w:r>
      <w:r w:rsidRPr="00AA7FF1">
        <w:rPr>
          <w:rFonts w:ascii="Arial" w:hAnsi="Arial" w:cs="Arial"/>
          <w:b/>
          <w:sz w:val="24"/>
          <w:szCs w:val="24"/>
        </w:rPr>
        <w:t>b, d</w:t>
      </w:r>
      <w:r w:rsidRPr="00AA7FF1">
        <w:rPr>
          <w:rFonts w:ascii="Arial" w:hAnsi="Arial" w:cs="Arial"/>
          <w:sz w:val="24"/>
          <w:szCs w:val="24"/>
        </w:rPr>
        <w:t>) and 0.1 mg/kg (</w:t>
      </w:r>
      <w:r w:rsidRPr="00AA7FF1">
        <w:rPr>
          <w:rFonts w:ascii="Arial" w:hAnsi="Arial" w:cs="Arial"/>
          <w:b/>
          <w:sz w:val="24"/>
          <w:szCs w:val="24"/>
        </w:rPr>
        <w:t>c, e</w:t>
      </w:r>
      <w:r w:rsidRPr="00AA7FF1">
        <w:rPr>
          <w:rFonts w:ascii="Arial" w:hAnsi="Arial" w:cs="Arial"/>
          <w:sz w:val="24"/>
          <w:szCs w:val="24"/>
        </w:rPr>
        <w:t>) systemic dose blocks [</w:t>
      </w:r>
      <w:r w:rsidRPr="00AA7FF1">
        <w:rPr>
          <w:rFonts w:ascii="Arial" w:hAnsi="Arial" w:cs="Arial"/>
          <w:sz w:val="24"/>
          <w:szCs w:val="24"/>
          <w:vertAlign w:val="superscript"/>
        </w:rPr>
        <w:t>11</w:t>
      </w:r>
      <w:r w:rsidRPr="00AA7FF1">
        <w:rPr>
          <w:rFonts w:ascii="Arial" w:hAnsi="Arial" w:cs="Arial"/>
          <w:sz w:val="24"/>
          <w:szCs w:val="24"/>
        </w:rPr>
        <w:t xml:space="preserve">C]clozapine binding to hM4Di in two different monkeys Note: images in </w:t>
      </w:r>
      <w:r w:rsidRPr="00AA7FF1">
        <w:rPr>
          <w:rFonts w:ascii="Arial" w:hAnsi="Arial" w:cs="Arial"/>
          <w:b/>
          <w:sz w:val="24"/>
          <w:szCs w:val="24"/>
        </w:rPr>
        <w:t>e</w:t>
      </w:r>
      <w:r w:rsidRPr="00AA7FF1">
        <w:rPr>
          <w:rFonts w:ascii="Arial" w:hAnsi="Arial" w:cs="Arial"/>
          <w:sz w:val="24"/>
          <w:szCs w:val="24"/>
        </w:rPr>
        <w:t xml:space="preserve"> are the full scale parametric maps of the image displayed in </w:t>
      </w:r>
      <w:r w:rsidRPr="00AA7FF1">
        <w:rPr>
          <w:rFonts w:ascii="Arial" w:hAnsi="Arial" w:cs="Arial"/>
          <w:b/>
          <w:sz w:val="24"/>
          <w:szCs w:val="24"/>
        </w:rPr>
        <w:t>Fig. 2G</w:t>
      </w:r>
      <w:r w:rsidRPr="00AA7FF1">
        <w:rPr>
          <w:rFonts w:ascii="Arial" w:hAnsi="Arial" w:cs="Arial"/>
          <w:sz w:val="24"/>
          <w:szCs w:val="24"/>
        </w:rPr>
        <w:t>. Data is shown as Mean ± SEM or individual values.</w:t>
      </w:r>
    </w:p>
    <w:p w14:paraId="515EE475" w14:textId="77777777" w:rsidR="005354B6" w:rsidRPr="00AA7FF1" w:rsidRDefault="005354B6" w:rsidP="005354B6">
      <w:pPr>
        <w:rPr>
          <w:rFonts w:ascii="Arial" w:hAnsi="Arial" w:cs="Arial"/>
          <w:b/>
          <w:sz w:val="24"/>
          <w:szCs w:val="24"/>
        </w:rPr>
      </w:pPr>
      <w:r w:rsidRPr="00AA7FF1">
        <w:rPr>
          <w:rFonts w:ascii="Arial" w:hAnsi="Arial" w:cs="Arial"/>
          <w:b/>
          <w:sz w:val="24"/>
          <w:szCs w:val="24"/>
        </w:rPr>
        <w:br w:type="page"/>
      </w:r>
    </w:p>
    <w:p w14:paraId="406F3EF6"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 xml:space="preserve">Supplementary Figure 7. </w:t>
      </w:r>
    </w:p>
    <w:p w14:paraId="06CF30C6"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t>Patterns of metabolic activation in WT mice.</w:t>
      </w:r>
    </w:p>
    <w:p w14:paraId="558EC165" w14:textId="77777777" w:rsidR="005354B6" w:rsidRPr="00AA7FF1" w:rsidRDefault="005354B6" w:rsidP="005354B6">
      <w:pPr>
        <w:spacing w:line="480" w:lineRule="auto"/>
        <w:jc w:val="both"/>
        <w:rPr>
          <w:rFonts w:ascii="Arial" w:hAnsi="Arial" w:cs="Arial"/>
          <w:sz w:val="24"/>
          <w:szCs w:val="24"/>
        </w:rPr>
      </w:pPr>
      <w:r w:rsidRPr="00AA7FF1">
        <w:rPr>
          <w:rFonts w:ascii="Arial" w:hAnsi="Arial" w:cs="Arial"/>
          <w:noProof/>
          <w:sz w:val="24"/>
          <w:szCs w:val="24"/>
          <w:lang w:val="en-GB" w:eastAsia="en-GB"/>
        </w:rPr>
        <w:drawing>
          <wp:inline distT="0" distB="0" distL="0" distR="0" wp14:anchorId="72967F96" wp14:editId="12A985CC">
            <wp:extent cx="5683249" cy="3274909"/>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2531" cy="3286020"/>
                    </a:xfrm>
                    <a:prstGeom prst="rect">
                      <a:avLst/>
                    </a:prstGeom>
                    <a:noFill/>
                  </pic:spPr>
                </pic:pic>
              </a:graphicData>
            </a:graphic>
          </wp:inline>
        </w:drawing>
      </w:r>
    </w:p>
    <w:p w14:paraId="609E12A3"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 xml:space="preserve">Whole brain </w:t>
      </w:r>
      <w:r w:rsidRPr="00AA7FF1">
        <w:rPr>
          <w:rFonts w:ascii="Arial" w:hAnsi="Arial" w:cs="Arial"/>
          <w:sz w:val="24"/>
          <w:szCs w:val="24"/>
          <w:vertAlign w:val="superscript"/>
        </w:rPr>
        <w:t>18</w:t>
      </w:r>
      <w:r w:rsidRPr="00AA7FF1">
        <w:rPr>
          <w:rFonts w:ascii="Arial" w:hAnsi="Arial" w:cs="Arial"/>
          <w:sz w:val="24"/>
          <w:szCs w:val="24"/>
        </w:rPr>
        <w:t>F-FDG metabolic mapping in WT mice shows decreased metabolic activity of multiple networks after a systemic administration of Compound 21 at 1 mg/kg. (</w:t>
      </w:r>
      <w:r w:rsidRPr="00AA7FF1">
        <w:rPr>
          <w:rFonts w:ascii="Arial" w:hAnsi="Arial" w:cs="Arial"/>
          <w:b/>
          <w:sz w:val="24"/>
          <w:szCs w:val="24"/>
        </w:rPr>
        <w:t>b, c</w:t>
      </w:r>
      <w:r w:rsidRPr="00AA7FF1">
        <w:rPr>
          <w:rFonts w:ascii="Arial" w:hAnsi="Arial" w:cs="Arial"/>
          <w:sz w:val="24"/>
          <w:szCs w:val="24"/>
        </w:rPr>
        <w:t>) Equipotent doses (0.1 mg/kg) of clozapine (CLZ) or JHU37160 (J60) did not show any significant changes in brain metabolic activity.</w:t>
      </w:r>
    </w:p>
    <w:p w14:paraId="2B3DD3FA" w14:textId="77777777" w:rsidR="005354B6" w:rsidRPr="00AA7FF1" w:rsidRDefault="005354B6" w:rsidP="005354B6">
      <w:pPr>
        <w:jc w:val="both"/>
        <w:rPr>
          <w:rFonts w:ascii="Arial" w:hAnsi="Arial" w:cs="Arial"/>
          <w:sz w:val="24"/>
          <w:szCs w:val="24"/>
        </w:rPr>
      </w:pPr>
      <w:r w:rsidRPr="00AA7FF1">
        <w:rPr>
          <w:rFonts w:ascii="Arial" w:hAnsi="Arial" w:cs="Arial"/>
          <w:sz w:val="24"/>
          <w:szCs w:val="24"/>
        </w:rPr>
        <w:br w:type="page"/>
      </w:r>
    </w:p>
    <w:p w14:paraId="7DF9F2B6"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 xml:space="preserve">Supplementary Figure 8. </w:t>
      </w:r>
    </w:p>
    <w:p w14:paraId="78E12899"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t>Endogenous binding screens.</w:t>
      </w:r>
    </w:p>
    <w:p w14:paraId="70DF78C7"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noProof/>
          <w:sz w:val="24"/>
          <w:szCs w:val="24"/>
          <w:lang w:val="en-GB" w:eastAsia="en-GB"/>
        </w:rPr>
        <w:drawing>
          <wp:inline distT="0" distB="0" distL="0" distR="0" wp14:anchorId="0C7E9098" wp14:editId="6E7DD482">
            <wp:extent cx="5537307" cy="3510671"/>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2463" cy="3520280"/>
                    </a:xfrm>
                    <a:prstGeom prst="rect">
                      <a:avLst/>
                    </a:prstGeom>
                    <a:noFill/>
                  </pic:spPr>
                </pic:pic>
              </a:graphicData>
            </a:graphic>
          </wp:inline>
        </w:drawing>
      </w:r>
    </w:p>
    <w:p w14:paraId="48296C98"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w:t>
      </w:r>
      <w:r w:rsidRPr="00AA7FF1">
        <w:rPr>
          <w:rFonts w:ascii="Arial" w:hAnsi="Arial" w:cs="Arial"/>
          <w:sz w:val="24"/>
          <w:szCs w:val="24"/>
        </w:rPr>
        <w:t>) Inhibition of specific binding at endogenous potential targets by Compound 21 (C21) or clozapine (CLZ). CLZ has an affinity of ~2 nM whereas C21 has an affinity of ~200 nM and at equipotent concentrations they show similar affinity profiles for endogenous receptors. (</w:t>
      </w:r>
      <w:r w:rsidRPr="00AA7FF1">
        <w:rPr>
          <w:rFonts w:ascii="Arial" w:hAnsi="Arial" w:cs="Arial"/>
          <w:b/>
          <w:sz w:val="24"/>
          <w:szCs w:val="24"/>
        </w:rPr>
        <w:t>b</w:t>
      </w:r>
      <w:r w:rsidRPr="00AA7FF1">
        <w:rPr>
          <w:rFonts w:ascii="Arial" w:hAnsi="Arial" w:cs="Arial"/>
          <w:sz w:val="24"/>
          <w:szCs w:val="24"/>
        </w:rPr>
        <w:t>) At higher concentrations (10 µM) they show specific binding to multiple targets. Importantly, C21 binds to opioid receptors but clozapine does not. (</w:t>
      </w:r>
      <w:r w:rsidRPr="00AA7FF1">
        <w:rPr>
          <w:rFonts w:ascii="Arial" w:hAnsi="Arial" w:cs="Arial"/>
          <w:b/>
          <w:sz w:val="24"/>
          <w:szCs w:val="24"/>
        </w:rPr>
        <w:t>c</w:t>
      </w:r>
      <w:r w:rsidRPr="00AA7FF1">
        <w:rPr>
          <w:rFonts w:ascii="Arial" w:hAnsi="Arial" w:cs="Arial"/>
          <w:sz w:val="24"/>
          <w:szCs w:val="24"/>
        </w:rPr>
        <w:t xml:space="preserve">) Ki values for CLZ, JHU27152 (J52) or JHU37160 (J60) for receptors at which a 100 nM concentration produced at least 50% of inhibition of the selective ligand specific binding. The three compounds show similar binding profiles at dopamine and muscarinic receptors but not at serotonin receptors. Given that clozapine acts as an antagonist or weak partial agonist at these targets, and that cell-based functional assays in HEK-293 cells endogenously expressing those receptors did not show any response to J52 and J60, (Supplementary Fig. 4) it is likely that J52 and J60 will behave as antagonists for the endogenous targets whereas they are potent agonists for DREADDs. data is shown as Mean ± SEM.  </w:t>
      </w:r>
    </w:p>
    <w:p w14:paraId="7837D842" w14:textId="77777777" w:rsidR="005354B6" w:rsidRPr="00AA7FF1" w:rsidRDefault="005354B6" w:rsidP="005354B6">
      <w:pPr>
        <w:jc w:val="both"/>
        <w:rPr>
          <w:rFonts w:ascii="Arial" w:hAnsi="Arial" w:cs="Arial"/>
          <w:sz w:val="24"/>
          <w:szCs w:val="24"/>
        </w:rPr>
      </w:pPr>
    </w:p>
    <w:p w14:paraId="11706267" w14:textId="77777777" w:rsidR="005354B6" w:rsidRPr="00AA7FF1" w:rsidRDefault="005354B6" w:rsidP="005354B6">
      <w:pPr>
        <w:spacing w:line="480" w:lineRule="auto"/>
        <w:jc w:val="both"/>
        <w:rPr>
          <w:rFonts w:ascii="Arial" w:hAnsi="Arial" w:cs="Arial"/>
          <w:b/>
          <w:sz w:val="24"/>
          <w:szCs w:val="24"/>
        </w:rPr>
      </w:pPr>
    </w:p>
    <w:p w14:paraId="1F7BB7CD" w14:textId="77777777" w:rsidR="005354B6" w:rsidRPr="00AA7FF1" w:rsidRDefault="005354B6" w:rsidP="005354B6">
      <w:pPr>
        <w:rPr>
          <w:rFonts w:ascii="Arial" w:hAnsi="Arial" w:cs="Arial"/>
          <w:b/>
          <w:sz w:val="24"/>
          <w:szCs w:val="24"/>
        </w:rPr>
      </w:pPr>
      <w:r w:rsidRPr="00AA7FF1">
        <w:rPr>
          <w:rFonts w:ascii="Arial" w:hAnsi="Arial" w:cs="Arial"/>
          <w:b/>
          <w:sz w:val="24"/>
          <w:szCs w:val="24"/>
        </w:rPr>
        <w:br w:type="page"/>
      </w:r>
    </w:p>
    <w:p w14:paraId="6846F7A8" w14:textId="77777777" w:rsidR="005354B6" w:rsidRPr="00AA7FF1" w:rsidRDefault="005354B6" w:rsidP="005354B6">
      <w:pPr>
        <w:spacing w:line="360" w:lineRule="auto"/>
        <w:jc w:val="both"/>
        <w:rPr>
          <w:rFonts w:ascii="Arial" w:hAnsi="Arial" w:cs="Arial"/>
          <w:sz w:val="24"/>
          <w:szCs w:val="24"/>
        </w:rPr>
      </w:pPr>
      <w:r w:rsidRPr="00AA7FF1">
        <w:rPr>
          <w:rFonts w:ascii="Arial" w:hAnsi="Arial" w:cs="Arial"/>
          <w:b/>
          <w:sz w:val="24"/>
          <w:szCs w:val="24"/>
        </w:rPr>
        <w:lastRenderedPageBreak/>
        <w:t>Supplementary Figure 9.</w:t>
      </w:r>
      <w:r w:rsidRPr="00AA7FF1">
        <w:rPr>
          <w:rFonts w:ascii="Arial" w:hAnsi="Arial" w:cs="Arial"/>
          <w:sz w:val="24"/>
          <w:szCs w:val="24"/>
        </w:rPr>
        <w:t xml:space="preserve"> </w:t>
      </w:r>
    </w:p>
    <w:p w14:paraId="0597CD1D" w14:textId="77777777" w:rsidR="005354B6" w:rsidRPr="00AA7FF1" w:rsidRDefault="005354B6" w:rsidP="005354B6">
      <w:pPr>
        <w:spacing w:line="360" w:lineRule="auto"/>
        <w:jc w:val="both"/>
        <w:rPr>
          <w:rFonts w:ascii="Arial" w:hAnsi="Arial" w:cs="Arial"/>
          <w:sz w:val="24"/>
          <w:szCs w:val="24"/>
          <w:lang w:val="en-AU"/>
        </w:rPr>
      </w:pPr>
      <w:r w:rsidRPr="00AA7FF1">
        <w:rPr>
          <w:rFonts w:ascii="Arial" w:hAnsi="Arial" w:cs="Arial"/>
          <w:b/>
          <w:sz w:val="24"/>
          <w:szCs w:val="24"/>
        </w:rPr>
        <w:t>Chrimson variant generation and characterization</w:t>
      </w:r>
    </w:p>
    <w:p w14:paraId="2BA48649" w14:textId="77777777" w:rsidR="005354B6" w:rsidRPr="00AA7FF1" w:rsidRDefault="005354B6" w:rsidP="005354B6">
      <w:pPr>
        <w:spacing w:line="360" w:lineRule="auto"/>
        <w:jc w:val="both"/>
        <w:rPr>
          <w:rFonts w:ascii="Arial" w:hAnsi="Arial" w:cs="Arial"/>
          <w:sz w:val="24"/>
          <w:szCs w:val="24"/>
          <w:lang w:val="en-AU"/>
        </w:rPr>
      </w:pPr>
      <w:r w:rsidRPr="00AA7FF1">
        <w:rPr>
          <w:rFonts w:ascii="Arial" w:hAnsi="Arial" w:cs="Arial"/>
          <w:noProof/>
          <w:sz w:val="24"/>
          <w:szCs w:val="24"/>
          <w:lang w:val="en-GB" w:eastAsia="en-GB"/>
        </w:rPr>
        <w:drawing>
          <wp:inline distT="0" distB="0" distL="0" distR="0" wp14:anchorId="6C4E6F64" wp14:editId="18144C63">
            <wp:extent cx="6121400" cy="58370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43191" cy="5857826"/>
                    </a:xfrm>
                    <a:prstGeom prst="rect">
                      <a:avLst/>
                    </a:prstGeom>
                  </pic:spPr>
                </pic:pic>
              </a:graphicData>
            </a:graphic>
          </wp:inline>
        </w:drawing>
      </w:r>
    </w:p>
    <w:p w14:paraId="61C07390" w14:textId="77777777" w:rsidR="005354B6" w:rsidRPr="00AA7FF1" w:rsidRDefault="005354B6" w:rsidP="005354B6">
      <w:pPr>
        <w:jc w:val="both"/>
        <w:rPr>
          <w:rFonts w:ascii="Arial" w:hAnsi="Arial" w:cs="Arial"/>
          <w:sz w:val="24"/>
          <w:szCs w:val="24"/>
          <w:lang w:val="en-AU"/>
        </w:rPr>
      </w:pPr>
      <w:r w:rsidRPr="00AA7FF1">
        <w:rPr>
          <w:rFonts w:ascii="Arial" w:hAnsi="Arial" w:cs="Arial"/>
          <w:sz w:val="24"/>
          <w:szCs w:val="24"/>
          <w:lang w:val="en-AU"/>
        </w:rPr>
        <w:t xml:space="preserve"> (</w:t>
      </w:r>
      <w:r w:rsidRPr="00AA7FF1">
        <w:rPr>
          <w:rFonts w:ascii="Arial" w:hAnsi="Arial" w:cs="Arial"/>
          <w:b/>
          <w:sz w:val="24"/>
          <w:szCs w:val="24"/>
          <w:lang w:val="en-AU"/>
        </w:rPr>
        <w:t>a</w:t>
      </w:r>
      <w:r w:rsidRPr="00AA7FF1">
        <w:rPr>
          <w:rFonts w:ascii="Arial" w:hAnsi="Arial" w:cs="Arial"/>
          <w:sz w:val="24"/>
          <w:szCs w:val="24"/>
          <w:lang w:val="en-AU"/>
        </w:rPr>
        <w:t>) The expression of Chrimson-FP construct in HEK293 cells show mostly cytosolic expression pattern. (</w:t>
      </w:r>
      <w:r w:rsidRPr="00AA7FF1">
        <w:rPr>
          <w:rFonts w:ascii="Arial" w:hAnsi="Arial" w:cs="Arial"/>
          <w:b/>
          <w:sz w:val="24"/>
          <w:szCs w:val="24"/>
          <w:lang w:val="en-AU"/>
        </w:rPr>
        <w:t>b</w:t>
      </w:r>
      <w:r w:rsidRPr="00AA7FF1">
        <w:rPr>
          <w:rFonts w:ascii="Arial" w:hAnsi="Arial" w:cs="Arial"/>
          <w:sz w:val="24"/>
          <w:szCs w:val="24"/>
          <w:lang w:val="en-AU"/>
        </w:rPr>
        <w:t>) oC-Chrimson is a chimeric protein of N-terminus of oChIEF (residues 1-80) and Chrimson (residues 82-350) has similar cytosolic expression pattern to Chrimson in HEK293 cells. The N-terminus of oChIEF was used as it contained a predicted signalling peptide sequence for membrane exporting and the utilization of the same N-terminus sequence in ReaChR and oChIEF resulted in superior membrane trafficking. (</w:t>
      </w:r>
      <w:r w:rsidRPr="00AA7FF1">
        <w:rPr>
          <w:rFonts w:ascii="Arial" w:hAnsi="Arial" w:cs="Arial"/>
          <w:b/>
          <w:sz w:val="24"/>
          <w:szCs w:val="24"/>
          <w:lang w:val="en-AU"/>
        </w:rPr>
        <w:t>c</w:t>
      </w:r>
      <w:r w:rsidRPr="00AA7FF1">
        <w:rPr>
          <w:rFonts w:ascii="Arial" w:hAnsi="Arial" w:cs="Arial"/>
          <w:sz w:val="24"/>
          <w:szCs w:val="24"/>
          <w:lang w:val="en-AU"/>
        </w:rPr>
        <w:t>) oC-Chrimson-ts had additional trafficking signal (amino acid sequence, KSRITSEGEYIPLDQIDINV) placed between Chrimson and FP that resulted in membrane trafficking with minimal cytosolic aggregation in HEK 293 cells. (</w:t>
      </w:r>
      <w:r w:rsidRPr="00AA7FF1">
        <w:rPr>
          <w:rFonts w:ascii="Arial" w:hAnsi="Arial" w:cs="Arial"/>
          <w:b/>
          <w:sz w:val="24"/>
          <w:szCs w:val="24"/>
          <w:lang w:val="en-AU"/>
        </w:rPr>
        <w:t>d</w:t>
      </w:r>
      <w:r w:rsidRPr="00AA7FF1">
        <w:rPr>
          <w:rFonts w:ascii="Arial" w:hAnsi="Arial" w:cs="Arial"/>
          <w:sz w:val="24"/>
          <w:szCs w:val="24"/>
          <w:lang w:val="en-AU"/>
        </w:rPr>
        <w:t>) oC-Chrimson-ts has the best membrane to cytosolic fluorescence ratio compared to Chrimson and oC-Chrimson in HEK293 cells. (</w:t>
      </w:r>
      <w:r w:rsidRPr="00AA7FF1">
        <w:rPr>
          <w:rFonts w:ascii="Arial" w:hAnsi="Arial" w:cs="Arial"/>
          <w:b/>
          <w:sz w:val="24"/>
          <w:szCs w:val="24"/>
          <w:lang w:val="en-AU"/>
        </w:rPr>
        <w:t>e-g</w:t>
      </w:r>
      <w:r w:rsidRPr="00AA7FF1">
        <w:rPr>
          <w:rFonts w:ascii="Arial" w:hAnsi="Arial" w:cs="Arial"/>
          <w:sz w:val="24"/>
          <w:szCs w:val="24"/>
          <w:lang w:val="en-AU"/>
        </w:rPr>
        <w:t>) The expression of ReaChR, Chrimson and oC-Chrimson-ts in cultured cortical neurons. ReaChR and oC-Chrimson-ts show comparable membrane expression with Chrimson expression mostly within the cytosol. (</w:t>
      </w:r>
      <w:r w:rsidRPr="00AA7FF1">
        <w:rPr>
          <w:rFonts w:ascii="Arial" w:hAnsi="Arial" w:cs="Arial"/>
          <w:b/>
          <w:sz w:val="24"/>
          <w:szCs w:val="24"/>
          <w:lang w:val="en-AU"/>
        </w:rPr>
        <w:t>h</w:t>
      </w:r>
      <w:r w:rsidRPr="00AA7FF1">
        <w:rPr>
          <w:rFonts w:ascii="Arial" w:hAnsi="Arial" w:cs="Arial"/>
          <w:sz w:val="24"/>
          <w:szCs w:val="24"/>
          <w:lang w:val="en-AU"/>
        </w:rPr>
        <w:t>) The quantification of membrane to cytosol fluorescence ratio in cultured neurons. (</w:t>
      </w:r>
      <w:r w:rsidRPr="00AA7FF1">
        <w:rPr>
          <w:rFonts w:ascii="Arial" w:hAnsi="Arial" w:cs="Arial"/>
          <w:b/>
          <w:sz w:val="24"/>
          <w:szCs w:val="24"/>
          <w:lang w:val="en-AU"/>
        </w:rPr>
        <w:t>i</w:t>
      </w:r>
      <w:r w:rsidRPr="00AA7FF1">
        <w:rPr>
          <w:rFonts w:ascii="Arial" w:hAnsi="Arial" w:cs="Arial"/>
          <w:sz w:val="24"/>
          <w:szCs w:val="24"/>
          <w:lang w:val="en-AU"/>
        </w:rPr>
        <w:t xml:space="preserve">) Example traces </w:t>
      </w:r>
      <w:r w:rsidRPr="00AA7FF1">
        <w:rPr>
          <w:rFonts w:ascii="Arial" w:hAnsi="Arial" w:cs="Arial"/>
          <w:sz w:val="24"/>
          <w:szCs w:val="24"/>
          <w:lang w:val="en-AU"/>
        </w:rPr>
        <w:lastRenderedPageBreak/>
        <w:t>of voltage-clamp recording of 1 s light evoked Chrimson and oC-Chrimson-ts photocurrent in HEK293 cells at indicated wavelengths. In most cells, the Chrimson response is below 100 pA whereas the oC-Chrimson-ts photocurrents are typically greater (&gt;200pA) when cells of comparable fluorescence are tested. (</w:t>
      </w:r>
      <w:r w:rsidRPr="00AA7FF1">
        <w:rPr>
          <w:rFonts w:ascii="Arial" w:hAnsi="Arial" w:cs="Arial"/>
          <w:b/>
          <w:sz w:val="24"/>
          <w:szCs w:val="24"/>
          <w:lang w:val="en-AU"/>
        </w:rPr>
        <w:t>j</w:t>
      </w:r>
      <w:r w:rsidRPr="00AA7FF1">
        <w:rPr>
          <w:rFonts w:ascii="Arial" w:hAnsi="Arial" w:cs="Arial"/>
          <w:sz w:val="24"/>
          <w:szCs w:val="24"/>
          <w:lang w:val="en-AU"/>
        </w:rPr>
        <w:t>) Quantification of the maximum and steady-state (measured at 950 – 1000 ms) photocurrent of Chrimson and oC-Chrimson-ts to 1 s 590 nm light. (</w:t>
      </w:r>
      <w:r w:rsidRPr="00AA7FF1">
        <w:rPr>
          <w:rFonts w:ascii="Arial" w:hAnsi="Arial" w:cs="Arial"/>
          <w:b/>
          <w:sz w:val="24"/>
          <w:szCs w:val="24"/>
          <w:lang w:val="en-AU"/>
        </w:rPr>
        <w:t>k</w:t>
      </w:r>
      <w:r w:rsidRPr="00AA7FF1">
        <w:rPr>
          <w:rFonts w:ascii="Arial" w:hAnsi="Arial" w:cs="Arial"/>
          <w:sz w:val="24"/>
          <w:szCs w:val="24"/>
          <w:lang w:val="en-AU"/>
        </w:rPr>
        <w:t xml:space="preserve">) The normalized photocurrent response of oC-Chrimson-ts from 650 nm to 400 nm (n = 3). Similar spectral response for Chrimson cannot be measured accurately due to the small size of photocurrent in most cells recorded. All graphs are shown as mean </w:t>
      </w:r>
      <w:r w:rsidRPr="00AA7FF1">
        <w:rPr>
          <w:rFonts w:ascii="Arial" w:hAnsi="Arial" w:cs="Arial"/>
          <w:sz w:val="24"/>
          <w:szCs w:val="24"/>
          <w:lang w:val="en-AU"/>
        </w:rPr>
        <w:sym w:font="Symbol" w:char="F0B1"/>
      </w:r>
      <w:r w:rsidRPr="00AA7FF1">
        <w:rPr>
          <w:rFonts w:ascii="Arial" w:hAnsi="Arial" w:cs="Arial"/>
          <w:sz w:val="24"/>
          <w:szCs w:val="24"/>
          <w:lang w:val="en-AU"/>
        </w:rPr>
        <w:t xml:space="preserve"> SD.</w:t>
      </w:r>
    </w:p>
    <w:p w14:paraId="2F1E3B5F" w14:textId="77777777" w:rsidR="005354B6" w:rsidRPr="00AA7FF1" w:rsidRDefault="005354B6" w:rsidP="005354B6">
      <w:pPr>
        <w:jc w:val="both"/>
        <w:rPr>
          <w:rFonts w:ascii="Arial" w:hAnsi="Arial" w:cs="Arial"/>
          <w:sz w:val="24"/>
          <w:szCs w:val="24"/>
          <w:lang w:val="en-AU"/>
        </w:rPr>
      </w:pPr>
    </w:p>
    <w:p w14:paraId="35D8801B" w14:textId="77777777" w:rsidR="005354B6" w:rsidRPr="00AA7FF1" w:rsidRDefault="005354B6" w:rsidP="005354B6">
      <w:pPr>
        <w:jc w:val="both"/>
        <w:rPr>
          <w:rFonts w:ascii="Arial" w:hAnsi="Arial" w:cs="Arial"/>
          <w:sz w:val="24"/>
          <w:szCs w:val="24"/>
          <w:lang w:val="en-AU"/>
        </w:rPr>
      </w:pPr>
    </w:p>
    <w:p w14:paraId="4DB7686B" w14:textId="77777777" w:rsidR="005354B6" w:rsidRPr="00AA7FF1" w:rsidRDefault="005354B6" w:rsidP="005354B6">
      <w:pPr>
        <w:jc w:val="both"/>
        <w:rPr>
          <w:rFonts w:ascii="Arial" w:hAnsi="Arial" w:cs="Arial"/>
          <w:sz w:val="24"/>
          <w:szCs w:val="24"/>
          <w:lang w:val="en-AU"/>
        </w:rPr>
      </w:pPr>
    </w:p>
    <w:p w14:paraId="102DBE32" w14:textId="77777777" w:rsidR="005354B6" w:rsidRPr="00AA7FF1" w:rsidRDefault="005354B6" w:rsidP="005354B6">
      <w:pPr>
        <w:jc w:val="both"/>
        <w:rPr>
          <w:rFonts w:ascii="Arial" w:hAnsi="Arial" w:cs="Arial"/>
          <w:sz w:val="24"/>
          <w:szCs w:val="24"/>
          <w:lang w:val="en-AU"/>
        </w:rPr>
      </w:pPr>
    </w:p>
    <w:p w14:paraId="45E6382A" w14:textId="77777777" w:rsidR="005354B6" w:rsidRPr="00AA7FF1" w:rsidRDefault="005354B6" w:rsidP="005354B6">
      <w:pPr>
        <w:jc w:val="both"/>
        <w:rPr>
          <w:rFonts w:ascii="Arial" w:hAnsi="Arial" w:cs="Arial"/>
          <w:sz w:val="24"/>
          <w:szCs w:val="24"/>
          <w:lang w:val="en-AU"/>
        </w:rPr>
      </w:pPr>
    </w:p>
    <w:p w14:paraId="2C057F59" w14:textId="77777777" w:rsidR="005354B6" w:rsidRPr="00AA7FF1" w:rsidRDefault="005354B6" w:rsidP="005354B6">
      <w:pPr>
        <w:jc w:val="both"/>
        <w:rPr>
          <w:rFonts w:ascii="Arial" w:hAnsi="Arial" w:cs="Arial"/>
          <w:sz w:val="24"/>
          <w:szCs w:val="24"/>
          <w:lang w:val="en-AU"/>
        </w:rPr>
      </w:pPr>
    </w:p>
    <w:p w14:paraId="69F335DF" w14:textId="77777777" w:rsidR="005354B6" w:rsidRPr="00AA7FF1" w:rsidRDefault="005354B6" w:rsidP="005354B6">
      <w:pPr>
        <w:jc w:val="both"/>
        <w:rPr>
          <w:rFonts w:ascii="Arial" w:hAnsi="Arial" w:cs="Arial"/>
          <w:sz w:val="24"/>
          <w:szCs w:val="24"/>
          <w:lang w:val="en-AU"/>
        </w:rPr>
      </w:pPr>
    </w:p>
    <w:p w14:paraId="3266A339" w14:textId="77777777" w:rsidR="005354B6" w:rsidRPr="00AA7FF1" w:rsidRDefault="005354B6" w:rsidP="005354B6">
      <w:pPr>
        <w:jc w:val="both"/>
        <w:rPr>
          <w:rFonts w:ascii="Arial" w:hAnsi="Arial" w:cs="Arial"/>
          <w:sz w:val="24"/>
          <w:szCs w:val="24"/>
          <w:lang w:val="en-AU"/>
        </w:rPr>
      </w:pPr>
    </w:p>
    <w:p w14:paraId="26909B2C" w14:textId="77777777" w:rsidR="005354B6" w:rsidRPr="00AA7FF1" w:rsidRDefault="005354B6" w:rsidP="005354B6">
      <w:pPr>
        <w:jc w:val="both"/>
        <w:rPr>
          <w:rFonts w:ascii="Arial" w:hAnsi="Arial" w:cs="Arial"/>
          <w:sz w:val="24"/>
          <w:szCs w:val="24"/>
          <w:lang w:val="en-AU"/>
        </w:rPr>
      </w:pPr>
    </w:p>
    <w:p w14:paraId="149DBC2E" w14:textId="77777777" w:rsidR="005354B6" w:rsidRPr="00AA7FF1" w:rsidRDefault="005354B6" w:rsidP="005354B6">
      <w:pPr>
        <w:jc w:val="both"/>
        <w:rPr>
          <w:rFonts w:ascii="Arial" w:hAnsi="Arial" w:cs="Arial"/>
          <w:sz w:val="24"/>
          <w:szCs w:val="24"/>
          <w:lang w:val="en-AU"/>
        </w:rPr>
      </w:pPr>
    </w:p>
    <w:p w14:paraId="0248F859" w14:textId="77777777" w:rsidR="005354B6" w:rsidRPr="00AA7FF1" w:rsidRDefault="005354B6" w:rsidP="005354B6">
      <w:pPr>
        <w:jc w:val="both"/>
        <w:rPr>
          <w:rFonts w:ascii="Arial" w:hAnsi="Arial" w:cs="Arial"/>
          <w:sz w:val="24"/>
          <w:szCs w:val="24"/>
          <w:lang w:val="en-AU"/>
        </w:rPr>
      </w:pPr>
    </w:p>
    <w:p w14:paraId="446C1452" w14:textId="77777777" w:rsidR="005354B6" w:rsidRPr="00AA7FF1" w:rsidRDefault="005354B6" w:rsidP="005354B6">
      <w:pPr>
        <w:jc w:val="both"/>
        <w:rPr>
          <w:rFonts w:ascii="Arial" w:hAnsi="Arial" w:cs="Arial"/>
          <w:sz w:val="24"/>
          <w:szCs w:val="24"/>
          <w:lang w:val="en-AU"/>
        </w:rPr>
      </w:pPr>
    </w:p>
    <w:p w14:paraId="01546B28" w14:textId="77777777" w:rsidR="005354B6" w:rsidRPr="00AA7FF1" w:rsidRDefault="005354B6" w:rsidP="005354B6">
      <w:pPr>
        <w:jc w:val="both"/>
        <w:rPr>
          <w:rFonts w:ascii="Arial" w:hAnsi="Arial" w:cs="Arial"/>
          <w:sz w:val="24"/>
          <w:szCs w:val="24"/>
          <w:lang w:val="en-AU"/>
        </w:rPr>
      </w:pPr>
    </w:p>
    <w:p w14:paraId="1E9F8E16" w14:textId="77777777" w:rsidR="005354B6" w:rsidRPr="00AA7FF1" w:rsidRDefault="005354B6" w:rsidP="005354B6">
      <w:pPr>
        <w:jc w:val="both"/>
        <w:rPr>
          <w:rFonts w:ascii="Arial" w:hAnsi="Arial" w:cs="Arial"/>
          <w:sz w:val="24"/>
          <w:szCs w:val="24"/>
          <w:lang w:val="en-AU"/>
        </w:rPr>
      </w:pPr>
    </w:p>
    <w:p w14:paraId="6A1AB071" w14:textId="77777777" w:rsidR="005354B6" w:rsidRPr="00AA7FF1" w:rsidRDefault="005354B6" w:rsidP="005354B6">
      <w:pPr>
        <w:jc w:val="both"/>
        <w:rPr>
          <w:rFonts w:ascii="Arial" w:hAnsi="Arial" w:cs="Arial"/>
          <w:sz w:val="24"/>
          <w:szCs w:val="24"/>
          <w:lang w:val="en-AU"/>
        </w:rPr>
      </w:pPr>
    </w:p>
    <w:p w14:paraId="1CEFCB36" w14:textId="77777777" w:rsidR="005354B6" w:rsidRPr="00AA7FF1" w:rsidRDefault="005354B6" w:rsidP="005354B6">
      <w:pPr>
        <w:jc w:val="both"/>
        <w:rPr>
          <w:rFonts w:ascii="Arial" w:hAnsi="Arial" w:cs="Arial"/>
          <w:b/>
          <w:sz w:val="24"/>
          <w:szCs w:val="24"/>
        </w:rPr>
      </w:pPr>
    </w:p>
    <w:p w14:paraId="3653A4D8" w14:textId="77777777" w:rsidR="005354B6" w:rsidRPr="00AA7FF1" w:rsidRDefault="005354B6" w:rsidP="005354B6">
      <w:pPr>
        <w:rPr>
          <w:rFonts w:ascii="Arial" w:hAnsi="Arial" w:cs="Arial"/>
          <w:b/>
          <w:sz w:val="24"/>
          <w:szCs w:val="24"/>
        </w:rPr>
      </w:pPr>
      <w:r w:rsidRPr="00AA7FF1">
        <w:rPr>
          <w:rFonts w:ascii="Arial" w:hAnsi="Arial" w:cs="Arial"/>
          <w:b/>
          <w:sz w:val="24"/>
          <w:szCs w:val="24"/>
        </w:rPr>
        <w:br w:type="page"/>
      </w:r>
    </w:p>
    <w:p w14:paraId="41E7BE39"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lastRenderedPageBreak/>
        <w:t>Supplementary Figure 10.</w:t>
      </w:r>
    </w:p>
    <w:p w14:paraId="72795CAE"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sz w:val="24"/>
          <w:szCs w:val="24"/>
        </w:rPr>
        <w:t xml:space="preserve"> </w:t>
      </w:r>
      <w:r w:rsidRPr="00AA7FF1">
        <w:rPr>
          <w:rFonts w:ascii="Arial" w:hAnsi="Arial" w:cs="Arial"/>
          <w:b/>
          <w:i/>
          <w:sz w:val="24"/>
          <w:szCs w:val="24"/>
        </w:rPr>
        <w:t>In vivo</w:t>
      </w:r>
      <w:r w:rsidRPr="00AA7FF1">
        <w:rPr>
          <w:rFonts w:ascii="Arial" w:hAnsi="Arial" w:cs="Arial"/>
          <w:b/>
          <w:sz w:val="24"/>
          <w:szCs w:val="24"/>
        </w:rPr>
        <w:t xml:space="preserve"> electrophysiological characterization of JHU37160.</w:t>
      </w:r>
    </w:p>
    <w:p w14:paraId="34E58675" w14:textId="77777777" w:rsidR="005354B6" w:rsidRPr="00AA7FF1" w:rsidRDefault="005354B6" w:rsidP="005354B6">
      <w:pPr>
        <w:spacing w:line="480" w:lineRule="auto"/>
        <w:jc w:val="both"/>
        <w:rPr>
          <w:rFonts w:ascii="Arial" w:hAnsi="Arial" w:cs="Arial"/>
          <w:color w:val="FF0000"/>
          <w:sz w:val="24"/>
          <w:szCs w:val="24"/>
        </w:rPr>
      </w:pPr>
      <w:r w:rsidRPr="00AA7FF1">
        <w:rPr>
          <w:rFonts w:ascii="Arial" w:hAnsi="Arial" w:cs="Arial"/>
          <w:noProof/>
          <w:color w:val="FF0000"/>
          <w:sz w:val="24"/>
          <w:szCs w:val="24"/>
          <w:lang w:val="en-GB" w:eastAsia="en-GB"/>
        </w:rPr>
        <w:drawing>
          <wp:inline distT="0" distB="0" distL="0" distR="0" wp14:anchorId="5DC32B95" wp14:editId="236BE71F">
            <wp:extent cx="6223000" cy="6188427"/>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34226" cy="6199591"/>
                    </a:xfrm>
                    <a:prstGeom prst="rect">
                      <a:avLst/>
                    </a:prstGeom>
                  </pic:spPr>
                </pic:pic>
              </a:graphicData>
            </a:graphic>
          </wp:inline>
        </w:drawing>
      </w:r>
    </w:p>
    <w:p w14:paraId="64640B19"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(a) </w:t>
      </w:r>
      <w:r w:rsidRPr="00AA7FF1">
        <w:rPr>
          <w:rFonts w:ascii="Arial" w:hAnsi="Arial" w:cs="Arial"/>
          <w:sz w:val="24"/>
          <w:szCs w:val="24"/>
        </w:rPr>
        <w:t>Corresponding measurements of light intensity stimulation and measured light output from the tip of the optic fibre (n=8), showing a consistent light delivery through experiments. (</w:t>
      </w:r>
      <w:r w:rsidRPr="00AA7FF1">
        <w:rPr>
          <w:rFonts w:ascii="Arial" w:hAnsi="Arial" w:cs="Arial"/>
          <w:b/>
          <w:sz w:val="24"/>
          <w:szCs w:val="24"/>
        </w:rPr>
        <w:t>b</w:t>
      </w:r>
      <w:r w:rsidRPr="00AA7FF1">
        <w:rPr>
          <w:rFonts w:ascii="Arial" w:hAnsi="Arial" w:cs="Arial"/>
          <w:sz w:val="24"/>
          <w:szCs w:val="24"/>
        </w:rPr>
        <w:t>) Field EPSP measurements of slope and amplitude on a representative waveform. (</w:t>
      </w:r>
      <w:r w:rsidRPr="00AA7FF1">
        <w:rPr>
          <w:rFonts w:ascii="Arial" w:hAnsi="Arial" w:cs="Arial"/>
          <w:b/>
          <w:sz w:val="24"/>
          <w:szCs w:val="24"/>
        </w:rPr>
        <w:t>c</w:t>
      </w:r>
      <w:r w:rsidRPr="00AA7FF1">
        <w:rPr>
          <w:rFonts w:ascii="Arial" w:hAnsi="Arial" w:cs="Arial"/>
          <w:sz w:val="24"/>
          <w:szCs w:val="24"/>
        </w:rPr>
        <w:t>) fEPSP amplitude measurements corresponding to the same experiments presented in Figure3O, P (n=4). (</w:t>
      </w:r>
      <w:r w:rsidRPr="00AA7FF1">
        <w:rPr>
          <w:rFonts w:ascii="Arial" w:hAnsi="Arial" w:cs="Arial"/>
          <w:b/>
          <w:sz w:val="24"/>
          <w:szCs w:val="24"/>
        </w:rPr>
        <w:t>d</w:t>
      </w:r>
      <w:r w:rsidRPr="00AA7FF1">
        <w:rPr>
          <w:rFonts w:ascii="Arial" w:hAnsi="Arial" w:cs="Arial"/>
          <w:sz w:val="24"/>
          <w:szCs w:val="24"/>
        </w:rPr>
        <w:t>) Input-Output test curves for light intensity 30 min before (T</w:t>
      </w:r>
      <w:r w:rsidRPr="00AA7FF1">
        <w:rPr>
          <w:rFonts w:ascii="Arial" w:hAnsi="Arial" w:cs="Arial"/>
          <w:sz w:val="24"/>
          <w:szCs w:val="24"/>
          <w:vertAlign w:val="subscript"/>
        </w:rPr>
        <w:t>-30</w:t>
      </w:r>
      <w:r w:rsidRPr="00AA7FF1">
        <w:rPr>
          <w:rFonts w:ascii="Arial" w:hAnsi="Arial" w:cs="Arial"/>
          <w:sz w:val="24"/>
          <w:szCs w:val="24"/>
        </w:rPr>
        <w:t>) and 60 min after (T</w:t>
      </w:r>
      <w:r w:rsidRPr="00AA7FF1">
        <w:rPr>
          <w:rFonts w:ascii="Arial" w:hAnsi="Arial" w:cs="Arial"/>
          <w:sz w:val="24"/>
          <w:szCs w:val="24"/>
          <w:vertAlign w:val="subscript"/>
        </w:rPr>
        <w:t>60</w:t>
      </w:r>
      <w:r w:rsidRPr="00AA7FF1">
        <w:rPr>
          <w:rFonts w:ascii="Arial" w:hAnsi="Arial" w:cs="Arial"/>
          <w:sz w:val="24"/>
          <w:szCs w:val="24"/>
        </w:rPr>
        <w:t>) JHU37160 injection (n=4). 2-way ANOVA effect of power F (4, 30) = 21.09 and time F (1, 30) = 210.0, post-hoc Sidak’s multiple comparisons test shown as ****, p&lt;0.0001 between T-30 and T60. (</w:t>
      </w:r>
      <w:r w:rsidRPr="00AA7FF1">
        <w:rPr>
          <w:rFonts w:ascii="Arial" w:hAnsi="Arial" w:cs="Arial"/>
          <w:b/>
          <w:sz w:val="24"/>
          <w:szCs w:val="24"/>
        </w:rPr>
        <w:t>e</w:t>
      </w:r>
      <w:r w:rsidRPr="00AA7FF1">
        <w:rPr>
          <w:rFonts w:ascii="Arial" w:hAnsi="Arial" w:cs="Arial"/>
          <w:sz w:val="24"/>
          <w:szCs w:val="24"/>
        </w:rPr>
        <w:t>) Input-Output test curves for pulse length 30 min before (T</w:t>
      </w:r>
      <w:r w:rsidRPr="00AA7FF1">
        <w:rPr>
          <w:rFonts w:ascii="Arial" w:hAnsi="Arial" w:cs="Arial"/>
          <w:sz w:val="24"/>
          <w:szCs w:val="24"/>
          <w:vertAlign w:val="subscript"/>
        </w:rPr>
        <w:t>-30</w:t>
      </w:r>
      <w:r w:rsidRPr="00AA7FF1">
        <w:rPr>
          <w:rFonts w:ascii="Arial" w:hAnsi="Arial" w:cs="Arial"/>
          <w:sz w:val="24"/>
          <w:szCs w:val="24"/>
        </w:rPr>
        <w:t>) and 60 min after (T</w:t>
      </w:r>
      <w:r w:rsidRPr="00AA7FF1">
        <w:rPr>
          <w:rFonts w:ascii="Arial" w:hAnsi="Arial" w:cs="Arial"/>
          <w:sz w:val="24"/>
          <w:szCs w:val="24"/>
          <w:vertAlign w:val="subscript"/>
        </w:rPr>
        <w:t>60</w:t>
      </w:r>
      <w:r w:rsidRPr="00AA7FF1">
        <w:rPr>
          <w:rFonts w:ascii="Arial" w:hAnsi="Arial" w:cs="Arial"/>
          <w:sz w:val="24"/>
          <w:szCs w:val="24"/>
        </w:rPr>
        <w:t xml:space="preserve">) JHU37160 injection (n=4). 2-way repeated measures ANOVA effect of pulse length F (4, 15) = 8.751 and time F (1, 15) = 47.06, post-hoc Sidak’s multiple comparisons test shown as *, p&lt;0.05 </w:t>
      </w:r>
      <w:r w:rsidRPr="00AA7FF1">
        <w:rPr>
          <w:rFonts w:ascii="Arial" w:hAnsi="Arial" w:cs="Arial"/>
          <w:sz w:val="24"/>
          <w:szCs w:val="24"/>
        </w:rPr>
        <w:lastRenderedPageBreak/>
        <w:t>between T-30 and T60. (</w:t>
      </w:r>
      <w:r w:rsidRPr="00AA7FF1">
        <w:rPr>
          <w:rFonts w:ascii="Arial" w:hAnsi="Arial" w:cs="Arial"/>
          <w:b/>
          <w:sz w:val="24"/>
          <w:szCs w:val="24"/>
        </w:rPr>
        <w:t>f</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Design of a control experiment with electrical stimulation of the Internal Capsule (IC) to LA pathway. (</w:t>
      </w:r>
      <w:r w:rsidRPr="00AA7FF1">
        <w:rPr>
          <w:rFonts w:ascii="Arial" w:hAnsi="Arial" w:cs="Arial"/>
          <w:b/>
          <w:sz w:val="24"/>
          <w:szCs w:val="24"/>
        </w:rPr>
        <w:t>g</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Time course of the effect of JHU37160 on non-hM4Di animals (n=2). Insert: representative waveforms from two selected time points (grey highlight in the graph) before and after infusion. (</w:t>
      </w:r>
      <w:r w:rsidRPr="00AA7FF1">
        <w:rPr>
          <w:rFonts w:ascii="Arial" w:hAnsi="Arial" w:cs="Arial"/>
          <w:b/>
          <w:sz w:val="24"/>
          <w:szCs w:val="24"/>
        </w:rPr>
        <w:t>h</w:t>
      </w:r>
      <w:r w:rsidRPr="00AA7FF1">
        <w:rPr>
          <w:rFonts w:ascii="Arial" w:hAnsi="Arial" w:cs="Arial"/>
          <w:sz w:val="24"/>
          <w:szCs w:val="24"/>
        </w:rPr>
        <w:t>) Input-Output test curves for stimulation intensity 30 min before (T</w:t>
      </w:r>
      <w:r w:rsidRPr="00AA7FF1">
        <w:rPr>
          <w:rFonts w:ascii="Arial" w:hAnsi="Arial" w:cs="Arial"/>
          <w:sz w:val="24"/>
          <w:szCs w:val="24"/>
          <w:vertAlign w:val="subscript"/>
        </w:rPr>
        <w:t>-30</w:t>
      </w:r>
      <w:r w:rsidRPr="00AA7FF1">
        <w:rPr>
          <w:rFonts w:ascii="Arial" w:hAnsi="Arial" w:cs="Arial"/>
          <w:sz w:val="24"/>
          <w:szCs w:val="24"/>
        </w:rPr>
        <w:t>) and 60 min after (T</w:t>
      </w:r>
      <w:r w:rsidRPr="00AA7FF1">
        <w:rPr>
          <w:rFonts w:ascii="Arial" w:hAnsi="Arial" w:cs="Arial"/>
          <w:sz w:val="24"/>
          <w:szCs w:val="24"/>
          <w:vertAlign w:val="subscript"/>
        </w:rPr>
        <w:t>60</w:t>
      </w:r>
      <w:r w:rsidRPr="00AA7FF1">
        <w:rPr>
          <w:rFonts w:ascii="Arial" w:hAnsi="Arial" w:cs="Arial"/>
          <w:sz w:val="24"/>
          <w:szCs w:val="24"/>
        </w:rPr>
        <w:t>) JHU37160 injection (n=2). 2-way repeated measures ANOVA effect of stimulation intensity F (6, 7) = 3.101 and time F (1, 7) = 8.445, post-hoc Sidak’s multiple comparisons test not significant for all intensities between T-30 and T60.  In all panels, data is shown as Mean ± SEM.</w:t>
      </w:r>
    </w:p>
    <w:p w14:paraId="6D0A9AB1" w14:textId="77777777" w:rsidR="005354B6" w:rsidRPr="00AA7FF1" w:rsidRDefault="005354B6" w:rsidP="005354B6">
      <w:pPr>
        <w:rPr>
          <w:rFonts w:ascii="Arial" w:hAnsi="Arial" w:cs="Arial"/>
          <w:sz w:val="24"/>
          <w:szCs w:val="24"/>
        </w:rPr>
      </w:pPr>
      <w:r w:rsidRPr="00AA7FF1">
        <w:rPr>
          <w:rFonts w:ascii="Arial" w:hAnsi="Arial" w:cs="Arial"/>
          <w:sz w:val="24"/>
          <w:szCs w:val="24"/>
        </w:rPr>
        <w:br w:type="page"/>
      </w:r>
    </w:p>
    <w:p w14:paraId="4ADD659F" w14:textId="77777777" w:rsidR="005354B6" w:rsidRPr="00AA7FF1" w:rsidRDefault="005354B6" w:rsidP="005354B6">
      <w:pPr>
        <w:jc w:val="both"/>
        <w:rPr>
          <w:rFonts w:ascii="Arial" w:hAnsi="Arial" w:cs="Arial"/>
          <w:sz w:val="24"/>
          <w:szCs w:val="24"/>
        </w:rPr>
      </w:pPr>
    </w:p>
    <w:p w14:paraId="2A905F34"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t>Supplemental Figure 11.</w:t>
      </w:r>
    </w:p>
    <w:p w14:paraId="7FA10A94"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sz w:val="24"/>
          <w:szCs w:val="24"/>
        </w:rPr>
        <w:t>Radiometabolic analysis of [</w:t>
      </w:r>
      <w:r w:rsidRPr="00AA7FF1">
        <w:rPr>
          <w:rFonts w:ascii="Arial" w:hAnsi="Arial" w:cs="Arial"/>
          <w:b/>
          <w:sz w:val="24"/>
          <w:szCs w:val="24"/>
          <w:vertAlign w:val="superscript"/>
        </w:rPr>
        <w:t>18</w:t>
      </w:r>
      <w:r w:rsidRPr="00AA7FF1">
        <w:rPr>
          <w:rFonts w:ascii="Arial" w:hAnsi="Arial" w:cs="Arial"/>
          <w:b/>
          <w:sz w:val="24"/>
          <w:szCs w:val="24"/>
        </w:rPr>
        <w:t>F]JHU37107.</w:t>
      </w:r>
    </w:p>
    <w:p w14:paraId="601FD4E9" w14:textId="77777777" w:rsidR="005354B6" w:rsidRPr="00AA7FF1" w:rsidRDefault="005354B6" w:rsidP="005354B6">
      <w:pPr>
        <w:spacing w:line="480" w:lineRule="auto"/>
        <w:jc w:val="both"/>
        <w:rPr>
          <w:rFonts w:ascii="Arial" w:hAnsi="Arial" w:cs="Arial"/>
          <w:b/>
          <w:sz w:val="24"/>
          <w:szCs w:val="24"/>
        </w:rPr>
      </w:pPr>
      <w:r w:rsidRPr="00AA7FF1">
        <w:rPr>
          <w:rFonts w:ascii="Arial" w:hAnsi="Arial" w:cs="Arial"/>
          <w:b/>
          <w:noProof/>
          <w:sz w:val="24"/>
          <w:szCs w:val="24"/>
          <w:lang w:val="en-GB" w:eastAsia="en-GB"/>
        </w:rPr>
        <w:drawing>
          <wp:inline distT="0" distB="0" distL="0" distR="0" wp14:anchorId="7D8E4AA1" wp14:editId="56D1EF6F">
            <wp:extent cx="6621018" cy="4317428"/>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3966" cy="4325871"/>
                    </a:xfrm>
                    <a:prstGeom prst="rect">
                      <a:avLst/>
                    </a:prstGeom>
                    <a:noFill/>
                  </pic:spPr>
                </pic:pic>
              </a:graphicData>
            </a:graphic>
          </wp:inline>
        </w:drawing>
      </w:r>
    </w:p>
    <w:p w14:paraId="4037E64E" w14:textId="77777777" w:rsidR="005354B6" w:rsidRPr="00AA7FF1" w:rsidRDefault="005354B6" w:rsidP="005354B6">
      <w:pPr>
        <w:jc w:val="both"/>
        <w:rPr>
          <w:rFonts w:ascii="Arial" w:hAnsi="Arial" w:cs="Arial"/>
          <w:sz w:val="24"/>
          <w:szCs w:val="24"/>
        </w:rPr>
      </w:pP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a</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Radiochromatographic profile of monkey plasma, at 30 min after the IV administration of [</w:t>
      </w:r>
      <w:r w:rsidRPr="00AA7FF1">
        <w:rPr>
          <w:rFonts w:ascii="Arial" w:hAnsi="Arial" w:cs="Arial"/>
          <w:sz w:val="24"/>
          <w:szCs w:val="24"/>
          <w:vertAlign w:val="superscript"/>
        </w:rPr>
        <w:t>18</w:t>
      </w:r>
      <w:r w:rsidRPr="00AA7FF1">
        <w:rPr>
          <w:rFonts w:ascii="Arial" w:hAnsi="Arial" w:cs="Arial"/>
          <w:sz w:val="24"/>
          <w:szCs w:val="24"/>
        </w:rPr>
        <w:t>F]JHU-37107 (J07). The parent radioactivity composition of plasma, region 6, was 56%.</w:t>
      </w: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b</w:t>
      </w:r>
      <w:r w:rsidRPr="00AA7FF1">
        <w:rPr>
          <w:rFonts w:ascii="Arial" w:hAnsi="Arial" w:cs="Arial"/>
          <w:sz w:val="24"/>
          <w:szCs w:val="24"/>
        </w:rPr>
        <w:t>) Radiochromatographic profile of monkey plasma, at 180 min after the IV administration of J07. The parent radioactivity composition of plasma, region 6, was 24.2%.</w:t>
      </w:r>
      <w:r w:rsidRPr="00AA7FF1">
        <w:rPr>
          <w:rFonts w:ascii="Arial" w:hAnsi="Arial" w:cs="Arial"/>
          <w:b/>
          <w:sz w:val="24"/>
          <w:szCs w:val="24"/>
        </w:rPr>
        <w:t xml:space="preserve"> </w:t>
      </w:r>
      <w:r w:rsidRPr="00AA7FF1">
        <w:rPr>
          <w:rFonts w:ascii="Arial" w:hAnsi="Arial" w:cs="Arial"/>
          <w:sz w:val="24"/>
          <w:szCs w:val="24"/>
        </w:rPr>
        <w:t>(</w:t>
      </w:r>
      <w:r w:rsidRPr="00AA7FF1">
        <w:rPr>
          <w:rFonts w:ascii="Arial" w:hAnsi="Arial" w:cs="Arial"/>
          <w:b/>
          <w:sz w:val="24"/>
          <w:szCs w:val="24"/>
        </w:rPr>
        <w:t>c</w:t>
      </w:r>
      <w:r w:rsidRPr="00AA7FF1">
        <w:rPr>
          <w:rFonts w:ascii="Arial" w:hAnsi="Arial" w:cs="Arial"/>
          <w:sz w:val="24"/>
          <w:szCs w:val="24"/>
        </w:rPr>
        <w:t>)</w:t>
      </w:r>
      <w:r w:rsidRPr="00AA7FF1">
        <w:rPr>
          <w:rFonts w:ascii="Arial" w:hAnsi="Arial" w:cs="Arial"/>
          <w:b/>
          <w:sz w:val="24"/>
          <w:szCs w:val="24"/>
        </w:rPr>
        <w:t xml:space="preserve"> </w:t>
      </w:r>
      <w:r w:rsidRPr="00AA7FF1">
        <w:rPr>
          <w:rFonts w:ascii="Arial" w:hAnsi="Arial" w:cs="Arial"/>
          <w:sz w:val="24"/>
          <w:szCs w:val="24"/>
        </w:rPr>
        <w:t xml:space="preserve">Radiochromatographic profile of in vitro monkey whole blood (STD A), at 30 min of incubation with J07 at room temperature. The parent radioactivity composition of plasma, region 6, was 49.7%. </w:t>
      </w:r>
      <w:r w:rsidRPr="00AA7FF1">
        <w:rPr>
          <w:rFonts w:ascii="Arial" w:hAnsi="Arial" w:cs="Arial"/>
          <w:b/>
          <w:sz w:val="24"/>
          <w:szCs w:val="24"/>
        </w:rPr>
        <w:t xml:space="preserve">(d) </w:t>
      </w:r>
      <w:r w:rsidRPr="00AA7FF1">
        <w:rPr>
          <w:rFonts w:ascii="Arial" w:hAnsi="Arial" w:cs="Arial"/>
          <w:sz w:val="24"/>
          <w:szCs w:val="24"/>
        </w:rPr>
        <w:t>Full scale parametric map of the image displayed in Fig. 4M.</w:t>
      </w:r>
    </w:p>
    <w:p w14:paraId="3B8B1B3F" w14:textId="4F9F9C91" w:rsidR="005354B6" w:rsidRPr="00AA7FF1" w:rsidRDefault="005354B6" w:rsidP="005354B6">
      <w:pPr>
        <w:jc w:val="both"/>
        <w:rPr>
          <w:rFonts w:ascii="Arial" w:hAnsi="Arial" w:cs="Arial"/>
          <w:b/>
          <w:sz w:val="24"/>
          <w:szCs w:val="24"/>
        </w:rPr>
      </w:pPr>
    </w:p>
    <w:p w14:paraId="1BB39FC1" w14:textId="77777777" w:rsidR="00AA7FF1" w:rsidRPr="00AA7FF1" w:rsidRDefault="00AA7FF1" w:rsidP="00AA7FF1">
      <w:pPr>
        <w:spacing w:line="480" w:lineRule="auto"/>
        <w:jc w:val="both"/>
        <w:rPr>
          <w:rFonts w:ascii="Arial" w:hAnsi="Arial" w:cs="Arial"/>
          <w:sz w:val="24"/>
          <w:szCs w:val="24"/>
          <w:u w:val="single"/>
        </w:rPr>
      </w:pPr>
    </w:p>
    <w:p w14:paraId="0735443D" w14:textId="77777777" w:rsidR="00AA7FF1" w:rsidRPr="00AA7FF1" w:rsidRDefault="00AA7FF1" w:rsidP="00AA7FF1">
      <w:pPr>
        <w:spacing w:line="480" w:lineRule="auto"/>
        <w:jc w:val="both"/>
        <w:rPr>
          <w:rFonts w:ascii="Arial" w:hAnsi="Arial" w:cs="Arial"/>
          <w:sz w:val="24"/>
          <w:szCs w:val="24"/>
          <w:u w:val="single"/>
        </w:rPr>
      </w:pPr>
    </w:p>
    <w:p w14:paraId="3412742D" w14:textId="77777777" w:rsidR="00AA7FF1" w:rsidRPr="00AA7FF1" w:rsidRDefault="00AA7FF1" w:rsidP="00AA7FF1">
      <w:pPr>
        <w:spacing w:line="480" w:lineRule="auto"/>
        <w:jc w:val="both"/>
        <w:rPr>
          <w:rFonts w:ascii="Arial" w:hAnsi="Arial" w:cs="Arial"/>
          <w:sz w:val="24"/>
          <w:szCs w:val="24"/>
          <w:u w:val="single"/>
        </w:rPr>
      </w:pPr>
    </w:p>
    <w:p w14:paraId="3FA5B414" w14:textId="77777777" w:rsidR="00AA7FF1" w:rsidRPr="00AA7FF1" w:rsidRDefault="00AA7FF1" w:rsidP="00AA7FF1">
      <w:pPr>
        <w:spacing w:line="480" w:lineRule="auto"/>
        <w:jc w:val="both"/>
        <w:rPr>
          <w:rFonts w:ascii="Arial" w:hAnsi="Arial" w:cs="Arial"/>
          <w:sz w:val="24"/>
          <w:szCs w:val="24"/>
          <w:u w:val="single"/>
        </w:rPr>
      </w:pPr>
    </w:p>
    <w:p w14:paraId="6351249B" w14:textId="77777777" w:rsidR="00AA7FF1" w:rsidRPr="00AA7FF1" w:rsidRDefault="00AA7FF1" w:rsidP="00AA7FF1">
      <w:pPr>
        <w:spacing w:line="480" w:lineRule="auto"/>
        <w:jc w:val="both"/>
        <w:rPr>
          <w:rFonts w:ascii="Arial" w:hAnsi="Arial" w:cs="Arial"/>
          <w:sz w:val="24"/>
          <w:szCs w:val="24"/>
          <w:u w:val="single"/>
        </w:rPr>
      </w:pPr>
    </w:p>
    <w:p w14:paraId="210D52C0" w14:textId="77777777" w:rsidR="00AA7FF1" w:rsidRPr="00AA7FF1" w:rsidRDefault="00AA7FF1" w:rsidP="00AA7FF1">
      <w:pPr>
        <w:spacing w:line="480" w:lineRule="auto"/>
        <w:jc w:val="both"/>
        <w:rPr>
          <w:rFonts w:ascii="Arial" w:hAnsi="Arial" w:cs="Arial"/>
          <w:sz w:val="24"/>
          <w:szCs w:val="24"/>
          <w:u w:val="single"/>
        </w:rPr>
      </w:pPr>
    </w:p>
    <w:p w14:paraId="3D1A208D" w14:textId="175CB4EC" w:rsidR="00AA7FF1" w:rsidRPr="00AA7FF1" w:rsidRDefault="00AA7FF1" w:rsidP="00AA7FF1">
      <w:pPr>
        <w:spacing w:line="480" w:lineRule="auto"/>
        <w:jc w:val="both"/>
        <w:rPr>
          <w:rFonts w:ascii="Arial" w:hAnsi="Arial" w:cs="Arial"/>
          <w:b/>
          <w:sz w:val="24"/>
          <w:szCs w:val="24"/>
        </w:rPr>
      </w:pPr>
      <w:r w:rsidRPr="00AA7FF1">
        <w:rPr>
          <w:rFonts w:ascii="Arial" w:hAnsi="Arial" w:cs="Arial"/>
          <w:b/>
          <w:sz w:val="24"/>
          <w:szCs w:val="24"/>
        </w:rPr>
        <w:lastRenderedPageBreak/>
        <w:t>Structural characterization of the novel described compounds</w:t>
      </w:r>
    </w:p>
    <w:p w14:paraId="2E5F93A5" w14:textId="77777777" w:rsidR="00AA7FF1" w:rsidRPr="00AA7FF1" w:rsidRDefault="00AA7FF1" w:rsidP="00AA7FF1">
      <w:pPr>
        <w:jc w:val="both"/>
        <w:rPr>
          <w:rFonts w:ascii="Arial" w:hAnsi="Arial" w:cs="Arial"/>
          <w:b/>
          <w:sz w:val="24"/>
          <w:szCs w:val="24"/>
        </w:rPr>
      </w:pPr>
      <w:r w:rsidRPr="00AA7FF1">
        <w:rPr>
          <w:rFonts w:ascii="Arial" w:hAnsi="Arial" w:cs="Arial"/>
          <w:b/>
          <w:sz w:val="24"/>
          <w:szCs w:val="24"/>
        </w:rPr>
        <w:t>8-Chloro-11-(4-ethylpiperazin-1-yl)-2-fluoro-5</w:t>
      </w:r>
      <w:r w:rsidRPr="00AA7FF1">
        <w:rPr>
          <w:rFonts w:ascii="Arial" w:hAnsi="Arial" w:cs="Arial"/>
          <w:b/>
          <w:i/>
          <w:sz w:val="24"/>
          <w:szCs w:val="24"/>
        </w:rPr>
        <w:t>H</w:t>
      </w:r>
      <w:r w:rsidRPr="00AA7FF1">
        <w:rPr>
          <w:rFonts w:ascii="Arial" w:hAnsi="Arial" w:cs="Arial"/>
          <w:b/>
          <w:sz w:val="24"/>
          <w:szCs w:val="24"/>
        </w:rPr>
        <w:t>-dibenzo[</w:t>
      </w:r>
      <w:r w:rsidRPr="00AA7FF1">
        <w:rPr>
          <w:rFonts w:ascii="Arial" w:hAnsi="Arial" w:cs="Arial"/>
          <w:b/>
          <w:i/>
          <w:sz w:val="24"/>
          <w:szCs w:val="24"/>
        </w:rPr>
        <w:t>b</w:t>
      </w:r>
      <w:r w:rsidRPr="00AA7FF1">
        <w:rPr>
          <w:rFonts w:ascii="Arial" w:hAnsi="Arial" w:cs="Arial"/>
          <w:b/>
          <w:sz w:val="24"/>
          <w:szCs w:val="24"/>
        </w:rPr>
        <w:t>,</w:t>
      </w:r>
      <w:r w:rsidRPr="00AA7FF1">
        <w:rPr>
          <w:rFonts w:ascii="Arial" w:hAnsi="Arial" w:cs="Arial"/>
          <w:b/>
          <w:i/>
          <w:sz w:val="24"/>
          <w:szCs w:val="24"/>
        </w:rPr>
        <w:t>e</w:t>
      </w:r>
      <w:r w:rsidRPr="00AA7FF1">
        <w:rPr>
          <w:rFonts w:ascii="Arial" w:hAnsi="Arial" w:cs="Arial"/>
          <w:b/>
          <w:sz w:val="24"/>
          <w:szCs w:val="24"/>
        </w:rPr>
        <w:t xml:space="preserve">][1,4]diazepine </w:t>
      </w:r>
      <w:r w:rsidRPr="00AA7FF1">
        <w:rPr>
          <w:rFonts w:ascii="Arial" w:hAnsi="Arial" w:cs="Arial"/>
          <w:sz w:val="24"/>
          <w:szCs w:val="24"/>
        </w:rPr>
        <w:t>(</w:t>
      </w:r>
      <w:r w:rsidRPr="00AA7FF1">
        <w:rPr>
          <w:rFonts w:ascii="Arial" w:hAnsi="Arial" w:cs="Arial"/>
          <w:sz w:val="18"/>
          <w:szCs w:val="18"/>
        </w:rPr>
        <w:t xml:space="preserve"> </w:t>
      </w:r>
      <w:r w:rsidRPr="00AA7FF1">
        <w:rPr>
          <w:rFonts w:ascii="Arial" w:hAnsi="Arial" w:cs="Arial"/>
          <w:b/>
          <w:sz w:val="24"/>
          <w:szCs w:val="24"/>
        </w:rPr>
        <w:t xml:space="preserve">JHU37107 ) </w:t>
      </w:r>
      <w:r w:rsidRPr="00AA7FF1">
        <w:rPr>
          <w:rFonts w:ascii="Arial" w:hAnsi="Arial" w:cs="Arial"/>
          <w:sz w:val="24"/>
          <w:szCs w:val="24"/>
        </w:rPr>
        <w:t xml:space="preserve"> </w:t>
      </w:r>
    </w:p>
    <w:p w14:paraId="23AFF34A" w14:textId="77777777" w:rsidR="00AA7FF1" w:rsidRPr="00AA7FF1" w:rsidRDefault="005A0FD8" w:rsidP="00AA7FF1">
      <w:pPr>
        <w:autoSpaceDE w:val="0"/>
        <w:autoSpaceDN w:val="0"/>
        <w:adjustRightInd w:val="0"/>
        <w:jc w:val="both"/>
        <w:rPr>
          <w:rFonts w:ascii="Arial" w:hAnsi="Arial" w:cs="Arial"/>
          <w:sz w:val="24"/>
          <w:szCs w:val="24"/>
        </w:rPr>
      </w:pPr>
      <w:r>
        <w:rPr>
          <w:rFonts w:ascii="Arial" w:hAnsi="Arial" w:cs="Arial"/>
          <w:b/>
          <w:noProof/>
          <w:sz w:val="24"/>
          <w:szCs w:val="24"/>
          <w:vertAlign w:val="superscript"/>
        </w:rPr>
        <w:object w:dxaOrig="1440" w:dyaOrig="1440" w14:anchorId="70265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5pt;margin-top:3.85pt;width:123.6pt;height:101.5pt;z-index:251659264;mso-position-horizontal-relative:text;mso-position-vertical-relative:text">
            <v:imagedata r:id="rId17" o:title=""/>
            <w10:wrap type="square"/>
          </v:shape>
          <o:OLEObject Type="Embed" ProgID="ChemDraw.Document.6.0" ShapeID="_x0000_s1026" DrawAspect="Content" ObjectID="_1631531854" r:id="rId18"/>
        </w:object>
      </w:r>
      <w:r w:rsidR="00AA7FF1" w:rsidRPr="00AA7FF1">
        <w:rPr>
          <w:rFonts w:ascii="Arial" w:hAnsi="Arial" w:cs="Arial"/>
          <w:b/>
          <w:sz w:val="24"/>
          <w:szCs w:val="24"/>
          <w:vertAlign w:val="superscript"/>
        </w:rPr>
        <w:t>1</w:t>
      </w:r>
      <w:r w:rsidR="00AA7FF1" w:rsidRPr="00AA7FF1">
        <w:rPr>
          <w:rFonts w:ascii="Arial" w:hAnsi="Arial" w:cs="Arial"/>
          <w:b/>
          <w:sz w:val="24"/>
          <w:szCs w:val="24"/>
        </w:rPr>
        <w:t>H NMR</w:t>
      </w:r>
      <w:r w:rsidR="00AA7FF1" w:rsidRPr="00AA7FF1">
        <w:rPr>
          <w:rFonts w:ascii="Arial" w:hAnsi="Arial" w:cs="Arial"/>
          <w:sz w:val="24"/>
          <w:szCs w:val="24"/>
        </w:rPr>
        <w:t xml:space="preserve"> (500 MHz, CDCl</w:t>
      </w:r>
      <w:r w:rsidR="00AA7FF1" w:rsidRPr="00AA7FF1">
        <w:rPr>
          <w:rFonts w:ascii="Arial" w:hAnsi="Arial" w:cs="Arial"/>
          <w:sz w:val="24"/>
          <w:szCs w:val="24"/>
          <w:vertAlign w:val="subscript"/>
        </w:rPr>
        <w:t>3</w:t>
      </w:r>
      <w:r w:rsidR="00AA7FF1" w:rsidRPr="00AA7FF1">
        <w:rPr>
          <w:rFonts w:ascii="Arial" w:hAnsi="Arial" w:cs="Arial"/>
          <w:sz w:val="24"/>
          <w:szCs w:val="24"/>
        </w:rPr>
        <w:t xml:space="preserve">) δ 7.07 (d, </w:t>
      </w:r>
      <w:r w:rsidR="00AA7FF1" w:rsidRPr="00AA7FF1">
        <w:rPr>
          <w:rFonts w:ascii="Arial" w:hAnsi="Arial" w:cs="Arial"/>
          <w:i/>
          <w:iCs/>
          <w:sz w:val="24"/>
          <w:szCs w:val="24"/>
        </w:rPr>
        <w:t>J</w:t>
      </w:r>
      <w:r w:rsidR="00AA7FF1" w:rsidRPr="00AA7FF1">
        <w:rPr>
          <w:rFonts w:ascii="Arial" w:hAnsi="Arial" w:cs="Arial"/>
          <w:sz w:val="24"/>
          <w:szCs w:val="24"/>
        </w:rPr>
        <w:t xml:space="preserve"> = 2.3 Hz, 1H), 7.02 (td, </w:t>
      </w:r>
      <w:r w:rsidR="00AA7FF1" w:rsidRPr="00AA7FF1">
        <w:rPr>
          <w:rFonts w:ascii="Arial" w:hAnsi="Arial" w:cs="Arial"/>
          <w:i/>
          <w:iCs/>
          <w:sz w:val="24"/>
          <w:szCs w:val="24"/>
        </w:rPr>
        <w:t>J</w:t>
      </w:r>
      <w:r w:rsidR="00AA7FF1" w:rsidRPr="00AA7FF1">
        <w:rPr>
          <w:rFonts w:ascii="Arial" w:hAnsi="Arial" w:cs="Arial"/>
          <w:sz w:val="24"/>
          <w:szCs w:val="24"/>
        </w:rPr>
        <w:t xml:space="preserve"> = 8.2, 2.9 Hz, 1H), 6.98 (dd, </w:t>
      </w:r>
      <w:r w:rsidR="00AA7FF1" w:rsidRPr="00AA7FF1">
        <w:rPr>
          <w:rFonts w:ascii="Arial" w:hAnsi="Arial" w:cs="Arial"/>
          <w:i/>
          <w:iCs/>
          <w:sz w:val="24"/>
          <w:szCs w:val="24"/>
        </w:rPr>
        <w:t>J</w:t>
      </w:r>
      <w:r w:rsidR="00AA7FF1" w:rsidRPr="00AA7FF1">
        <w:rPr>
          <w:rFonts w:ascii="Arial" w:hAnsi="Arial" w:cs="Arial"/>
          <w:sz w:val="24"/>
          <w:szCs w:val="24"/>
        </w:rPr>
        <w:t xml:space="preserve"> = 8.7, 2.9 Hz, 1H), 6.84 (dd, </w:t>
      </w:r>
      <w:r w:rsidR="00AA7FF1" w:rsidRPr="00AA7FF1">
        <w:rPr>
          <w:rFonts w:ascii="Arial" w:hAnsi="Arial" w:cs="Arial"/>
          <w:i/>
          <w:iCs/>
          <w:sz w:val="24"/>
          <w:szCs w:val="24"/>
        </w:rPr>
        <w:t>J</w:t>
      </w:r>
      <w:r w:rsidR="00AA7FF1" w:rsidRPr="00AA7FF1">
        <w:rPr>
          <w:rFonts w:ascii="Arial" w:hAnsi="Arial" w:cs="Arial"/>
          <w:sz w:val="24"/>
          <w:szCs w:val="24"/>
        </w:rPr>
        <w:t xml:space="preserve"> = 8.3, 2.4 Hz, 1H), 6.78 (dd, </w:t>
      </w:r>
      <w:r w:rsidR="00AA7FF1" w:rsidRPr="00AA7FF1">
        <w:rPr>
          <w:rFonts w:ascii="Arial" w:hAnsi="Arial" w:cs="Arial"/>
          <w:i/>
          <w:iCs/>
          <w:sz w:val="24"/>
          <w:szCs w:val="24"/>
        </w:rPr>
        <w:t>J</w:t>
      </w:r>
      <w:r w:rsidR="00AA7FF1" w:rsidRPr="00AA7FF1">
        <w:rPr>
          <w:rFonts w:ascii="Arial" w:hAnsi="Arial" w:cs="Arial"/>
          <w:sz w:val="24"/>
          <w:szCs w:val="24"/>
        </w:rPr>
        <w:t xml:space="preserve"> = 8.6, 4.6 Hz, 1H), 6.62 (d, </w:t>
      </w:r>
      <w:r w:rsidR="00AA7FF1" w:rsidRPr="00AA7FF1">
        <w:rPr>
          <w:rFonts w:ascii="Arial" w:hAnsi="Arial" w:cs="Arial"/>
          <w:i/>
          <w:iCs/>
          <w:sz w:val="24"/>
          <w:szCs w:val="24"/>
        </w:rPr>
        <w:t>J</w:t>
      </w:r>
      <w:r w:rsidR="00AA7FF1" w:rsidRPr="00AA7FF1">
        <w:rPr>
          <w:rFonts w:ascii="Arial" w:hAnsi="Arial" w:cs="Arial"/>
          <w:sz w:val="24"/>
          <w:szCs w:val="24"/>
        </w:rPr>
        <w:t xml:space="preserve"> = 8.3 Hz, 1H), 4.82 (s, 1H), 3.49 (bs, 4H), 2.55 (bs, 4H), 2.49 (dd, </w:t>
      </w:r>
      <w:r w:rsidR="00AA7FF1" w:rsidRPr="00AA7FF1">
        <w:rPr>
          <w:rFonts w:ascii="Arial" w:hAnsi="Arial" w:cs="Arial"/>
          <w:i/>
          <w:iCs/>
          <w:sz w:val="24"/>
          <w:szCs w:val="24"/>
        </w:rPr>
        <w:t>J</w:t>
      </w:r>
      <w:r w:rsidR="00AA7FF1" w:rsidRPr="00AA7FF1">
        <w:rPr>
          <w:rFonts w:ascii="Arial" w:hAnsi="Arial" w:cs="Arial"/>
          <w:sz w:val="24"/>
          <w:szCs w:val="24"/>
        </w:rPr>
        <w:t xml:space="preserve"> = 14.4, 7.3 Hz, 2H), 1.13 (t, </w:t>
      </w:r>
      <w:r w:rsidR="00AA7FF1" w:rsidRPr="00AA7FF1">
        <w:rPr>
          <w:rFonts w:ascii="Arial" w:hAnsi="Arial" w:cs="Arial"/>
          <w:i/>
          <w:iCs/>
          <w:sz w:val="24"/>
          <w:szCs w:val="24"/>
        </w:rPr>
        <w:t>J</w:t>
      </w:r>
      <w:r w:rsidR="00AA7FF1" w:rsidRPr="00AA7FF1">
        <w:rPr>
          <w:rFonts w:ascii="Arial" w:hAnsi="Arial" w:cs="Arial"/>
          <w:sz w:val="24"/>
          <w:szCs w:val="24"/>
        </w:rPr>
        <w:t xml:space="preserve"> = 7.2 Hz, 3H). </w:t>
      </w:r>
    </w:p>
    <w:p w14:paraId="30152943"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sz w:val="24"/>
          <w:szCs w:val="24"/>
          <w:vertAlign w:val="superscript"/>
        </w:rPr>
        <w:t>13</w:t>
      </w:r>
      <w:r w:rsidRPr="00AA7FF1">
        <w:rPr>
          <w:rFonts w:ascii="Arial" w:hAnsi="Arial" w:cs="Arial"/>
          <w:b/>
          <w:sz w:val="24"/>
          <w:szCs w:val="24"/>
        </w:rPr>
        <w:t>C NMR</w:t>
      </w:r>
      <w:r w:rsidRPr="00AA7FF1">
        <w:rPr>
          <w:rFonts w:ascii="Arial" w:hAnsi="Arial" w:cs="Arial"/>
          <w:sz w:val="24"/>
          <w:szCs w:val="24"/>
        </w:rPr>
        <w:t xml:space="preserve"> (125 MHz, CDCl</w:t>
      </w:r>
      <w:r w:rsidRPr="00AA7FF1">
        <w:rPr>
          <w:rFonts w:ascii="Arial" w:hAnsi="Arial" w:cs="Arial"/>
          <w:sz w:val="24"/>
          <w:szCs w:val="24"/>
          <w:vertAlign w:val="subscript"/>
        </w:rPr>
        <w:t>3</w:t>
      </w:r>
      <w:r w:rsidRPr="00AA7FF1">
        <w:rPr>
          <w:rFonts w:ascii="Arial" w:hAnsi="Arial" w:cs="Arial"/>
          <w:sz w:val="24"/>
          <w:szCs w:val="24"/>
        </w:rPr>
        <w:t xml:space="preserve">) δ 171.3, 161.5, 159.8, 157.8, 148.6 (d, </w:t>
      </w:r>
      <w:r w:rsidRPr="00AA7FF1">
        <w:rPr>
          <w:rFonts w:ascii="Arial" w:hAnsi="Arial" w:cs="Arial"/>
          <w:i/>
          <w:iCs/>
          <w:sz w:val="24"/>
          <w:szCs w:val="24"/>
        </w:rPr>
        <w:t>J</w:t>
      </w:r>
      <w:r w:rsidRPr="00AA7FF1">
        <w:rPr>
          <w:rFonts w:ascii="Arial" w:hAnsi="Arial" w:cs="Arial"/>
          <w:sz w:val="24"/>
          <w:szCs w:val="24"/>
        </w:rPr>
        <w:t xml:space="preserve"> = 2.2 Hz), 141.7, 140.5, 129.4, 127.0, 125.0 (d, </w:t>
      </w:r>
      <w:r w:rsidRPr="00AA7FF1">
        <w:rPr>
          <w:rFonts w:ascii="Arial" w:hAnsi="Arial" w:cs="Arial"/>
          <w:i/>
          <w:iCs/>
          <w:sz w:val="24"/>
          <w:szCs w:val="24"/>
        </w:rPr>
        <w:t>J</w:t>
      </w:r>
      <w:r w:rsidRPr="00AA7FF1">
        <w:rPr>
          <w:rFonts w:ascii="Arial" w:hAnsi="Arial" w:cs="Arial"/>
          <w:sz w:val="24"/>
          <w:szCs w:val="24"/>
        </w:rPr>
        <w:t xml:space="preserve"> = 6.6 Hz), 123.5, 121.5 (d, </w:t>
      </w:r>
      <w:r w:rsidRPr="00AA7FF1">
        <w:rPr>
          <w:rFonts w:ascii="Arial" w:hAnsi="Arial" w:cs="Arial"/>
          <w:i/>
          <w:iCs/>
          <w:sz w:val="24"/>
          <w:szCs w:val="24"/>
        </w:rPr>
        <w:t>J</w:t>
      </w:r>
      <w:r w:rsidRPr="00AA7FF1">
        <w:rPr>
          <w:rFonts w:ascii="Arial" w:hAnsi="Arial" w:cs="Arial"/>
          <w:sz w:val="24"/>
          <w:szCs w:val="24"/>
        </w:rPr>
        <w:t xml:space="preserve"> = 7.9 Hz), 120.2, 118.9 (d, </w:t>
      </w:r>
      <w:r w:rsidRPr="00AA7FF1">
        <w:rPr>
          <w:rFonts w:ascii="Arial" w:hAnsi="Arial" w:cs="Arial"/>
          <w:i/>
          <w:iCs/>
          <w:sz w:val="24"/>
          <w:szCs w:val="24"/>
        </w:rPr>
        <w:t>J</w:t>
      </w:r>
      <w:r w:rsidRPr="00AA7FF1">
        <w:rPr>
          <w:rFonts w:ascii="Arial" w:hAnsi="Arial" w:cs="Arial"/>
          <w:sz w:val="24"/>
          <w:szCs w:val="24"/>
        </w:rPr>
        <w:t xml:space="preserve"> = 22.8 Hz), 116.6 (d, </w:t>
      </w:r>
      <w:r w:rsidRPr="00AA7FF1">
        <w:rPr>
          <w:rFonts w:ascii="Arial" w:hAnsi="Arial" w:cs="Arial"/>
          <w:i/>
          <w:iCs/>
          <w:sz w:val="24"/>
          <w:szCs w:val="24"/>
        </w:rPr>
        <w:t>J</w:t>
      </w:r>
      <w:r w:rsidRPr="00AA7FF1">
        <w:rPr>
          <w:rFonts w:ascii="Arial" w:hAnsi="Arial" w:cs="Arial"/>
          <w:sz w:val="24"/>
          <w:szCs w:val="24"/>
        </w:rPr>
        <w:t xml:space="preserve"> = 23.5 Hz), 52.8, 52.5, 47.5, 12.1. </w:t>
      </w:r>
    </w:p>
    <w:p w14:paraId="36DCBED7"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bCs/>
          <w:sz w:val="24"/>
          <w:szCs w:val="24"/>
        </w:rPr>
        <w:t xml:space="preserve">HRMS </w:t>
      </w:r>
      <w:r w:rsidRPr="00AA7FF1">
        <w:rPr>
          <w:rFonts w:ascii="Arial" w:hAnsi="Arial" w:cs="Arial"/>
          <w:sz w:val="24"/>
          <w:szCs w:val="24"/>
        </w:rPr>
        <w:t>(ESI+) calculated for C</w:t>
      </w:r>
      <w:r w:rsidRPr="00AA7FF1">
        <w:rPr>
          <w:rFonts w:ascii="Arial" w:hAnsi="Arial" w:cs="Arial"/>
          <w:sz w:val="24"/>
          <w:szCs w:val="24"/>
          <w:vertAlign w:val="subscript"/>
        </w:rPr>
        <w:t>19</w:t>
      </w:r>
      <w:r w:rsidRPr="00AA7FF1">
        <w:rPr>
          <w:rFonts w:ascii="Arial" w:hAnsi="Arial" w:cs="Arial"/>
          <w:sz w:val="24"/>
          <w:szCs w:val="24"/>
        </w:rPr>
        <w:t>H</w:t>
      </w:r>
      <w:r w:rsidRPr="00AA7FF1">
        <w:rPr>
          <w:rFonts w:ascii="Arial" w:hAnsi="Arial" w:cs="Arial"/>
          <w:sz w:val="24"/>
          <w:szCs w:val="24"/>
          <w:vertAlign w:val="subscript"/>
        </w:rPr>
        <w:t>21</w:t>
      </w:r>
      <w:r w:rsidRPr="00AA7FF1">
        <w:rPr>
          <w:rFonts w:ascii="Arial" w:hAnsi="Arial" w:cs="Arial"/>
          <w:sz w:val="24"/>
          <w:szCs w:val="24"/>
        </w:rPr>
        <w:t>ClFN</w:t>
      </w:r>
      <w:r w:rsidRPr="00AA7FF1">
        <w:rPr>
          <w:rFonts w:ascii="Arial" w:hAnsi="Arial" w:cs="Arial"/>
          <w:sz w:val="24"/>
          <w:szCs w:val="24"/>
          <w:vertAlign w:val="subscript"/>
        </w:rPr>
        <w:t>4</w:t>
      </w:r>
      <w:r w:rsidRPr="00AA7FF1">
        <w:rPr>
          <w:rFonts w:ascii="Arial" w:hAnsi="Arial" w:cs="Arial"/>
          <w:sz w:val="24"/>
          <w:szCs w:val="24"/>
        </w:rPr>
        <w:t xml:space="preserve"> (M+H)</w:t>
      </w:r>
      <w:r w:rsidRPr="00AA7FF1">
        <w:rPr>
          <w:rFonts w:ascii="Arial" w:hAnsi="Arial" w:cs="Arial"/>
          <w:sz w:val="24"/>
          <w:szCs w:val="24"/>
          <w:vertAlign w:val="superscript"/>
        </w:rPr>
        <w:t>+</w:t>
      </w:r>
      <w:r w:rsidRPr="00AA7FF1">
        <w:rPr>
          <w:rFonts w:ascii="Arial" w:hAnsi="Arial" w:cs="Arial"/>
          <w:sz w:val="24"/>
          <w:szCs w:val="24"/>
        </w:rPr>
        <w:t>: 359.1439; found: 359.1435.</w:t>
      </w:r>
    </w:p>
    <w:p w14:paraId="4D920D3B"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color w:val="222222"/>
          <w:spacing w:val="3"/>
          <w:sz w:val="26"/>
          <w:szCs w:val="26"/>
        </w:rPr>
        <w:t>HPLC</w:t>
      </w:r>
      <w:r w:rsidRPr="00AA7FF1">
        <w:rPr>
          <w:rFonts w:ascii="Arial" w:hAnsi="Arial" w:cs="Arial"/>
          <w:color w:val="222222"/>
          <w:spacing w:val="3"/>
          <w:sz w:val="26"/>
          <w:szCs w:val="26"/>
        </w:rPr>
        <w:t>, Luna C18 (Phenomenex), 10 micron, 4.6*250 mm, flow rate 3 ml min</w:t>
      </w:r>
      <w:r w:rsidRPr="00AA7FF1">
        <w:rPr>
          <w:rFonts w:ascii="Arial" w:hAnsi="Arial" w:cs="Arial"/>
          <w:sz w:val="24"/>
          <w:szCs w:val="24"/>
          <w:vertAlign w:val="superscript"/>
        </w:rPr>
        <w:t>-1</w:t>
      </w:r>
      <w:r w:rsidRPr="00AA7FF1">
        <w:rPr>
          <w:rFonts w:ascii="Arial" w:hAnsi="Arial" w:cs="Arial"/>
          <w:color w:val="222222"/>
          <w:spacing w:val="3"/>
          <w:sz w:val="26"/>
          <w:szCs w:val="26"/>
        </w:rPr>
        <w:t>, UV 254 nm, mobile phase CH</w:t>
      </w:r>
      <w:r w:rsidRPr="00AA7FF1">
        <w:rPr>
          <w:rFonts w:ascii="Arial" w:hAnsi="Arial" w:cs="Arial"/>
          <w:color w:val="222222"/>
          <w:spacing w:val="3"/>
          <w:sz w:val="26"/>
          <w:szCs w:val="26"/>
          <w:vertAlign w:val="subscript"/>
        </w:rPr>
        <w:t>3</w:t>
      </w:r>
      <w:r w:rsidRPr="00AA7FF1">
        <w:rPr>
          <w:rFonts w:ascii="Arial" w:hAnsi="Arial" w:cs="Arial"/>
          <w:color w:val="222222"/>
          <w:spacing w:val="3"/>
          <w:sz w:val="26"/>
          <w:szCs w:val="26"/>
        </w:rPr>
        <w:t>CN:water:trifloroacetic acid (230:770:1), RT = 12.5 min</w:t>
      </w:r>
    </w:p>
    <w:p w14:paraId="77126314" w14:textId="77777777" w:rsidR="00AA7FF1" w:rsidRPr="00AA7FF1" w:rsidRDefault="00AA7FF1" w:rsidP="00AA7FF1">
      <w:pPr>
        <w:autoSpaceDE w:val="0"/>
        <w:autoSpaceDN w:val="0"/>
        <w:adjustRightInd w:val="0"/>
        <w:jc w:val="both"/>
        <w:rPr>
          <w:rFonts w:ascii="Arial" w:hAnsi="Arial" w:cs="Arial"/>
          <w:sz w:val="24"/>
          <w:szCs w:val="24"/>
        </w:rPr>
      </w:pPr>
    </w:p>
    <w:p w14:paraId="176FDD85" w14:textId="77777777" w:rsidR="00AA7FF1" w:rsidRPr="00AA7FF1" w:rsidRDefault="00AA7FF1" w:rsidP="00AA7FF1">
      <w:pPr>
        <w:autoSpaceDE w:val="0"/>
        <w:autoSpaceDN w:val="0"/>
        <w:adjustRightInd w:val="0"/>
        <w:jc w:val="both"/>
        <w:rPr>
          <w:rFonts w:ascii="Arial" w:hAnsi="Arial" w:cs="Arial"/>
          <w:b/>
          <w:sz w:val="24"/>
          <w:szCs w:val="24"/>
        </w:rPr>
      </w:pPr>
    </w:p>
    <w:p w14:paraId="3991F67B"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sz w:val="24"/>
          <w:szCs w:val="24"/>
        </w:rPr>
        <w:t>8-Chloro-11-(4-ethylpiperazin-1-yl)-4-fluoro-5</w:t>
      </w:r>
      <w:r w:rsidRPr="00AA7FF1">
        <w:rPr>
          <w:rFonts w:ascii="Arial" w:hAnsi="Arial" w:cs="Arial"/>
          <w:b/>
          <w:i/>
          <w:sz w:val="24"/>
          <w:szCs w:val="24"/>
        </w:rPr>
        <w:t>H</w:t>
      </w:r>
      <w:r w:rsidRPr="00AA7FF1">
        <w:rPr>
          <w:rFonts w:ascii="Arial" w:hAnsi="Arial" w:cs="Arial"/>
          <w:b/>
          <w:sz w:val="24"/>
          <w:szCs w:val="24"/>
        </w:rPr>
        <w:t>-dibenzo[</w:t>
      </w:r>
      <w:r w:rsidRPr="00AA7FF1">
        <w:rPr>
          <w:rFonts w:ascii="Arial" w:hAnsi="Arial" w:cs="Arial"/>
          <w:b/>
          <w:i/>
          <w:sz w:val="24"/>
          <w:szCs w:val="24"/>
        </w:rPr>
        <w:t>b</w:t>
      </w:r>
      <w:r w:rsidRPr="00AA7FF1">
        <w:rPr>
          <w:rFonts w:ascii="Arial" w:hAnsi="Arial" w:cs="Arial"/>
          <w:b/>
          <w:sz w:val="24"/>
          <w:szCs w:val="24"/>
        </w:rPr>
        <w:t>,</w:t>
      </w:r>
      <w:r w:rsidRPr="00AA7FF1">
        <w:rPr>
          <w:rFonts w:ascii="Arial" w:hAnsi="Arial" w:cs="Arial"/>
          <w:b/>
          <w:i/>
          <w:sz w:val="24"/>
          <w:szCs w:val="24"/>
        </w:rPr>
        <w:t>e</w:t>
      </w:r>
      <w:r w:rsidRPr="00AA7FF1">
        <w:rPr>
          <w:rFonts w:ascii="Arial" w:hAnsi="Arial" w:cs="Arial"/>
          <w:b/>
          <w:sz w:val="24"/>
          <w:szCs w:val="24"/>
        </w:rPr>
        <w:t xml:space="preserve">][1,4]diazepine </w:t>
      </w:r>
      <w:r w:rsidRPr="00AA7FF1">
        <w:rPr>
          <w:rFonts w:ascii="Arial" w:hAnsi="Arial" w:cs="Arial"/>
          <w:sz w:val="24"/>
          <w:szCs w:val="24"/>
        </w:rPr>
        <w:t>(</w:t>
      </w:r>
      <w:r w:rsidRPr="00AA7FF1">
        <w:rPr>
          <w:rFonts w:ascii="Arial" w:hAnsi="Arial" w:cs="Arial"/>
          <w:b/>
          <w:sz w:val="24"/>
          <w:szCs w:val="24"/>
        </w:rPr>
        <w:t>JHU37160</w:t>
      </w:r>
      <w:r w:rsidRPr="00AA7FF1">
        <w:rPr>
          <w:rFonts w:ascii="Arial" w:hAnsi="Arial" w:cs="Arial"/>
          <w:sz w:val="24"/>
          <w:szCs w:val="24"/>
        </w:rPr>
        <w:t>)</w:t>
      </w:r>
    </w:p>
    <w:p w14:paraId="2FA9AB3F" w14:textId="77777777" w:rsidR="00AA7FF1" w:rsidRPr="00AA7FF1" w:rsidRDefault="005A0FD8" w:rsidP="00AA7FF1">
      <w:pPr>
        <w:autoSpaceDE w:val="0"/>
        <w:autoSpaceDN w:val="0"/>
        <w:adjustRightInd w:val="0"/>
        <w:rPr>
          <w:rFonts w:ascii="Arial" w:hAnsi="Arial" w:cs="Arial"/>
          <w:sz w:val="24"/>
          <w:szCs w:val="24"/>
        </w:rPr>
      </w:pPr>
      <w:r>
        <w:rPr>
          <w:rFonts w:ascii="Arial" w:hAnsi="Arial" w:cs="Arial"/>
          <w:b/>
          <w:noProof/>
          <w:sz w:val="22"/>
          <w:szCs w:val="22"/>
        </w:rPr>
        <w:object w:dxaOrig="1440" w:dyaOrig="1440" w14:anchorId="09643285">
          <v:shape id="_x0000_s1027" type="#_x0000_t75" style="position:absolute;margin-left:0;margin-top:0;width:93.3pt;height:95.3pt;z-index:251660288;mso-position-horizontal:absolute;mso-position-horizontal-relative:text;mso-position-vertical:absolute;mso-position-vertical-relative:text">
            <v:imagedata r:id="rId19" o:title=""/>
            <w10:wrap type="square"/>
          </v:shape>
          <o:OLEObject Type="Embed" ProgID="ChemDraw.Document.6.0" ShapeID="_x0000_s1027" DrawAspect="Content" ObjectID="_1631531855" r:id="rId20"/>
        </w:object>
      </w:r>
      <w:r w:rsidR="00AA7FF1" w:rsidRPr="00AA7FF1">
        <w:rPr>
          <w:rFonts w:ascii="Arial" w:hAnsi="Arial" w:cs="Arial"/>
          <w:b/>
          <w:sz w:val="24"/>
          <w:szCs w:val="24"/>
          <w:vertAlign w:val="superscript"/>
        </w:rPr>
        <w:t>1</w:t>
      </w:r>
      <w:r w:rsidR="00AA7FF1" w:rsidRPr="00AA7FF1">
        <w:rPr>
          <w:rFonts w:ascii="Arial" w:hAnsi="Arial" w:cs="Arial"/>
          <w:b/>
          <w:sz w:val="24"/>
          <w:szCs w:val="24"/>
        </w:rPr>
        <w:t>H NMR</w:t>
      </w:r>
      <w:r w:rsidR="00AA7FF1" w:rsidRPr="00AA7FF1">
        <w:rPr>
          <w:rFonts w:ascii="Arial" w:hAnsi="Arial" w:cs="Arial"/>
          <w:sz w:val="24"/>
          <w:szCs w:val="24"/>
        </w:rPr>
        <w:t xml:space="preserve"> (500 MHz, CDCl</w:t>
      </w:r>
      <w:r w:rsidR="00AA7FF1" w:rsidRPr="00AA7FF1">
        <w:rPr>
          <w:rFonts w:ascii="Arial" w:hAnsi="Arial" w:cs="Arial"/>
          <w:sz w:val="24"/>
          <w:szCs w:val="24"/>
          <w:vertAlign w:val="subscript"/>
        </w:rPr>
        <w:t>3</w:t>
      </w:r>
      <w:r w:rsidR="00AA7FF1" w:rsidRPr="00AA7FF1">
        <w:rPr>
          <w:rFonts w:ascii="Arial" w:hAnsi="Arial" w:cs="Arial"/>
          <w:sz w:val="24"/>
          <w:szCs w:val="24"/>
        </w:rPr>
        <w:t xml:space="preserve">) δ 7.15 – 7.09 (m, 1H), 7.07 (d, </w:t>
      </w:r>
      <w:r w:rsidR="00AA7FF1" w:rsidRPr="00AA7FF1">
        <w:rPr>
          <w:rFonts w:ascii="Arial" w:hAnsi="Arial" w:cs="Arial"/>
          <w:i/>
          <w:iCs/>
          <w:sz w:val="24"/>
          <w:szCs w:val="24"/>
        </w:rPr>
        <w:t>J</w:t>
      </w:r>
      <w:r w:rsidR="00AA7FF1" w:rsidRPr="00AA7FF1">
        <w:rPr>
          <w:rFonts w:ascii="Arial" w:hAnsi="Arial" w:cs="Arial"/>
          <w:sz w:val="24"/>
          <w:szCs w:val="24"/>
        </w:rPr>
        <w:t xml:space="preserve"> = 2.3 Hz, 1H),</w:t>
      </w:r>
      <w:r w:rsidR="00AA7FF1" w:rsidRPr="00AA7FF1">
        <w:rPr>
          <w:rFonts w:ascii="Arial" w:hAnsi="Arial" w:cs="Arial"/>
        </w:rPr>
        <w:t xml:space="preserve"> </w:t>
      </w:r>
      <w:r w:rsidR="00AA7FF1" w:rsidRPr="00AA7FF1">
        <w:rPr>
          <w:rFonts w:ascii="Arial" w:hAnsi="Arial" w:cs="Arial"/>
          <w:sz w:val="24"/>
          <w:szCs w:val="24"/>
        </w:rPr>
        <w:t xml:space="preserve">7.05 (d, </w:t>
      </w:r>
      <w:r w:rsidR="00AA7FF1" w:rsidRPr="00AA7FF1">
        <w:rPr>
          <w:rFonts w:ascii="Arial" w:hAnsi="Arial" w:cs="Arial"/>
          <w:i/>
          <w:iCs/>
          <w:sz w:val="24"/>
          <w:szCs w:val="24"/>
        </w:rPr>
        <w:t>J</w:t>
      </w:r>
      <w:r w:rsidR="00AA7FF1" w:rsidRPr="00AA7FF1">
        <w:rPr>
          <w:rFonts w:ascii="Arial" w:hAnsi="Arial" w:cs="Arial"/>
          <w:sz w:val="24"/>
          <w:szCs w:val="24"/>
        </w:rPr>
        <w:t xml:space="preserve"> = 7.8 Hz, 1H), 6.95 (td, </w:t>
      </w:r>
      <w:r w:rsidR="00AA7FF1" w:rsidRPr="00AA7FF1">
        <w:rPr>
          <w:rFonts w:ascii="Arial" w:hAnsi="Arial" w:cs="Arial"/>
          <w:i/>
          <w:iCs/>
          <w:sz w:val="24"/>
          <w:szCs w:val="24"/>
        </w:rPr>
        <w:t>J</w:t>
      </w:r>
      <w:r w:rsidR="00AA7FF1" w:rsidRPr="00AA7FF1">
        <w:rPr>
          <w:rFonts w:ascii="Arial" w:hAnsi="Arial" w:cs="Arial"/>
          <w:sz w:val="24"/>
          <w:szCs w:val="24"/>
        </w:rPr>
        <w:t xml:space="preserve"> = 8.0, 5.1 Hz, 1H), 6.85 (dd, </w:t>
      </w:r>
      <w:r w:rsidR="00AA7FF1" w:rsidRPr="00AA7FF1">
        <w:rPr>
          <w:rFonts w:ascii="Arial" w:hAnsi="Arial" w:cs="Arial"/>
          <w:i/>
          <w:iCs/>
          <w:sz w:val="24"/>
          <w:szCs w:val="24"/>
        </w:rPr>
        <w:t>J</w:t>
      </w:r>
      <w:r w:rsidR="00AA7FF1" w:rsidRPr="00AA7FF1">
        <w:rPr>
          <w:rFonts w:ascii="Arial" w:hAnsi="Arial" w:cs="Arial"/>
          <w:sz w:val="24"/>
          <w:szCs w:val="24"/>
        </w:rPr>
        <w:t xml:space="preserve"> = 8.3, 2.4 Hz, 1H), 6.68 (d, </w:t>
      </w:r>
      <w:r w:rsidR="00AA7FF1" w:rsidRPr="00AA7FF1">
        <w:rPr>
          <w:rFonts w:ascii="Arial" w:hAnsi="Arial" w:cs="Arial"/>
          <w:i/>
          <w:iCs/>
          <w:sz w:val="24"/>
          <w:szCs w:val="24"/>
        </w:rPr>
        <w:t>J</w:t>
      </w:r>
      <w:r w:rsidR="00AA7FF1" w:rsidRPr="00AA7FF1">
        <w:rPr>
          <w:rFonts w:ascii="Arial" w:hAnsi="Arial" w:cs="Arial"/>
          <w:sz w:val="24"/>
          <w:szCs w:val="24"/>
        </w:rPr>
        <w:t xml:space="preserve"> = 8.3 Hz, 1H), 5.34 (d, </w:t>
      </w:r>
      <w:r w:rsidR="00AA7FF1" w:rsidRPr="00AA7FF1">
        <w:rPr>
          <w:rFonts w:ascii="Arial" w:hAnsi="Arial" w:cs="Arial"/>
          <w:i/>
          <w:iCs/>
          <w:sz w:val="24"/>
          <w:szCs w:val="24"/>
        </w:rPr>
        <w:t>J</w:t>
      </w:r>
      <w:r w:rsidR="00AA7FF1" w:rsidRPr="00AA7FF1">
        <w:rPr>
          <w:rFonts w:ascii="Arial" w:hAnsi="Arial" w:cs="Arial"/>
          <w:sz w:val="24"/>
          <w:szCs w:val="24"/>
        </w:rPr>
        <w:t xml:space="preserve"> = 3.8 Hz, 1H), 3.49 (bs, 4H), 2.55 (bs, 4H), 2.49 (q, </w:t>
      </w:r>
      <w:r w:rsidR="00AA7FF1" w:rsidRPr="00AA7FF1">
        <w:rPr>
          <w:rFonts w:ascii="Arial" w:hAnsi="Arial" w:cs="Arial"/>
          <w:i/>
          <w:iCs/>
          <w:sz w:val="24"/>
          <w:szCs w:val="24"/>
        </w:rPr>
        <w:t>J</w:t>
      </w:r>
      <w:r w:rsidR="00AA7FF1" w:rsidRPr="00AA7FF1">
        <w:rPr>
          <w:rFonts w:ascii="Arial" w:hAnsi="Arial" w:cs="Arial"/>
          <w:sz w:val="24"/>
          <w:szCs w:val="24"/>
        </w:rPr>
        <w:t xml:space="preserve"> = 7.2 Hz, 2H), 1.13 (t, </w:t>
      </w:r>
      <w:r w:rsidR="00AA7FF1" w:rsidRPr="00AA7FF1">
        <w:rPr>
          <w:rFonts w:ascii="Arial" w:hAnsi="Arial" w:cs="Arial"/>
          <w:i/>
          <w:iCs/>
          <w:sz w:val="24"/>
          <w:szCs w:val="24"/>
        </w:rPr>
        <w:t>J</w:t>
      </w:r>
      <w:r w:rsidR="00AA7FF1" w:rsidRPr="00AA7FF1">
        <w:rPr>
          <w:rFonts w:ascii="Arial" w:hAnsi="Arial" w:cs="Arial"/>
          <w:sz w:val="24"/>
          <w:szCs w:val="24"/>
        </w:rPr>
        <w:t xml:space="preserve"> = 7.2 Hz, 3H). </w:t>
      </w:r>
      <w:r w:rsidR="00AA7FF1" w:rsidRPr="00AA7FF1">
        <w:rPr>
          <w:rFonts w:ascii="Arial" w:hAnsi="Arial" w:cs="Arial"/>
          <w:b/>
          <w:sz w:val="24"/>
          <w:szCs w:val="24"/>
          <w:vertAlign w:val="superscript"/>
        </w:rPr>
        <w:t>13</w:t>
      </w:r>
      <w:r w:rsidR="00AA7FF1" w:rsidRPr="00AA7FF1">
        <w:rPr>
          <w:rFonts w:ascii="Arial" w:hAnsi="Arial" w:cs="Arial"/>
          <w:b/>
          <w:sz w:val="24"/>
          <w:szCs w:val="24"/>
        </w:rPr>
        <w:t>C NMR</w:t>
      </w:r>
      <w:r w:rsidR="00AA7FF1" w:rsidRPr="00AA7FF1">
        <w:rPr>
          <w:rFonts w:ascii="Arial" w:hAnsi="Arial" w:cs="Arial"/>
          <w:sz w:val="24"/>
          <w:szCs w:val="24"/>
        </w:rPr>
        <w:t xml:space="preserve"> (125 MHz, CDCl</w:t>
      </w:r>
      <w:r w:rsidR="00AA7FF1" w:rsidRPr="00AA7FF1">
        <w:rPr>
          <w:rFonts w:ascii="Arial" w:hAnsi="Arial" w:cs="Arial"/>
          <w:sz w:val="24"/>
          <w:szCs w:val="24"/>
          <w:vertAlign w:val="subscript"/>
        </w:rPr>
        <w:t>3</w:t>
      </w:r>
      <w:r w:rsidR="00AA7FF1" w:rsidRPr="00AA7FF1">
        <w:rPr>
          <w:rFonts w:ascii="Arial" w:hAnsi="Arial" w:cs="Arial"/>
          <w:sz w:val="24"/>
          <w:szCs w:val="24"/>
        </w:rPr>
        <w:t xml:space="preserve">) δ 161.7, 154.5, 152.6, 141.8, 140.5 (d, </w:t>
      </w:r>
      <w:r w:rsidR="00AA7FF1" w:rsidRPr="00AA7FF1">
        <w:rPr>
          <w:rFonts w:ascii="Arial" w:hAnsi="Arial" w:cs="Arial"/>
          <w:i/>
          <w:iCs/>
          <w:sz w:val="24"/>
          <w:szCs w:val="24"/>
        </w:rPr>
        <w:t>J</w:t>
      </w:r>
      <w:r w:rsidR="00AA7FF1" w:rsidRPr="00AA7FF1">
        <w:rPr>
          <w:rFonts w:ascii="Arial" w:hAnsi="Arial" w:cs="Arial"/>
          <w:sz w:val="24"/>
          <w:szCs w:val="24"/>
        </w:rPr>
        <w:t xml:space="preserve"> = 15.2 Hz), 140.0, 129.5, 127.1, 126.0, 125.59 (d, </w:t>
      </w:r>
      <w:r w:rsidR="00AA7FF1" w:rsidRPr="00AA7FF1">
        <w:rPr>
          <w:rFonts w:ascii="Arial" w:hAnsi="Arial" w:cs="Arial"/>
          <w:i/>
          <w:sz w:val="24"/>
          <w:szCs w:val="24"/>
        </w:rPr>
        <w:t>J</w:t>
      </w:r>
      <w:r w:rsidR="00AA7FF1" w:rsidRPr="00AA7FF1">
        <w:rPr>
          <w:rFonts w:ascii="Arial" w:hAnsi="Arial" w:cs="Arial"/>
          <w:sz w:val="24"/>
          <w:szCs w:val="24"/>
        </w:rPr>
        <w:t xml:space="preserve"> = 3.7 Hz), 123.4, 123.1 (d, </w:t>
      </w:r>
      <w:r w:rsidR="00AA7FF1" w:rsidRPr="00AA7FF1">
        <w:rPr>
          <w:rFonts w:ascii="Arial" w:hAnsi="Arial" w:cs="Arial"/>
          <w:i/>
          <w:iCs/>
          <w:sz w:val="24"/>
          <w:szCs w:val="24"/>
        </w:rPr>
        <w:t>J</w:t>
      </w:r>
      <w:r w:rsidR="00AA7FF1" w:rsidRPr="00AA7FF1">
        <w:rPr>
          <w:rFonts w:ascii="Arial" w:hAnsi="Arial" w:cs="Arial"/>
          <w:sz w:val="24"/>
          <w:szCs w:val="24"/>
        </w:rPr>
        <w:t xml:space="preserve"> = 7.5 Hz), 120.9, 117.4 (d, </w:t>
      </w:r>
      <w:r w:rsidR="00AA7FF1" w:rsidRPr="00AA7FF1">
        <w:rPr>
          <w:rFonts w:ascii="Arial" w:hAnsi="Arial" w:cs="Arial"/>
          <w:i/>
          <w:iCs/>
          <w:sz w:val="24"/>
          <w:szCs w:val="24"/>
        </w:rPr>
        <w:t>J</w:t>
      </w:r>
      <w:r w:rsidR="00AA7FF1" w:rsidRPr="00AA7FF1">
        <w:rPr>
          <w:rFonts w:ascii="Arial" w:hAnsi="Arial" w:cs="Arial"/>
          <w:sz w:val="24"/>
          <w:szCs w:val="24"/>
        </w:rPr>
        <w:t xml:space="preserve"> = 20.0 Hz), 52.9, 52.6, 47.5, 12.1. </w:t>
      </w:r>
    </w:p>
    <w:p w14:paraId="1B1B4C35" w14:textId="77777777" w:rsidR="00AA7FF1" w:rsidRPr="00AA7FF1" w:rsidRDefault="00AA7FF1" w:rsidP="00AA7FF1">
      <w:pPr>
        <w:autoSpaceDE w:val="0"/>
        <w:autoSpaceDN w:val="0"/>
        <w:adjustRightInd w:val="0"/>
        <w:rPr>
          <w:rFonts w:ascii="Arial" w:hAnsi="Arial" w:cs="Arial"/>
          <w:sz w:val="24"/>
          <w:szCs w:val="24"/>
        </w:rPr>
      </w:pPr>
      <w:r w:rsidRPr="00AA7FF1">
        <w:rPr>
          <w:rFonts w:ascii="Arial" w:hAnsi="Arial" w:cs="Arial"/>
          <w:b/>
          <w:bCs/>
          <w:sz w:val="24"/>
          <w:szCs w:val="24"/>
        </w:rPr>
        <w:t xml:space="preserve">HRMS </w:t>
      </w:r>
      <w:r w:rsidRPr="00AA7FF1">
        <w:rPr>
          <w:rFonts w:ascii="Arial" w:hAnsi="Arial" w:cs="Arial"/>
          <w:sz w:val="24"/>
          <w:szCs w:val="24"/>
        </w:rPr>
        <w:t>(ESI+) calculated for C</w:t>
      </w:r>
      <w:r w:rsidRPr="00AA7FF1">
        <w:rPr>
          <w:rFonts w:ascii="Arial" w:hAnsi="Arial" w:cs="Arial"/>
          <w:sz w:val="24"/>
          <w:szCs w:val="24"/>
          <w:vertAlign w:val="subscript"/>
        </w:rPr>
        <w:t>19</w:t>
      </w:r>
      <w:r w:rsidRPr="00AA7FF1">
        <w:rPr>
          <w:rFonts w:ascii="Arial" w:hAnsi="Arial" w:cs="Arial"/>
          <w:sz w:val="24"/>
          <w:szCs w:val="24"/>
        </w:rPr>
        <w:t>H</w:t>
      </w:r>
      <w:r w:rsidRPr="00AA7FF1">
        <w:rPr>
          <w:rFonts w:ascii="Arial" w:hAnsi="Arial" w:cs="Arial"/>
          <w:sz w:val="24"/>
          <w:szCs w:val="24"/>
          <w:vertAlign w:val="subscript"/>
        </w:rPr>
        <w:t>21</w:t>
      </w:r>
      <w:r w:rsidRPr="00AA7FF1">
        <w:rPr>
          <w:rFonts w:ascii="Arial" w:hAnsi="Arial" w:cs="Arial"/>
          <w:sz w:val="24"/>
          <w:szCs w:val="24"/>
        </w:rPr>
        <w:t>ClFN</w:t>
      </w:r>
      <w:r w:rsidRPr="00AA7FF1">
        <w:rPr>
          <w:rFonts w:ascii="Arial" w:hAnsi="Arial" w:cs="Arial"/>
          <w:sz w:val="24"/>
          <w:szCs w:val="24"/>
          <w:vertAlign w:val="subscript"/>
        </w:rPr>
        <w:t>4</w:t>
      </w:r>
      <w:r w:rsidRPr="00AA7FF1">
        <w:rPr>
          <w:rFonts w:ascii="Arial" w:hAnsi="Arial" w:cs="Arial"/>
          <w:sz w:val="24"/>
          <w:szCs w:val="24"/>
        </w:rPr>
        <w:t xml:space="preserve"> (M+H)</w:t>
      </w:r>
      <w:r w:rsidRPr="00AA7FF1">
        <w:rPr>
          <w:rFonts w:ascii="Arial" w:hAnsi="Arial" w:cs="Arial"/>
          <w:sz w:val="24"/>
          <w:szCs w:val="24"/>
          <w:vertAlign w:val="superscript"/>
        </w:rPr>
        <w:t>+</w:t>
      </w:r>
      <w:r w:rsidRPr="00AA7FF1">
        <w:rPr>
          <w:rFonts w:ascii="Arial" w:hAnsi="Arial" w:cs="Arial"/>
          <w:sz w:val="24"/>
          <w:szCs w:val="24"/>
        </w:rPr>
        <w:t>: 359.1439; found: 359.1456.</w:t>
      </w:r>
    </w:p>
    <w:p w14:paraId="01474933"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color w:val="222222"/>
          <w:spacing w:val="3"/>
          <w:sz w:val="26"/>
          <w:szCs w:val="26"/>
        </w:rPr>
        <w:t>HPLC</w:t>
      </w:r>
      <w:r w:rsidRPr="00AA7FF1">
        <w:rPr>
          <w:rFonts w:ascii="Arial" w:hAnsi="Arial" w:cs="Arial"/>
          <w:color w:val="222222"/>
          <w:spacing w:val="3"/>
          <w:sz w:val="26"/>
          <w:szCs w:val="26"/>
        </w:rPr>
        <w:t>, Luna C18 (Phenomenex), 10 micron, 4.6*250 mm, flow rate 3 ml min</w:t>
      </w:r>
      <w:r w:rsidRPr="00AA7FF1">
        <w:rPr>
          <w:rFonts w:ascii="Arial" w:hAnsi="Arial" w:cs="Arial"/>
          <w:sz w:val="24"/>
          <w:szCs w:val="24"/>
          <w:vertAlign w:val="superscript"/>
        </w:rPr>
        <w:t>-1</w:t>
      </w:r>
      <w:r w:rsidRPr="00AA7FF1">
        <w:rPr>
          <w:rFonts w:ascii="Arial" w:hAnsi="Arial" w:cs="Arial"/>
          <w:color w:val="222222"/>
          <w:spacing w:val="3"/>
          <w:sz w:val="26"/>
          <w:szCs w:val="26"/>
        </w:rPr>
        <w:t>, UV 254 nm, mobile phase CH</w:t>
      </w:r>
      <w:r w:rsidRPr="00AA7FF1">
        <w:rPr>
          <w:rFonts w:ascii="Arial" w:hAnsi="Arial" w:cs="Arial"/>
          <w:color w:val="222222"/>
          <w:spacing w:val="3"/>
          <w:sz w:val="26"/>
          <w:szCs w:val="26"/>
          <w:vertAlign w:val="subscript"/>
        </w:rPr>
        <w:t>3</w:t>
      </w:r>
      <w:r w:rsidRPr="00AA7FF1">
        <w:rPr>
          <w:rFonts w:ascii="Arial" w:hAnsi="Arial" w:cs="Arial"/>
          <w:color w:val="222222"/>
          <w:spacing w:val="3"/>
          <w:sz w:val="26"/>
          <w:szCs w:val="26"/>
        </w:rPr>
        <w:t>CN:water:trifloroacetic acid (230:770:1), RT = 11.3 min</w:t>
      </w:r>
    </w:p>
    <w:p w14:paraId="26CFE8FE" w14:textId="77777777" w:rsidR="00AA7FF1" w:rsidRPr="00AA7FF1" w:rsidRDefault="00AA7FF1" w:rsidP="00AA7FF1">
      <w:pPr>
        <w:autoSpaceDE w:val="0"/>
        <w:autoSpaceDN w:val="0"/>
        <w:adjustRightInd w:val="0"/>
        <w:rPr>
          <w:rFonts w:ascii="Arial" w:hAnsi="Arial" w:cs="Arial"/>
          <w:sz w:val="24"/>
          <w:szCs w:val="24"/>
        </w:rPr>
      </w:pPr>
    </w:p>
    <w:p w14:paraId="112A2C59" w14:textId="77777777" w:rsidR="00AA7FF1" w:rsidRPr="00AA7FF1" w:rsidRDefault="00AA7FF1" w:rsidP="00AA7FF1">
      <w:pPr>
        <w:autoSpaceDE w:val="0"/>
        <w:autoSpaceDN w:val="0"/>
        <w:adjustRightInd w:val="0"/>
        <w:rPr>
          <w:rFonts w:ascii="Arial" w:hAnsi="Arial" w:cs="Arial"/>
          <w:sz w:val="24"/>
          <w:szCs w:val="24"/>
        </w:rPr>
      </w:pPr>
    </w:p>
    <w:p w14:paraId="19F409AB" w14:textId="77777777" w:rsidR="00AA7FF1" w:rsidRPr="00AA7FF1" w:rsidRDefault="00AA7FF1" w:rsidP="00AA7FF1">
      <w:pPr>
        <w:autoSpaceDE w:val="0"/>
        <w:autoSpaceDN w:val="0"/>
        <w:adjustRightInd w:val="0"/>
        <w:rPr>
          <w:rFonts w:ascii="Arial" w:hAnsi="Arial" w:cs="Arial"/>
          <w:b/>
          <w:sz w:val="24"/>
          <w:szCs w:val="24"/>
        </w:rPr>
      </w:pPr>
      <w:r w:rsidRPr="00AA7FF1">
        <w:rPr>
          <w:rFonts w:ascii="Arial" w:hAnsi="Arial" w:cs="Arial"/>
          <w:b/>
          <w:sz w:val="24"/>
          <w:szCs w:val="24"/>
        </w:rPr>
        <w:t>8-Chloro-11-(4-ethylpiperazin-1-yl)-1-fluoro-5</w:t>
      </w:r>
      <w:r w:rsidRPr="00AA7FF1">
        <w:rPr>
          <w:rFonts w:ascii="Arial" w:hAnsi="Arial" w:cs="Arial"/>
          <w:b/>
          <w:i/>
          <w:sz w:val="24"/>
          <w:szCs w:val="24"/>
        </w:rPr>
        <w:t>H</w:t>
      </w:r>
      <w:r w:rsidRPr="00AA7FF1">
        <w:rPr>
          <w:rFonts w:ascii="Arial" w:hAnsi="Arial" w:cs="Arial"/>
          <w:b/>
          <w:sz w:val="24"/>
          <w:szCs w:val="24"/>
        </w:rPr>
        <w:t>-dibenzo[</w:t>
      </w:r>
      <w:r w:rsidRPr="00AA7FF1">
        <w:rPr>
          <w:rFonts w:ascii="Arial" w:hAnsi="Arial" w:cs="Arial"/>
          <w:b/>
          <w:i/>
          <w:sz w:val="24"/>
          <w:szCs w:val="24"/>
        </w:rPr>
        <w:t>b</w:t>
      </w:r>
      <w:r w:rsidRPr="00AA7FF1">
        <w:rPr>
          <w:rFonts w:ascii="Arial" w:hAnsi="Arial" w:cs="Arial"/>
          <w:b/>
          <w:sz w:val="24"/>
          <w:szCs w:val="24"/>
        </w:rPr>
        <w:t>,</w:t>
      </w:r>
      <w:r w:rsidRPr="00AA7FF1">
        <w:rPr>
          <w:rFonts w:ascii="Arial" w:hAnsi="Arial" w:cs="Arial"/>
          <w:b/>
          <w:i/>
          <w:sz w:val="24"/>
          <w:szCs w:val="24"/>
        </w:rPr>
        <w:t>e</w:t>
      </w:r>
      <w:r w:rsidRPr="00AA7FF1">
        <w:rPr>
          <w:rFonts w:ascii="Arial" w:hAnsi="Arial" w:cs="Arial"/>
          <w:b/>
          <w:sz w:val="24"/>
          <w:szCs w:val="24"/>
        </w:rPr>
        <w:t xml:space="preserve">][1,4]diazepine </w:t>
      </w:r>
      <w:r w:rsidRPr="00AA7FF1">
        <w:rPr>
          <w:rFonts w:ascii="Arial" w:hAnsi="Arial" w:cs="Arial"/>
          <w:sz w:val="24"/>
          <w:szCs w:val="24"/>
        </w:rPr>
        <w:t>(</w:t>
      </w:r>
      <w:r w:rsidRPr="00AA7FF1">
        <w:rPr>
          <w:rFonts w:ascii="Arial" w:hAnsi="Arial" w:cs="Arial"/>
          <w:sz w:val="18"/>
          <w:szCs w:val="18"/>
        </w:rPr>
        <w:t xml:space="preserve"> </w:t>
      </w:r>
      <w:r w:rsidRPr="00AA7FF1">
        <w:rPr>
          <w:rFonts w:ascii="Arial" w:hAnsi="Arial" w:cs="Arial"/>
          <w:b/>
          <w:sz w:val="24"/>
          <w:szCs w:val="24"/>
        </w:rPr>
        <w:t>JHU37152</w:t>
      </w:r>
      <w:r w:rsidRPr="00AA7FF1">
        <w:rPr>
          <w:rFonts w:ascii="Arial" w:hAnsi="Arial" w:cs="Arial"/>
          <w:sz w:val="24"/>
          <w:szCs w:val="24"/>
        </w:rPr>
        <w:t>)</w:t>
      </w:r>
    </w:p>
    <w:p w14:paraId="4223B136" w14:textId="77777777" w:rsidR="00AA7FF1" w:rsidRPr="00AA7FF1" w:rsidRDefault="005A0FD8" w:rsidP="00AA7FF1">
      <w:pPr>
        <w:autoSpaceDE w:val="0"/>
        <w:autoSpaceDN w:val="0"/>
        <w:adjustRightInd w:val="0"/>
        <w:rPr>
          <w:rFonts w:ascii="Arial" w:hAnsi="Arial" w:cs="Arial"/>
          <w:sz w:val="24"/>
          <w:szCs w:val="24"/>
        </w:rPr>
      </w:pPr>
      <w:r>
        <w:rPr>
          <w:rFonts w:ascii="Arial" w:hAnsi="Arial" w:cs="Arial"/>
          <w:b/>
          <w:noProof/>
          <w:sz w:val="22"/>
          <w:szCs w:val="22"/>
        </w:rPr>
        <w:object w:dxaOrig="1440" w:dyaOrig="1440" w14:anchorId="63F2CDBD">
          <v:shape id="_x0000_s1028" type="#_x0000_t75" style="position:absolute;margin-left:2.6pt;margin-top:10.4pt;width:83.25pt;height:77.95pt;z-index:251661312;mso-position-horizontal-relative:text;mso-position-vertical-relative:text">
            <v:imagedata r:id="rId21" o:title=""/>
            <w10:wrap type="square"/>
          </v:shape>
          <o:OLEObject Type="Embed" ProgID="ChemDraw.Document.6.0" ShapeID="_x0000_s1028" DrawAspect="Content" ObjectID="_1631531856" r:id="rId22"/>
        </w:object>
      </w:r>
      <w:r w:rsidR="00AA7FF1" w:rsidRPr="00AA7FF1">
        <w:rPr>
          <w:rFonts w:ascii="Arial" w:hAnsi="Arial" w:cs="Arial"/>
          <w:b/>
          <w:sz w:val="24"/>
          <w:szCs w:val="24"/>
          <w:vertAlign w:val="superscript"/>
        </w:rPr>
        <w:t>1</w:t>
      </w:r>
      <w:r w:rsidR="00AA7FF1" w:rsidRPr="00AA7FF1">
        <w:rPr>
          <w:rFonts w:ascii="Arial" w:hAnsi="Arial" w:cs="Arial"/>
          <w:b/>
          <w:sz w:val="24"/>
          <w:szCs w:val="24"/>
        </w:rPr>
        <w:t>H NMR</w:t>
      </w:r>
      <w:r w:rsidR="00AA7FF1" w:rsidRPr="00AA7FF1">
        <w:rPr>
          <w:rFonts w:ascii="Arial" w:hAnsi="Arial" w:cs="Arial"/>
          <w:sz w:val="24"/>
          <w:szCs w:val="24"/>
        </w:rPr>
        <w:t xml:space="preserve"> (500 MHz, CDCl</w:t>
      </w:r>
      <w:r w:rsidR="00AA7FF1" w:rsidRPr="00AA7FF1">
        <w:rPr>
          <w:rFonts w:ascii="Arial" w:hAnsi="Arial" w:cs="Arial"/>
          <w:sz w:val="24"/>
          <w:szCs w:val="24"/>
          <w:vertAlign w:val="subscript"/>
        </w:rPr>
        <w:t>3</w:t>
      </w:r>
      <w:r w:rsidR="00AA7FF1" w:rsidRPr="00AA7FF1">
        <w:rPr>
          <w:rFonts w:ascii="Arial" w:hAnsi="Arial" w:cs="Arial"/>
          <w:sz w:val="24"/>
          <w:szCs w:val="24"/>
        </w:rPr>
        <w:t xml:space="preserve">) δ 7.30 – 7.24 (m, 1H), 7.08 (s, 1H), 6.81 (d, </w:t>
      </w:r>
      <w:r w:rsidR="00AA7FF1" w:rsidRPr="00AA7FF1">
        <w:rPr>
          <w:rFonts w:ascii="Arial" w:hAnsi="Arial" w:cs="Arial"/>
          <w:i/>
          <w:iCs/>
          <w:sz w:val="24"/>
          <w:szCs w:val="24"/>
        </w:rPr>
        <w:t>J</w:t>
      </w:r>
      <w:r w:rsidR="00AA7FF1" w:rsidRPr="00AA7FF1">
        <w:rPr>
          <w:rFonts w:ascii="Arial" w:hAnsi="Arial" w:cs="Arial"/>
          <w:sz w:val="24"/>
          <w:szCs w:val="24"/>
        </w:rPr>
        <w:t xml:space="preserve"> = 8.3 Hz, 1H), 6.77 (t, </w:t>
      </w:r>
      <w:r w:rsidR="00AA7FF1" w:rsidRPr="00AA7FF1">
        <w:rPr>
          <w:rFonts w:ascii="Arial" w:hAnsi="Arial" w:cs="Arial"/>
          <w:i/>
          <w:iCs/>
          <w:sz w:val="24"/>
          <w:szCs w:val="24"/>
        </w:rPr>
        <w:t>J</w:t>
      </w:r>
      <w:r w:rsidR="00AA7FF1" w:rsidRPr="00AA7FF1">
        <w:rPr>
          <w:rFonts w:ascii="Arial" w:hAnsi="Arial" w:cs="Arial"/>
          <w:sz w:val="24"/>
          <w:szCs w:val="24"/>
        </w:rPr>
        <w:t xml:space="preserve"> = 9.0 Hz, 1H), 6.69 (d, </w:t>
      </w:r>
      <w:r w:rsidR="00AA7FF1" w:rsidRPr="00AA7FF1">
        <w:rPr>
          <w:rFonts w:ascii="Arial" w:hAnsi="Arial" w:cs="Arial"/>
          <w:i/>
          <w:iCs/>
          <w:sz w:val="24"/>
          <w:szCs w:val="24"/>
        </w:rPr>
        <w:t>J</w:t>
      </w:r>
      <w:r w:rsidR="00AA7FF1" w:rsidRPr="00AA7FF1">
        <w:rPr>
          <w:rFonts w:ascii="Arial" w:hAnsi="Arial" w:cs="Arial"/>
          <w:sz w:val="24"/>
          <w:szCs w:val="24"/>
        </w:rPr>
        <w:t xml:space="preserve"> = 7.9 Hz, 1H), 6.64 (d, </w:t>
      </w:r>
      <w:r w:rsidR="00AA7FF1" w:rsidRPr="00AA7FF1">
        <w:rPr>
          <w:rFonts w:ascii="Arial" w:hAnsi="Arial" w:cs="Arial"/>
          <w:i/>
          <w:iCs/>
          <w:sz w:val="24"/>
          <w:szCs w:val="24"/>
        </w:rPr>
        <w:t>J</w:t>
      </w:r>
      <w:r w:rsidR="00AA7FF1" w:rsidRPr="00AA7FF1">
        <w:rPr>
          <w:rFonts w:ascii="Arial" w:hAnsi="Arial" w:cs="Arial"/>
          <w:sz w:val="24"/>
          <w:szCs w:val="24"/>
        </w:rPr>
        <w:t xml:space="preserve"> = 8.3 Hz, 1H), 4.96 (s, 1H), 3.60 (bs, 4H), 2.61 (bs, 2H), 2.49 (dd, </w:t>
      </w:r>
      <w:r w:rsidR="00AA7FF1" w:rsidRPr="00AA7FF1">
        <w:rPr>
          <w:rFonts w:ascii="Arial" w:hAnsi="Arial" w:cs="Arial"/>
          <w:i/>
          <w:iCs/>
          <w:sz w:val="24"/>
          <w:szCs w:val="24"/>
        </w:rPr>
        <w:t>J</w:t>
      </w:r>
      <w:r w:rsidR="00AA7FF1" w:rsidRPr="00AA7FF1">
        <w:rPr>
          <w:rFonts w:ascii="Arial" w:hAnsi="Arial" w:cs="Arial"/>
          <w:sz w:val="24"/>
          <w:szCs w:val="24"/>
        </w:rPr>
        <w:t xml:space="preserve"> = 13.8, 6.7 Hz, 4H), 1.14 (t, </w:t>
      </w:r>
      <w:r w:rsidR="00AA7FF1" w:rsidRPr="00AA7FF1">
        <w:rPr>
          <w:rFonts w:ascii="Arial" w:hAnsi="Arial" w:cs="Arial"/>
          <w:i/>
          <w:iCs/>
          <w:sz w:val="24"/>
          <w:szCs w:val="24"/>
        </w:rPr>
        <w:t>J</w:t>
      </w:r>
      <w:r w:rsidR="00AA7FF1" w:rsidRPr="00AA7FF1">
        <w:rPr>
          <w:rFonts w:ascii="Arial" w:hAnsi="Arial" w:cs="Arial"/>
          <w:sz w:val="24"/>
          <w:szCs w:val="24"/>
        </w:rPr>
        <w:t xml:space="preserve"> = 7.2 Hz, 3H). </w:t>
      </w:r>
    </w:p>
    <w:p w14:paraId="6E523CC5" w14:textId="77777777" w:rsidR="00AA7FF1" w:rsidRPr="00AA7FF1" w:rsidRDefault="00AA7FF1" w:rsidP="00AA7FF1">
      <w:pPr>
        <w:autoSpaceDE w:val="0"/>
        <w:autoSpaceDN w:val="0"/>
        <w:adjustRightInd w:val="0"/>
        <w:rPr>
          <w:rFonts w:ascii="Arial" w:hAnsi="Arial" w:cs="Arial"/>
          <w:sz w:val="24"/>
          <w:szCs w:val="24"/>
        </w:rPr>
      </w:pPr>
      <w:r w:rsidRPr="00AA7FF1">
        <w:rPr>
          <w:rFonts w:ascii="Arial" w:hAnsi="Arial" w:cs="Arial"/>
          <w:b/>
          <w:sz w:val="24"/>
          <w:szCs w:val="24"/>
          <w:vertAlign w:val="superscript"/>
        </w:rPr>
        <w:t>13</w:t>
      </w:r>
      <w:r w:rsidRPr="00AA7FF1">
        <w:rPr>
          <w:rFonts w:ascii="Arial" w:hAnsi="Arial" w:cs="Arial"/>
          <w:b/>
          <w:sz w:val="24"/>
          <w:szCs w:val="24"/>
        </w:rPr>
        <w:t xml:space="preserve">C NMR </w:t>
      </w:r>
      <w:r w:rsidRPr="00AA7FF1">
        <w:rPr>
          <w:rFonts w:ascii="Arial" w:hAnsi="Arial" w:cs="Arial"/>
          <w:sz w:val="24"/>
          <w:szCs w:val="24"/>
        </w:rPr>
        <w:t>(125 MHz, CDCl</w:t>
      </w:r>
      <w:r w:rsidRPr="00AA7FF1">
        <w:rPr>
          <w:rFonts w:ascii="Arial" w:hAnsi="Arial" w:cs="Arial"/>
          <w:sz w:val="24"/>
          <w:szCs w:val="24"/>
          <w:vertAlign w:val="subscript"/>
        </w:rPr>
        <w:t>3</w:t>
      </w:r>
      <w:r w:rsidRPr="00AA7FF1">
        <w:rPr>
          <w:rFonts w:ascii="Arial" w:hAnsi="Arial" w:cs="Arial"/>
          <w:sz w:val="24"/>
          <w:szCs w:val="24"/>
        </w:rPr>
        <w:t xml:space="preserve">) δ 160.6, 158.6, 156.2 (d, </w:t>
      </w:r>
      <w:r w:rsidRPr="00AA7FF1">
        <w:rPr>
          <w:rFonts w:ascii="Arial" w:hAnsi="Arial" w:cs="Arial"/>
          <w:i/>
          <w:sz w:val="24"/>
          <w:szCs w:val="24"/>
        </w:rPr>
        <w:t>J</w:t>
      </w:r>
      <w:r w:rsidRPr="00AA7FF1">
        <w:rPr>
          <w:rFonts w:ascii="Arial" w:hAnsi="Arial" w:cs="Arial"/>
          <w:sz w:val="24"/>
          <w:szCs w:val="24"/>
        </w:rPr>
        <w:t xml:space="preserve"> = 2.1 Hz), 155.1 (d, </w:t>
      </w:r>
      <w:r w:rsidRPr="00AA7FF1">
        <w:rPr>
          <w:rFonts w:ascii="Arial" w:hAnsi="Arial" w:cs="Arial"/>
          <w:i/>
          <w:iCs/>
          <w:sz w:val="24"/>
          <w:szCs w:val="24"/>
        </w:rPr>
        <w:t>J</w:t>
      </w:r>
      <w:r w:rsidRPr="00AA7FF1">
        <w:rPr>
          <w:rFonts w:ascii="Arial" w:hAnsi="Arial" w:cs="Arial"/>
          <w:sz w:val="24"/>
          <w:szCs w:val="24"/>
        </w:rPr>
        <w:t xml:space="preserve"> = 6.4 Hz), 142.4, 139.6, 156.2 (d, </w:t>
      </w:r>
      <w:r w:rsidRPr="00AA7FF1">
        <w:rPr>
          <w:rFonts w:ascii="Arial" w:hAnsi="Arial" w:cs="Arial"/>
          <w:i/>
          <w:sz w:val="24"/>
          <w:szCs w:val="24"/>
        </w:rPr>
        <w:t>J</w:t>
      </w:r>
      <w:r w:rsidRPr="00AA7FF1">
        <w:rPr>
          <w:rFonts w:ascii="Arial" w:hAnsi="Arial" w:cs="Arial"/>
          <w:sz w:val="24"/>
          <w:szCs w:val="24"/>
        </w:rPr>
        <w:t xml:space="preserve"> = 2.1 Hz), 129.7, 126.4, 122.6, 120.3, 116.1, 112.04 (d, </w:t>
      </w:r>
      <w:r w:rsidRPr="00AA7FF1">
        <w:rPr>
          <w:rFonts w:ascii="Arial" w:hAnsi="Arial" w:cs="Arial"/>
          <w:i/>
          <w:sz w:val="24"/>
          <w:szCs w:val="24"/>
        </w:rPr>
        <w:t>J</w:t>
      </w:r>
      <w:r w:rsidRPr="00AA7FF1">
        <w:rPr>
          <w:rFonts w:ascii="Arial" w:hAnsi="Arial" w:cs="Arial"/>
          <w:sz w:val="24"/>
          <w:szCs w:val="24"/>
        </w:rPr>
        <w:t xml:space="preserve"> = 15.8 Hz), 111.0 (d, </w:t>
      </w:r>
      <w:r w:rsidRPr="00AA7FF1">
        <w:rPr>
          <w:rFonts w:ascii="Arial" w:hAnsi="Arial" w:cs="Arial"/>
          <w:i/>
          <w:sz w:val="24"/>
          <w:szCs w:val="24"/>
        </w:rPr>
        <w:t>J</w:t>
      </w:r>
      <w:r w:rsidRPr="00AA7FF1">
        <w:rPr>
          <w:rFonts w:ascii="Arial" w:hAnsi="Arial" w:cs="Arial"/>
          <w:sz w:val="24"/>
          <w:szCs w:val="24"/>
        </w:rPr>
        <w:t xml:space="preserve"> = 22.9 Hz), 52.9, 52.8, 52.5, 12.1. </w:t>
      </w:r>
    </w:p>
    <w:p w14:paraId="63F2331F" w14:textId="77777777" w:rsidR="00AA7FF1" w:rsidRPr="00AA7FF1" w:rsidRDefault="00AA7FF1" w:rsidP="00AA7FF1">
      <w:pPr>
        <w:autoSpaceDE w:val="0"/>
        <w:autoSpaceDN w:val="0"/>
        <w:adjustRightInd w:val="0"/>
        <w:rPr>
          <w:rFonts w:ascii="Arial" w:hAnsi="Arial" w:cs="Arial"/>
          <w:sz w:val="24"/>
          <w:szCs w:val="24"/>
        </w:rPr>
      </w:pPr>
      <w:r w:rsidRPr="00AA7FF1">
        <w:rPr>
          <w:rFonts w:ascii="Arial" w:hAnsi="Arial" w:cs="Arial"/>
          <w:b/>
          <w:bCs/>
          <w:sz w:val="24"/>
          <w:szCs w:val="24"/>
        </w:rPr>
        <w:t xml:space="preserve">HRMS </w:t>
      </w:r>
      <w:r w:rsidRPr="00AA7FF1">
        <w:rPr>
          <w:rFonts w:ascii="Arial" w:hAnsi="Arial" w:cs="Arial"/>
          <w:sz w:val="24"/>
          <w:szCs w:val="24"/>
        </w:rPr>
        <w:t>(ESI+) calculated for C</w:t>
      </w:r>
      <w:r w:rsidRPr="00AA7FF1">
        <w:rPr>
          <w:rFonts w:ascii="Arial" w:hAnsi="Arial" w:cs="Arial"/>
          <w:sz w:val="24"/>
          <w:szCs w:val="24"/>
          <w:vertAlign w:val="subscript"/>
        </w:rPr>
        <w:t>19</w:t>
      </w:r>
      <w:r w:rsidRPr="00AA7FF1">
        <w:rPr>
          <w:rFonts w:ascii="Arial" w:hAnsi="Arial" w:cs="Arial"/>
          <w:sz w:val="24"/>
          <w:szCs w:val="24"/>
        </w:rPr>
        <w:t>H</w:t>
      </w:r>
      <w:r w:rsidRPr="00AA7FF1">
        <w:rPr>
          <w:rFonts w:ascii="Arial" w:hAnsi="Arial" w:cs="Arial"/>
          <w:sz w:val="24"/>
          <w:szCs w:val="24"/>
          <w:vertAlign w:val="subscript"/>
        </w:rPr>
        <w:t>21</w:t>
      </w:r>
      <w:r w:rsidRPr="00AA7FF1">
        <w:rPr>
          <w:rFonts w:ascii="Arial" w:hAnsi="Arial" w:cs="Arial"/>
          <w:sz w:val="24"/>
          <w:szCs w:val="24"/>
        </w:rPr>
        <w:t>ClFN</w:t>
      </w:r>
      <w:r w:rsidRPr="00AA7FF1">
        <w:rPr>
          <w:rFonts w:ascii="Arial" w:hAnsi="Arial" w:cs="Arial"/>
          <w:sz w:val="24"/>
          <w:szCs w:val="24"/>
          <w:vertAlign w:val="subscript"/>
        </w:rPr>
        <w:t>4</w:t>
      </w:r>
      <w:r w:rsidRPr="00AA7FF1">
        <w:rPr>
          <w:rFonts w:ascii="Arial" w:hAnsi="Arial" w:cs="Arial"/>
          <w:sz w:val="24"/>
          <w:szCs w:val="24"/>
        </w:rPr>
        <w:t xml:space="preserve"> (M+H)</w:t>
      </w:r>
      <w:r w:rsidRPr="00AA7FF1">
        <w:rPr>
          <w:rFonts w:ascii="Arial" w:hAnsi="Arial" w:cs="Arial"/>
          <w:sz w:val="24"/>
          <w:szCs w:val="24"/>
          <w:vertAlign w:val="superscript"/>
        </w:rPr>
        <w:t>+</w:t>
      </w:r>
      <w:r w:rsidRPr="00AA7FF1">
        <w:rPr>
          <w:rFonts w:ascii="Arial" w:hAnsi="Arial" w:cs="Arial"/>
          <w:sz w:val="24"/>
          <w:szCs w:val="24"/>
        </w:rPr>
        <w:t>: 359.1439; found: 359.1435.</w:t>
      </w:r>
    </w:p>
    <w:p w14:paraId="5DA01948" w14:textId="77777777" w:rsidR="00AA7FF1" w:rsidRPr="00AA7FF1" w:rsidRDefault="00AA7FF1" w:rsidP="00AA7FF1">
      <w:pPr>
        <w:autoSpaceDE w:val="0"/>
        <w:autoSpaceDN w:val="0"/>
        <w:adjustRightInd w:val="0"/>
        <w:jc w:val="both"/>
        <w:rPr>
          <w:rFonts w:ascii="Arial" w:hAnsi="Arial" w:cs="Arial"/>
          <w:sz w:val="24"/>
          <w:szCs w:val="24"/>
        </w:rPr>
      </w:pPr>
      <w:r w:rsidRPr="00AA7FF1">
        <w:rPr>
          <w:rFonts w:ascii="Arial" w:hAnsi="Arial" w:cs="Arial"/>
          <w:b/>
          <w:color w:val="222222"/>
          <w:spacing w:val="3"/>
          <w:sz w:val="26"/>
          <w:szCs w:val="26"/>
        </w:rPr>
        <w:t>HPLC</w:t>
      </w:r>
      <w:r w:rsidRPr="00AA7FF1">
        <w:rPr>
          <w:rFonts w:ascii="Arial" w:hAnsi="Arial" w:cs="Arial"/>
          <w:color w:val="222222"/>
          <w:spacing w:val="3"/>
          <w:sz w:val="26"/>
          <w:szCs w:val="26"/>
        </w:rPr>
        <w:t>, Luna C18 (Phenomenex), 10 micron, 4.6*250 mm, flow rate 3 ml min</w:t>
      </w:r>
      <w:r w:rsidRPr="00AA7FF1">
        <w:rPr>
          <w:rFonts w:ascii="Arial" w:hAnsi="Arial" w:cs="Arial"/>
          <w:sz w:val="24"/>
          <w:szCs w:val="24"/>
          <w:vertAlign w:val="superscript"/>
        </w:rPr>
        <w:t>-1</w:t>
      </w:r>
      <w:r w:rsidRPr="00AA7FF1">
        <w:rPr>
          <w:rFonts w:ascii="Arial" w:hAnsi="Arial" w:cs="Arial"/>
          <w:color w:val="222222"/>
          <w:spacing w:val="3"/>
          <w:sz w:val="26"/>
          <w:szCs w:val="26"/>
        </w:rPr>
        <w:t>, UV 254 nm, mobile phase CH</w:t>
      </w:r>
      <w:r w:rsidRPr="00AA7FF1">
        <w:rPr>
          <w:rFonts w:ascii="Arial" w:hAnsi="Arial" w:cs="Arial"/>
          <w:color w:val="222222"/>
          <w:spacing w:val="3"/>
          <w:sz w:val="26"/>
          <w:szCs w:val="26"/>
          <w:vertAlign w:val="subscript"/>
        </w:rPr>
        <w:t>3</w:t>
      </w:r>
      <w:r w:rsidRPr="00AA7FF1">
        <w:rPr>
          <w:rFonts w:ascii="Arial" w:hAnsi="Arial" w:cs="Arial"/>
          <w:color w:val="222222"/>
          <w:spacing w:val="3"/>
          <w:sz w:val="26"/>
          <w:szCs w:val="26"/>
        </w:rPr>
        <w:t>CN:water:trifloroacetic acid (230:770:1), RT = 10.7 min</w:t>
      </w:r>
    </w:p>
    <w:p w14:paraId="39463A72" w14:textId="77777777" w:rsidR="00AA7FF1" w:rsidRPr="00AA7FF1" w:rsidRDefault="00AA7FF1" w:rsidP="005354B6">
      <w:pPr>
        <w:jc w:val="both"/>
        <w:rPr>
          <w:rFonts w:ascii="Arial" w:hAnsi="Arial" w:cs="Arial"/>
          <w:b/>
          <w:sz w:val="24"/>
          <w:szCs w:val="24"/>
        </w:rPr>
      </w:pPr>
    </w:p>
    <w:p w14:paraId="62A122B7" w14:textId="04B71700" w:rsidR="005354B6" w:rsidRPr="00AA7FF1" w:rsidRDefault="005354B6" w:rsidP="005354B6">
      <w:pPr>
        <w:jc w:val="both"/>
        <w:rPr>
          <w:rFonts w:ascii="Arial" w:hAnsi="Arial" w:cs="Arial"/>
          <w:b/>
          <w:sz w:val="24"/>
          <w:szCs w:val="24"/>
        </w:rPr>
      </w:pPr>
    </w:p>
    <w:p w14:paraId="5ABDB6B9" w14:textId="77777777" w:rsidR="005354B6" w:rsidRPr="00AA7FF1" w:rsidRDefault="005354B6" w:rsidP="005354B6">
      <w:pPr>
        <w:jc w:val="both"/>
        <w:rPr>
          <w:rFonts w:ascii="Arial" w:hAnsi="Arial" w:cs="Arial"/>
          <w:b/>
          <w:sz w:val="28"/>
        </w:rPr>
      </w:pPr>
    </w:p>
    <w:p w14:paraId="3B17B4CB" w14:textId="77777777" w:rsidR="005354B6" w:rsidRPr="00AA7FF1" w:rsidRDefault="005354B6" w:rsidP="005354B6">
      <w:pPr>
        <w:jc w:val="both"/>
        <w:rPr>
          <w:rFonts w:ascii="Arial" w:hAnsi="Arial" w:cs="Arial"/>
          <w:b/>
          <w:sz w:val="28"/>
        </w:rPr>
      </w:pPr>
    </w:p>
    <w:p w14:paraId="177FA491" w14:textId="77777777" w:rsidR="005354B6" w:rsidRPr="00AA7FF1" w:rsidRDefault="005354B6" w:rsidP="005354B6">
      <w:pPr>
        <w:jc w:val="both"/>
        <w:rPr>
          <w:rFonts w:ascii="Arial" w:hAnsi="Arial" w:cs="Arial"/>
          <w:b/>
          <w:sz w:val="28"/>
        </w:rPr>
      </w:pPr>
    </w:p>
    <w:p w14:paraId="72051427" w14:textId="77777777" w:rsidR="003E5D59" w:rsidRPr="00AA7FF1" w:rsidRDefault="005A0FD8">
      <w:pPr>
        <w:rPr>
          <w:rFonts w:ascii="Arial" w:hAnsi="Arial" w:cs="Arial"/>
        </w:rPr>
      </w:pPr>
    </w:p>
    <w:sectPr w:rsidR="003E5D59" w:rsidRPr="00AA7FF1" w:rsidSect="00D33716">
      <w:footerReference w:type="default" r:id="rId23"/>
      <w:headerReference w:type="first" r:id="rId24"/>
      <w:footerReference w:type="first" r:id="rId25"/>
      <w:pgSz w:w="12240" w:h="15840" w:code="1"/>
      <w:pgMar w:top="720" w:right="1080" w:bottom="720" w:left="1080" w:header="432" w:footer="720" w:gutter="0"/>
      <w:lnNumType w:countBy="5" w:distance="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6A37A" w14:textId="77777777" w:rsidR="005A0FD8" w:rsidRDefault="005A0FD8">
      <w:r>
        <w:separator/>
      </w:r>
    </w:p>
  </w:endnote>
  <w:endnote w:type="continuationSeparator" w:id="0">
    <w:p w14:paraId="35A79E73" w14:textId="77777777" w:rsidR="005A0FD8" w:rsidRDefault="005A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B535C" w14:textId="29C70EBC" w:rsidR="00B822CC" w:rsidRDefault="005354B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EC1CE8">
      <w:rPr>
        <w:caps/>
        <w:noProof/>
        <w:color w:val="4472C4" w:themeColor="accent1"/>
      </w:rPr>
      <w:t>1</w:t>
    </w:r>
    <w:r>
      <w:rPr>
        <w:caps/>
        <w:noProof/>
        <w:color w:val="4472C4" w:themeColor="accent1"/>
      </w:rPr>
      <w:fldChar w:fldCharType="end"/>
    </w:r>
  </w:p>
  <w:p w14:paraId="4F19C8B0" w14:textId="77777777" w:rsidR="00B822CC" w:rsidRDefault="005A0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BEC00" w14:textId="77777777" w:rsidR="00B822CC" w:rsidRDefault="005354B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39C9758C" w14:textId="77777777" w:rsidR="00B822CC" w:rsidRDefault="005A0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D701E" w14:textId="77777777" w:rsidR="005A0FD8" w:rsidRDefault="005A0FD8">
      <w:r>
        <w:separator/>
      </w:r>
    </w:p>
  </w:footnote>
  <w:footnote w:type="continuationSeparator" w:id="0">
    <w:p w14:paraId="3C93127C" w14:textId="77777777" w:rsidR="005A0FD8" w:rsidRDefault="005A0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22C7" w14:textId="77777777" w:rsidR="00B822CC" w:rsidRPr="00204015" w:rsidRDefault="005354B6" w:rsidP="00D73714">
    <w:pPr>
      <w:pStyle w:val="Header"/>
    </w:pPr>
    <w:r>
      <w:rPr>
        <w:noProof/>
        <w:lang w:val="en-GB" w:eastAsia="en-GB"/>
      </w:rPr>
      <w:drawing>
        <wp:anchor distT="0" distB="0" distL="114300" distR="114300" simplePos="0" relativeHeight="251659264" behindDoc="1" locked="0" layoutInCell="1" allowOverlap="1" wp14:anchorId="5E97A6CE" wp14:editId="7AE71968">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anchor>
      </w:drawing>
    </w:r>
    <w:r>
      <w:tab/>
    </w:r>
    <w:r w:rsidRPr="00204015">
      <w:t>Submitted Manuscript: Confidential</w:t>
    </w:r>
    <w:r>
      <w:tab/>
    </w:r>
  </w:p>
  <w:p w14:paraId="1BA8F2A7" w14:textId="77777777" w:rsidR="00B822CC" w:rsidRDefault="005A0FD8" w:rsidP="00D737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CC"/>
    <w:rsid w:val="002746CC"/>
    <w:rsid w:val="004764CE"/>
    <w:rsid w:val="005354B6"/>
    <w:rsid w:val="005A0FD8"/>
    <w:rsid w:val="0077503F"/>
    <w:rsid w:val="007A4F2F"/>
    <w:rsid w:val="00AA7FF1"/>
    <w:rsid w:val="00E26DCC"/>
    <w:rsid w:val="00EC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CCA7CE"/>
  <w15:chartTrackingRefBased/>
  <w15:docId w15:val="{5332DD10-C503-442B-8E37-40BFDFB2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4B6"/>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end">
    <w:name w:val="Legend"/>
    <w:basedOn w:val="Normal"/>
    <w:rsid w:val="005354B6"/>
    <w:pPr>
      <w:keepNext/>
      <w:spacing w:before="240"/>
      <w:outlineLvl w:val="0"/>
    </w:pPr>
    <w:rPr>
      <w:rFonts w:eastAsia="Times New Roman"/>
      <w:kern w:val="28"/>
      <w:sz w:val="24"/>
      <w:szCs w:val="24"/>
    </w:rPr>
  </w:style>
  <w:style w:type="paragraph" w:styleId="Footer">
    <w:name w:val="footer"/>
    <w:basedOn w:val="Normal"/>
    <w:link w:val="FooterChar"/>
    <w:uiPriority w:val="99"/>
    <w:rsid w:val="005354B6"/>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5354B6"/>
    <w:rPr>
      <w:rFonts w:ascii="Times New Roman" w:eastAsia="Times New Roman" w:hAnsi="Times New Roman" w:cs="Times New Roman"/>
      <w:sz w:val="20"/>
      <w:szCs w:val="20"/>
    </w:rPr>
  </w:style>
  <w:style w:type="paragraph" w:styleId="Header">
    <w:name w:val="header"/>
    <w:basedOn w:val="Normal"/>
    <w:link w:val="HeaderChar"/>
    <w:uiPriority w:val="99"/>
    <w:rsid w:val="005354B6"/>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5354B6"/>
    <w:rPr>
      <w:rFonts w:ascii="Times New Roman" w:eastAsia="Times New Roman" w:hAnsi="Times New Roman" w:cs="Times New Roman"/>
      <w:sz w:val="20"/>
      <w:szCs w:val="20"/>
    </w:rPr>
  </w:style>
  <w:style w:type="character" w:styleId="LineNumber">
    <w:name w:val="line number"/>
    <w:basedOn w:val="DefaultParagraphFont"/>
    <w:uiPriority w:val="99"/>
    <w:semiHidden/>
    <w:unhideWhenUsed/>
    <w:rsid w:val="005354B6"/>
  </w:style>
  <w:style w:type="paragraph" w:styleId="BalloonText">
    <w:name w:val="Balloon Text"/>
    <w:basedOn w:val="Normal"/>
    <w:link w:val="BalloonTextChar"/>
    <w:uiPriority w:val="99"/>
    <w:semiHidden/>
    <w:unhideWhenUsed/>
    <w:rsid w:val="00AA7F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FF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4.emf"/><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oleObject" Target="embeddings/oleObject2.bin"/><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oleObject" Target="embeddings/oleObject3.bin"/><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3216</Words>
  <Characters>18336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Bonaventura, Jordi (NIH/NIDA) [E]</dc:creator>
  <cp:keywords/>
  <dc:description/>
  <cp:lastModifiedBy>Ginevra Chelli</cp:lastModifiedBy>
  <cp:revision>2</cp:revision>
  <dcterms:created xsi:type="dcterms:W3CDTF">2019-10-02T13:31:00Z</dcterms:created>
  <dcterms:modified xsi:type="dcterms:W3CDTF">2019-10-02T13:31:00Z</dcterms:modified>
</cp:coreProperties>
</file>