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174" w:rsidRDefault="00504F14" w:rsidP="00504F14">
      <w:pPr>
        <w:jc w:val="center"/>
      </w:pPr>
      <w:r>
        <w:t>Description of Additional Supplementary Files</w:t>
      </w:r>
    </w:p>
    <w:p w:rsidR="00504F14" w:rsidRDefault="00504F14"/>
    <w:p w:rsidR="00504F14" w:rsidRDefault="00504F14">
      <w:r>
        <w:rPr>
          <w:b/>
        </w:rPr>
        <w:t xml:space="preserve">Title: </w:t>
      </w:r>
      <w:r w:rsidRPr="00504F14">
        <w:rPr>
          <w:b/>
        </w:rPr>
        <w:t>Supplementary Dataset 1: List of all differentially regulated genes identified by microarray analysis</w:t>
      </w:r>
      <w:r>
        <w:t xml:space="preserve"> </w:t>
      </w:r>
    </w:p>
    <w:p w:rsidR="00504F14" w:rsidRDefault="00504F14">
      <w:r w:rsidRPr="00504F14">
        <w:rPr>
          <w:b/>
        </w:rPr>
        <w:t>Description:</w:t>
      </w:r>
      <w:r>
        <w:t xml:space="preserve"> </w:t>
      </w:r>
      <w:r>
        <w:t>Differentially regulated genes in murine nerves 2 h and murine and human nerves 24 h upon injury compared to uninjured nerves</w:t>
      </w:r>
      <w:bookmarkStart w:id="0" w:name="_GoBack"/>
      <w:bookmarkEnd w:id="0"/>
      <w:r>
        <w:t>. Long non-coding RNAs are marked in red</w:t>
      </w:r>
    </w:p>
    <w:sectPr w:rsidR="00504F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F14"/>
    <w:rsid w:val="00504F14"/>
    <w:rsid w:val="005B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Whittingham</dc:creator>
  <cp:lastModifiedBy>Alessandra Whittingham</cp:lastModifiedBy>
  <cp:revision>1</cp:revision>
  <dcterms:created xsi:type="dcterms:W3CDTF">2020-04-01T11:35:00Z</dcterms:created>
  <dcterms:modified xsi:type="dcterms:W3CDTF">2020-04-01T11:37:00Z</dcterms:modified>
</cp:coreProperties>
</file>