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F26" w:rsidRDefault="00441455" w:rsidP="00441455">
      <w:pPr>
        <w:jc w:val="center"/>
      </w:pPr>
      <w:r>
        <w:rPr>
          <w:noProof/>
          <w:lang w:val="de-CH" w:eastAsia="de-CH"/>
        </w:rPr>
        <w:drawing>
          <wp:inline distT="0" distB="0" distL="0" distR="0" wp14:anchorId="2E7B42FB" wp14:editId="686070D8">
            <wp:extent cx="5130545" cy="6286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2929" cy="6289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455" w:rsidRDefault="00441455">
      <w:pPr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</w:pPr>
      <w:r w:rsidRPr="00441455">
        <w:rPr>
          <w:rFonts w:ascii="Times New Roman" w:hAnsi="Times New Roman" w:cs="Times New Roman"/>
          <w:b/>
          <w:sz w:val="20"/>
        </w:rPr>
        <w:t>Figure S1. Delta body composition and grip strength, gait analysis and whole-body metabolism.</w:t>
      </w:r>
      <w:r w:rsidRPr="00441455">
        <w:rPr>
          <w:rFonts w:ascii="Times New Roman" w:hAnsi="Times New Roman" w:cs="Times New Roman"/>
          <w:sz w:val="20"/>
        </w:rPr>
        <w:t xml:space="preserve"> (A) Delta changes from 15 to 30 months of age in body mass and composition, food intake and grip strength for control (CON-middle) and rapamycin-treated (RM-middle) mice. (B-I) Gait parameters of 8-month-old control mice (8mCON), 28-month-old control mice (28mCON) and 28-month-old mice treated with rapamycin starting at 15 month of age (28mRM). A detailed explanation of each parameter </w:t>
      </w:r>
      <w:proofErr w:type="gramStart"/>
      <w:r w:rsidRPr="00441455">
        <w:rPr>
          <w:rFonts w:ascii="Times New Roman" w:hAnsi="Times New Roman" w:cs="Times New Roman"/>
          <w:sz w:val="20"/>
        </w:rPr>
        <w:t>can be found</w:t>
      </w:r>
      <w:proofErr w:type="gramEnd"/>
      <w:r w:rsidRPr="00441455">
        <w:rPr>
          <w:rFonts w:ascii="Times New Roman" w:hAnsi="Times New Roman" w:cs="Times New Roman"/>
          <w:sz w:val="20"/>
        </w:rPr>
        <w:t xml:space="preserve"> in the extended methods section. </w:t>
      </w:r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Whole-body metabolic analysis of </w:t>
      </w:r>
      <w:r w:rsidRPr="00441455">
        <w:rPr>
          <w:rFonts w:ascii="Times New Roman" w:hAnsi="Times New Roman" w:cs="Times New Roman"/>
          <w:sz w:val="20"/>
        </w:rPr>
        <w:t xml:space="preserve">(J, K) </w:t>
      </w:r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mean </w:t>
      </w:r>
      <w:proofErr w:type="spellStart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>locomotory</w:t>
      </w:r>
      <w:proofErr w:type="spellEnd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 activity, (L, M) respiratory exchange ratio (RER) and (N, O) oxygen consumption (VO</w:t>
      </w:r>
      <w:r w:rsidRPr="00441455">
        <w:rPr>
          <w:rFonts w:ascii="Times New Roman" w:eastAsia="Times New Roman" w:hAnsi="Times New Roman" w:cs="Times New Roman"/>
          <w:color w:val="000000"/>
          <w:sz w:val="20"/>
          <w:vertAlign w:val="subscript"/>
          <w:lang w:val="en-US" w:eastAsia="de-CH"/>
        </w:rPr>
        <w:t>2</w:t>
      </w:r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>ml·kg</w:t>
      </w:r>
      <w:r w:rsidRPr="00441455">
        <w:rPr>
          <w:rFonts w:ascii="Times New Roman" w:eastAsia="Times New Roman" w:hAnsi="Times New Roman" w:cs="Times New Roman"/>
          <w:color w:val="000000"/>
          <w:sz w:val="20"/>
          <w:vertAlign w:val="superscript"/>
          <w:lang w:val="en-US" w:eastAsia="de-CH"/>
        </w:rPr>
        <w:t>-1</w:t>
      </w:r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>·min</w:t>
      </w:r>
      <w:r w:rsidRPr="00441455">
        <w:rPr>
          <w:rFonts w:ascii="Times New Roman" w:eastAsia="Times New Roman" w:hAnsi="Times New Roman" w:cs="Times New Roman"/>
          <w:color w:val="000000"/>
          <w:sz w:val="20"/>
          <w:vertAlign w:val="superscript"/>
          <w:lang w:val="en-US" w:eastAsia="de-CH"/>
        </w:rPr>
        <w:t>-1</w:t>
      </w:r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>) using the Comprehensive Laboratory Measuring System (CLAMS). Values are (J, L, N) 2 hour means across one full day (white)/night (black) cycle in the month prior to endpoint measures and (K, M, O) mean day and night values recorded at 25 and 30 months. Group numbers are (A) n=18 (CON middle) and 17 (RM middle), except for grip strength where n=19 (CON middle) and 20 (RM middle); (B-I) n=</w:t>
      </w:r>
      <w:proofErr w:type="gramStart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>6</w:t>
      </w:r>
      <w:proofErr w:type="gramEnd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 (10mCON), 9 (30mCON) and 10 (30mRM) and; (J-O) n=12 (10mCON), 14 (25mCON), 9 (30mCON), 13 (25mRM) and 10 (30mRM) mice. Data are presented as mean ± SEM. Two-tail independent (between groups) and paired (between time points) t-tests (A); One-way ANOVA with Fisher’s LSD post hoc test for fore and hind limbs (B-I) and; two-way repeated measures ANOVA with Tukey’s post hoc test (J-O) were used to compare between data. *, ** and *** denote a significant difference between groups of P&lt;0.05, P&lt;0.01 and P&lt;0.001, respectively. Where 0.05&lt;P&lt;0.1, P values are reported or the trend is denoted by #. Color of the asterisks refers to the group of comparison.</w:t>
      </w:r>
    </w:p>
    <w:p w:rsidR="00441455" w:rsidRDefault="00441455" w:rsidP="00441455">
      <w:pPr>
        <w:jc w:val="center"/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</w:pPr>
      <w:r>
        <w:rPr>
          <w:noProof/>
          <w:lang w:val="de-CH" w:eastAsia="de-CH"/>
        </w:rPr>
        <w:lastRenderedPageBreak/>
        <w:drawing>
          <wp:inline distT="0" distB="0" distL="0" distR="0" wp14:anchorId="308696DB" wp14:editId="0A72829D">
            <wp:extent cx="4997389" cy="6705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2042" cy="6711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455" w:rsidRPr="00441455" w:rsidRDefault="00441455" w:rsidP="00441455">
      <w:pPr>
        <w:jc w:val="both"/>
        <w:rPr>
          <w:rFonts w:ascii="Times New Roman" w:eastAsia="Times New Roman" w:hAnsi="Times New Roman" w:cs="Times New Roman"/>
          <w:color w:val="000000"/>
          <w:sz w:val="18"/>
          <w:lang w:val="en-US" w:eastAsia="de-CH"/>
        </w:rPr>
      </w:pPr>
      <w:bookmarkStart w:id="0" w:name="OLE_LINK1"/>
      <w:r w:rsidRPr="00441455">
        <w:rPr>
          <w:rFonts w:ascii="Times New Roman" w:hAnsi="Times New Roman" w:cs="Times New Roman"/>
          <w:b/>
          <w:sz w:val="20"/>
        </w:rPr>
        <w:t>Figure S2. Rapamycin has muscle- and organ-specific effects on mass and improves isolated muscle function</w:t>
      </w:r>
      <w:r w:rsidRPr="00441455">
        <w:rPr>
          <w:rFonts w:ascii="Times New Roman" w:hAnsi="Times New Roman" w:cs="Times New Roman"/>
          <w:sz w:val="20"/>
        </w:rPr>
        <w:t xml:space="preserve">. </w:t>
      </w:r>
      <w:bookmarkEnd w:id="0"/>
      <w:r w:rsidRPr="00441455">
        <w:rPr>
          <w:rFonts w:ascii="Times New Roman" w:hAnsi="Times New Roman" w:cs="Times New Roman"/>
          <w:sz w:val="20"/>
        </w:rPr>
        <w:t xml:space="preserve">(A) </w:t>
      </w:r>
      <w:proofErr w:type="gramStart"/>
      <w:r w:rsidRPr="00441455">
        <w:rPr>
          <w:rFonts w:ascii="Times New Roman" w:hAnsi="Times New Roman" w:cs="Times New Roman"/>
          <w:sz w:val="20"/>
        </w:rPr>
        <w:t>absolute</w:t>
      </w:r>
      <w:proofErr w:type="gramEnd"/>
      <w:r w:rsidRPr="00441455">
        <w:rPr>
          <w:rFonts w:ascii="Times New Roman" w:hAnsi="Times New Roman" w:cs="Times New Roman"/>
          <w:sz w:val="20"/>
        </w:rPr>
        <w:t xml:space="preserve"> limb muscle mass and (B</w:t>
      </w:r>
      <w:r w:rsidRPr="00441455">
        <w:rPr>
          <w:rFonts w:ascii="Times New Roman" w:hAnsi="Times New Roman" w:cs="Times New Roman"/>
          <w:sz w:val="20"/>
          <w:lang w:val="en-US"/>
        </w:rPr>
        <w:t xml:space="preserve">) </w:t>
      </w:r>
      <w:r w:rsidRPr="00441455">
        <w:rPr>
          <w:rFonts w:ascii="Times New Roman" w:hAnsi="Times New Roman" w:cs="Times New Roman"/>
          <w:sz w:val="20"/>
        </w:rPr>
        <w:t xml:space="preserve">organ mass normalised to body mass and then 10mCON for visualisation purposes. </w:t>
      </w:r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Scatterplots and linear regressions showing the relationship between body mass and muscle mass is maintained, but both age and rapamycin effect muscle mass across the body mass spectrum in (C) </w:t>
      </w:r>
      <w:r w:rsidRPr="00441455">
        <w:rPr>
          <w:rFonts w:ascii="Times New Roman" w:eastAsia="Times New Roman" w:hAnsi="Times New Roman" w:cs="Times New Roman"/>
          <w:i/>
          <w:color w:val="000000"/>
          <w:sz w:val="20"/>
          <w:lang w:val="en-US" w:eastAsia="de-CH"/>
        </w:rPr>
        <w:t xml:space="preserve">quadriceps </w:t>
      </w:r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(QUAD), (D) </w:t>
      </w:r>
      <w:proofErr w:type="spellStart"/>
      <w:r w:rsidRPr="00441455">
        <w:rPr>
          <w:rFonts w:ascii="Times New Roman" w:eastAsia="Times New Roman" w:hAnsi="Times New Roman" w:cs="Times New Roman"/>
          <w:i/>
          <w:color w:val="000000"/>
          <w:sz w:val="20"/>
          <w:lang w:val="en-US" w:eastAsia="de-CH"/>
        </w:rPr>
        <w:t>tibialis</w:t>
      </w:r>
      <w:proofErr w:type="spellEnd"/>
      <w:r w:rsidRPr="00441455">
        <w:rPr>
          <w:rFonts w:ascii="Times New Roman" w:eastAsia="Times New Roman" w:hAnsi="Times New Roman" w:cs="Times New Roman"/>
          <w:i/>
          <w:color w:val="000000"/>
          <w:sz w:val="20"/>
          <w:lang w:val="en-US" w:eastAsia="de-CH"/>
        </w:rPr>
        <w:t xml:space="preserve"> anterior </w:t>
      </w:r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(TA), (E) </w:t>
      </w:r>
      <w:r w:rsidRPr="00441455">
        <w:rPr>
          <w:rFonts w:ascii="Times New Roman" w:eastAsia="Times New Roman" w:hAnsi="Times New Roman" w:cs="Times New Roman"/>
          <w:i/>
          <w:color w:val="000000"/>
          <w:sz w:val="20"/>
          <w:lang w:val="en-US" w:eastAsia="de-CH"/>
        </w:rPr>
        <w:t xml:space="preserve">extensor </w:t>
      </w:r>
      <w:proofErr w:type="spellStart"/>
      <w:r w:rsidRPr="00441455">
        <w:rPr>
          <w:rFonts w:ascii="Times New Roman" w:eastAsia="Times New Roman" w:hAnsi="Times New Roman" w:cs="Times New Roman"/>
          <w:i/>
          <w:color w:val="000000"/>
          <w:sz w:val="20"/>
          <w:lang w:val="en-US" w:eastAsia="de-CH"/>
        </w:rPr>
        <w:t>digitorum</w:t>
      </w:r>
      <w:proofErr w:type="spellEnd"/>
      <w:r w:rsidRPr="00441455">
        <w:rPr>
          <w:rFonts w:ascii="Times New Roman" w:eastAsia="Times New Roman" w:hAnsi="Times New Roman" w:cs="Times New Roman"/>
          <w:i/>
          <w:color w:val="000000"/>
          <w:sz w:val="20"/>
          <w:lang w:val="en-US" w:eastAsia="de-CH"/>
        </w:rPr>
        <w:t xml:space="preserve"> longus </w:t>
      </w:r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(EDL) and (F) </w:t>
      </w:r>
      <w:r w:rsidRPr="00441455">
        <w:rPr>
          <w:rFonts w:ascii="Times New Roman" w:eastAsia="Times New Roman" w:hAnsi="Times New Roman" w:cs="Times New Roman"/>
          <w:i/>
          <w:color w:val="000000"/>
          <w:sz w:val="20"/>
          <w:lang w:val="en-US" w:eastAsia="de-CH"/>
        </w:rPr>
        <w:t>soleus</w:t>
      </w:r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 (SOL). Isolated muscle function parameters for (G-L) EDL and (M-R) SOL, including (G, M) absolute peak tetanic force, (H, N) specific force (peak tetanic force normalized to muscle cross sectional area; (I, O) peak twitch force; (J, P) time to peak twitch tension; (K, Q) twitch half relaxation time and; (L-R) the fatigue response to multiple stimulations normalized to starting force. Group numbers are (A-F) 17, 20 and 23 for 10mCON, 30mCON and 30mRM; (G-L) 8 (L), 10 (G-K), 19 and 22 for 10mCON, 30mCON and 30mRM and; (M-R) 9 (O-R), M-N (11), 14 (N) (M, O-R) and 18 (M-Q) 17 (R) for 10mCON, 30mCON and 30mRM. Data are presented as mean ± SEM. One-way ANOVA with Fisher’s LSD post hoc test (A-B, G-K, M-Q) and two-way repeated measures ANOVA with Tukey’s post hoc test (L, R) were used to compare between groups. *, ** and *** denote a significant difference between groups of P&lt;0.05, P&lt;0.01 and P&lt;0.001, respectively. Where 0.05&lt;P&lt;0.1, P values are reported.</w:t>
      </w:r>
    </w:p>
    <w:p w:rsidR="00441455" w:rsidRDefault="00441455">
      <w:pPr>
        <w:rPr>
          <w:sz w:val="20"/>
        </w:rPr>
      </w:pPr>
      <w:r>
        <w:rPr>
          <w:noProof/>
          <w:lang w:val="de-CH" w:eastAsia="de-CH"/>
        </w:rPr>
        <w:lastRenderedPageBreak/>
        <w:drawing>
          <wp:inline distT="0" distB="0" distL="0" distR="0" wp14:anchorId="6D1B7A41" wp14:editId="6B1105AF">
            <wp:extent cx="5760720" cy="66230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2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455" w:rsidRPr="00441455" w:rsidRDefault="00441455" w:rsidP="00441455">
      <w:pPr>
        <w:jc w:val="both"/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</w:pPr>
      <w:r w:rsidRPr="00441455">
        <w:rPr>
          <w:rFonts w:ascii="Times New Roman" w:eastAsia="Times New Roman" w:hAnsi="Times New Roman" w:cs="Times New Roman"/>
          <w:b/>
          <w:color w:val="000000"/>
          <w:sz w:val="20"/>
          <w:lang w:val="en-US" w:eastAsia="de-CH"/>
        </w:rPr>
        <w:t xml:space="preserve">Figure S3. Rapamycin-induced changes in IIA fiber size occurs before measureable loss of muscle mass. </w:t>
      </w:r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Correlations between fiber type proportion and minimum fiber </w:t>
      </w:r>
      <w:proofErr w:type="spellStart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>Feret</w:t>
      </w:r>
      <w:proofErr w:type="spellEnd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 in 30mCON and 30mRM mice for (A) IIA; (B) IIX and</w:t>
      </w:r>
      <w:proofErr w:type="gramStart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>;</w:t>
      </w:r>
      <w:proofErr w:type="gramEnd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 (C) IIB fiber types. (D) </w:t>
      </w:r>
      <w:r w:rsidRPr="00441455">
        <w:rPr>
          <w:rFonts w:ascii="Times New Roman" w:hAnsi="Times New Roman" w:cs="Times New Roman"/>
          <w:sz w:val="20"/>
        </w:rPr>
        <w:t xml:space="preserve">Muscle mass in 21-month-old mice administered a control (21mCON) or rapamycin (21mRM) diet for 6 months compared with 10mCON mice. (E) </w:t>
      </w:r>
      <w:proofErr w:type="spellStart"/>
      <w:r w:rsidRPr="00441455">
        <w:rPr>
          <w:rFonts w:ascii="Times New Roman" w:hAnsi="Times New Roman" w:cs="Times New Roman"/>
          <w:sz w:val="20"/>
        </w:rPr>
        <w:t>Fiber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 type proportion and (F) minimum </w:t>
      </w:r>
      <w:proofErr w:type="spellStart"/>
      <w:r w:rsidRPr="00441455">
        <w:rPr>
          <w:rFonts w:ascii="Times New Roman" w:hAnsi="Times New Roman" w:cs="Times New Roman"/>
          <w:sz w:val="20"/>
        </w:rPr>
        <w:t>fiber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41455">
        <w:rPr>
          <w:rFonts w:ascii="Times New Roman" w:hAnsi="Times New Roman" w:cs="Times New Roman"/>
          <w:sz w:val="20"/>
        </w:rPr>
        <w:t>feret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 in </w:t>
      </w:r>
      <w:proofErr w:type="spellStart"/>
      <w:r w:rsidRPr="00441455">
        <w:rPr>
          <w:rFonts w:ascii="Times New Roman" w:hAnsi="Times New Roman" w:cs="Times New Roman"/>
          <w:i/>
          <w:sz w:val="20"/>
        </w:rPr>
        <w:t>tibialis</w:t>
      </w:r>
      <w:proofErr w:type="spellEnd"/>
      <w:r w:rsidRPr="00441455">
        <w:rPr>
          <w:rFonts w:ascii="Times New Roman" w:hAnsi="Times New Roman" w:cs="Times New Roman"/>
          <w:i/>
          <w:sz w:val="20"/>
        </w:rPr>
        <w:t xml:space="preserve"> anterior</w:t>
      </w:r>
      <w:r w:rsidRPr="00441455">
        <w:rPr>
          <w:rFonts w:ascii="Times New Roman" w:hAnsi="Times New Roman" w:cs="Times New Roman"/>
          <w:sz w:val="20"/>
        </w:rPr>
        <w:t xml:space="preserve"> muscle from 10mCON, 21mCON and 21mRM mice. (G) Representative images from the deep IIA-rich region of </w:t>
      </w:r>
      <w:proofErr w:type="spellStart"/>
      <w:r w:rsidRPr="00441455">
        <w:rPr>
          <w:rFonts w:ascii="Times New Roman" w:hAnsi="Times New Roman" w:cs="Times New Roman"/>
          <w:i/>
          <w:sz w:val="20"/>
        </w:rPr>
        <w:t>tibialis</w:t>
      </w:r>
      <w:proofErr w:type="spellEnd"/>
      <w:r w:rsidRPr="00441455">
        <w:rPr>
          <w:rFonts w:ascii="Times New Roman" w:hAnsi="Times New Roman" w:cs="Times New Roman"/>
          <w:i/>
          <w:sz w:val="20"/>
        </w:rPr>
        <w:t xml:space="preserve"> anterior</w:t>
      </w:r>
      <w:r w:rsidRPr="00441455">
        <w:rPr>
          <w:rFonts w:ascii="Times New Roman" w:hAnsi="Times New Roman" w:cs="Times New Roman"/>
          <w:sz w:val="20"/>
        </w:rPr>
        <w:t xml:space="preserve"> muscle from each of the three 21mCON and 21mRM mice. (H) </w:t>
      </w:r>
      <w:proofErr w:type="spellStart"/>
      <w:r w:rsidRPr="00441455">
        <w:rPr>
          <w:rFonts w:ascii="Times New Roman" w:hAnsi="Times New Roman" w:cs="Times New Roman"/>
          <w:sz w:val="20"/>
        </w:rPr>
        <w:t>Fiber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 size distribution for IIA, IIX and IIB </w:t>
      </w:r>
      <w:proofErr w:type="spellStart"/>
      <w:r w:rsidRPr="00441455">
        <w:rPr>
          <w:rFonts w:ascii="Times New Roman" w:hAnsi="Times New Roman" w:cs="Times New Roman"/>
          <w:sz w:val="20"/>
        </w:rPr>
        <w:t>fibers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 from 10mCON, 21mCON and 21mRM mice. Sample numbers are (A-C) n=13 and 14 for 30mCON and 30mRM and (E-H) n=11, 3 and 3 for 10mCON, 21mCON and 21mRM. </w:t>
      </w:r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Data </w:t>
      </w:r>
      <w:proofErr w:type="gramStart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>are presented</w:t>
      </w:r>
      <w:proofErr w:type="gramEnd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 as mean ± SEM. </w:t>
      </w:r>
      <w:r w:rsidRPr="00441455">
        <w:rPr>
          <w:rFonts w:ascii="Times New Roman" w:hAnsi="Times New Roman" w:cs="Times New Roman"/>
          <w:sz w:val="20"/>
        </w:rPr>
        <w:t>Pearson’s correlation (A-C) and o</w:t>
      </w:r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>ne-way ANOVA with Fisher’s LSD post hoc test (D-F, H) were used to compare between data. *, ** and *** denote a significant difference between groups of P&lt;0.05, P&lt;0.01 and P&lt;0.001, respectively.</w:t>
      </w:r>
    </w:p>
    <w:p w:rsidR="00441455" w:rsidRDefault="00441455" w:rsidP="00441455">
      <w:pPr>
        <w:jc w:val="both"/>
        <w:rPr>
          <w:sz w:val="20"/>
        </w:rPr>
      </w:pPr>
      <w:r w:rsidRPr="00441455">
        <w:rPr>
          <w:noProof/>
          <w:sz w:val="20"/>
          <w:lang w:val="de-CH" w:eastAsia="de-CH"/>
        </w:rPr>
        <w:lastRenderedPageBreak/>
        <w:drawing>
          <wp:inline distT="0" distB="0" distL="0" distR="0">
            <wp:extent cx="5760720" cy="4814347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1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455" w:rsidRPr="00441455" w:rsidRDefault="00441455" w:rsidP="00441455">
      <w:pPr>
        <w:jc w:val="both"/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</w:pPr>
      <w:r w:rsidRPr="00441455">
        <w:rPr>
          <w:rFonts w:ascii="Times New Roman" w:hAnsi="Times New Roman" w:cs="Times New Roman"/>
          <w:b/>
          <w:sz w:val="20"/>
        </w:rPr>
        <w:t xml:space="preserve">Figure S4. Multi-muscle </w:t>
      </w:r>
      <w:proofErr w:type="spellStart"/>
      <w:r w:rsidRPr="00441455">
        <w:rPr>
          <w:rFonts w:ascii="Times New Roman" w:hAnsi="Times New Roman" w:cs="Times New Roman"/>
          <w:b/>
          <w:sz w:val="20"/>
        </w:rPr>
        <w:t>fiber</w:t>
      </w:r>
      <w:proofErr w:type="spellEnd"/>
      <w:r w:rsidRPr="00441455">
        <w:rPr>
          <w:rFonts w:ascii="Times New Roman" w:hAnsi="Times New Roman" w:cs="Times New Roman"/>
          <w:b/>
          <w:sz w:val="20"/>
        </w:rPr>
        <w:t xml:space="preserve"> type-specific size</w:t>
      </w:r>
      <w:r w:rsidRPr="00441455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441455">
        <w:rPr>
          <w:rFonts w:ascii="Times New Roman" w:hAnsi="Times New Roman" w:cs="Times New Roman"/>
          <w:sz w:val="20"/>
        </w:rPr>
        <w:t>Fiber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 type proportion and </w:t>
      </w:r>
      <w:proofErr w:type="spellStart"/>
      <w:r w:rsidRPr="00441455">
        <w:rPr>
          <w:rFonts w:ascii="Times New Roman" w:hAnsi="Times New Roman" w:cs="Times New Roman"/>
          <w:sz w:val="20"/>
        </w:rPr>
        <w:t>fiber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 type specific size distribution for (A-B) </w:t>
      </w:r>
      <w:r w:rsidRPr="00441455">
        <w:rPr>
          <w:rFonts w:ascii="Times New Roman" w:hAnsi="Times New Roman" w:cs="Times New Roman"/>
          <w:i/>
          <w:sz w:val="20"/>
        </w:rPr>
        <w:t xml:space="preserve">extensor </w:t>
      </w:r>
      <w:proofErr w:type="spellStart"/>
      <w:r w:rsidRPr="00441455">
        <w:rPr>
          <w:rFonts w:ascii="Times New Roman" w:hAnsi="Times New Roman" w:cs="Times New Roman"/>
          <w:i/>
          <w:sz w:val="20"/>
        </w:rPr>
        <w:t>digitorum</w:t>
      </w:r>
      <w:proofErr w:type="spellEnd"/>
      <w:r w:rsidRPr="00441455">
        <w:rPr>
          <w:rFonts w:ascii="Times New Roman" w:hAnsi="Times New Roman" w:cs="Times New Roman"/>
          <w:i/>
          <w:sz w:val="20"/>
        </w:rPr>
        <w:t xml:space="preserve"> longus</w:t>
      </w:r>
      <w:r w:rsidRPr="00441455">
        <w:rPr>
          <w:rFonts w:ascii="Times New Roman" w:hAnsi="Times New Roman" w:cs="Times New Roman"/>
          <w:sz w:val="20"/>
        </w:rPr>
        <w:t xml:space="preserve"> (EDL); (C-D) </w:t>
      </w:r>
      <w:r w:rsidRPr="00441455">
        <w:rPr>
          <w:rFonts w:ascii="Times New Roman" w:hAnsi="Times New Roman" w:cs="Times New Roman"/>
          <w:i/>
          <w:sz w:val="20"/>
        </w:rPr>
        <w:t xml:space="preserve">triceps </w:t>
      </w:r>
      <w:proofErr w:type="spellStart"/>
      <w:r w:rsidRPr="00441455">
        <w:rPr>
          <w:rFonts w:ascii="Times New Roman" w:hAnsi="Times New Roman" w:cs="Times New Roman"/>
          <w:i/>
          <w:sz w:val="20"/>
        </w:rPr>
        <w:t>brachii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 (TRI) and</w:t>
      </w:r>
      <w:proofErr w:type="gramStart"/>
      <w:r w:rsidRPr="00441455">
        <w:rPr>
          <w:rFonts w:ascii="Times New Roman" w:hAnsi="Times New Roman" w:cs="Times New Roman"/>
          <w:sz w:val="20"/>
        </w:rPr>
        <w:t>;</w:t>
      </w:r>
      <w:proofErr w:type="gramEnd"/>
      <w:r w:rsidRPr="00441455">
        <w:rPr>
          <w:rFonts w:ascii="Times New Roman" w:hAnsi="Times New Roman" w:cs="Times New Roman"/>
          <w:sz w:val="20"/>
        </w:rPr>
        <w:t xml:space="preserve"> (E-F) soleus (SOL) in whole cross sections. </w:t>
      </w:r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For B, D and F between-group statistical comparisons </w:t>
      </w:r>
      <w:proofErr w:type="gramStart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>were performed</w:t>
      </w:r>
      <w:proofErr w:type="gramEnd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 on the overall mean of the minimum fiber </w:t>
      </w:r>
      <w:proofErr w:type="spellStart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>Feret</w:t>
      </w:r>
      <w:proofErr w:type="spellEnd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. </w:t>
      </w:r>
      <w:r w:rsidRPr="00441455">
        <w:rPr>
          <w:rFonts w:ascii="Times New Roman" w:hAnsi="Times New Roman" w:cs="Times New Roman"/>
          <w:sz w:val="20"/>
        </w:rPr>
        <w:t xml:space="preserve">Group numbers are (A-B) 7, 9 and 8 for 10mCON, 30mCON and 30mRM, (C-D) 5, 9 and 9 for 10mCON, 30mCON and 30mRM and (E-F) 6, 6 and 7 for 10mCON, 30mCON and 30mRM. </w:t>
      </w:r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Data </w:t>
      </w:r>
      <w:proofErr w:type="gramStart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>are presented</w:t>
      </w:r>
      <w:proofErr w:type="gramEnd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 as mean ± SEM. One-way ANOVA with Fisher’s LSD post hoc test were used to compare between data. *, ** and *** denote a significant difference between groups of P&lt;0.05, P&lt;0.01 and P&lt;0.001, respectively. Where 0.05&lt;P&lt;0.1, P values are reported.</w:t>
      </w:r>
    </w:p>
    <w:p w:rsidR="00441455" w:rsidRDefault="00441455">
      <w:pPr>
        <w:rPr>
          <w:rFonts w:ascii="Times New Roman" w:eastAsia="Times New Roman" w:hAnsi="Times New Roman" w:cs="Times New Roman"/>
          <w:color w:val="000000"/>
          <w:lang w:val="en-US" w:eastAsia="de-CH"/>
        </w:rPr>
      </w:pPr>
      <w:r>
        <w:rPr>
          <w:rFonts w:ascii="Times New Roman" w:eastAsia="Times New Roman" w:hAnsi="Times New Roman" w:cs="Times New Roman"/>
          <w:color w:val="000000"/>
          <w:lang w:val="en-US" w:eastAsia="de-CH"/>
        </w:rPr>
        <w:br w:type="page"/>
      </w:r>
    </w:p>
    <w:p w:rsidR="00441455" w:rsidRDefault="00441455" w:rsidP="00441455">
      <w:pPr>
        <w:jc w:val="both"/>
        <w:rPr>
          <w:sz w:val="20"/>
        </w:rPr>
      </w:pPr>
      <w:r>
        <w:rPr>
          <w:noProof/>
          <w:lang w:val="de-CH" w:eastAsia="de-CH"/>
        </w:rPr>
        <w:lastRenderedPageBreak/>
        <w:drawing>
          <wp:inline distT="0" distB="0" distL="0" distR="0" wp14:anchorId="27742B9A" wp14:editId="515356E6">
            <wp:extent cx="5760720" cy="662749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2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455" w:rsidRPr="00441455" w:rsidRDefault="00441455" w:rsidP="00441455">
      <w:pPr>
        <w:jc w:val="both"/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</w:pPr>
      <w:r w:rsidRPr="00441455">
        <w:rPr>
          <w:rFonts w:ascii="Times New Roman" w:eastAsia="Times New Roman" w:hAnsi="Times New Roman" w:cs="Times New Roman"/>
          <w:b/>
          <w:color w:val="000000"/>
          <w:sz w:val="20"/>
          <w:lang w:val="en-US" w:eastAsia="de-CH"/>
        </w:rPr>
        <w:t>Figure S5.</w:t>
      </w:r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 </w:t>
      </w:r>
      <w:r w:rsidRPr="00441455">
        <w:rPr>
          <w:rFonts w:ascii="Times New Roman" w:hAnsi="Times New Roman" w:cs="Times New Roman"/>
          <w:b/>
          <w:sz w:val="20"/>
        </w:rPr>
        <w:t xml:space="preserve">Muscle and </w:t>
      </w:r>
      <w:proofErr w:type="spellStart"/>
      <w:r w:rsidRPr="00441455">
        <w:rPr>
          <w:rFonts w:ascii="Times New Roman" w:hAnsi="Times New Roman" w:cs="Times New Roman"/>
          <w:b/>
          <w:sz w:val="20"/>
        </w:rPr>
        <w:t>fiber</w:t>
      </w:r>
      <w:proofErr w:type="spellEnd"/>
      <w:r w:rsidRPr="00441455">
        <w:rPr>
          <w:rFonts w:ascii="Times New Roman" w:hAnsi="Times New Roman" w:cs="Times New Roman"/>
          <w:b/>
          <w:sz w:val="20"/>
        </w:rPr>
        <w:t xml:space="preserve"> type-specific prevalence of central nucleated </w:t>
      </w:r>
      <w:proofErr w:type="spellStart"/>
      <w:r w:rsidRPr="00441455">
        <w:rPr>
          <w:rFonts w:ascii="Times New Roman" w:hAnsi="Times New Roman" w:cs="Times New Roman"/>
          <w:b/>
          <w:sz w:val="20"/>
        </w:rPr>
        <w:t>fibers</w:t>
      </w:r>
      <w:proofErr w:type="spellEnd"/>
      <w:r w:rsidRPr="00441455">
        <w:rPr>
          <w:rFonts w:ascii="Times New Roman" w:hAnsi="Times New Roman" w:cs="Times New Roman"/>
          <w:b/>
          <w:sz w:val="20"/>
        </w:rPr>
        <w:t>.</w:t>
      </w:r>
      <w:r w:rsidRPr="00441455">
        <w:rPr>
          <w:rFonts w:ascii="Times New Roman" w:hAnsi="Times New Roman" w:cs="Times New Roman"/>
          <w:sz w:val="20"/>
        </w:rPr>
        <w:t xml:space="preserve"> (A) Representative images of </w:t>
      </w:r>
      <w:proofErr w:type="spellStart"/>
      <w:r w:rsidRPr="00441455">
        <w:rPr>
          <w:rFonts w:ascii="Times New Roman" w:hAnsi="Times New Roman" w:cs="Times New Roman"/>
          <w:sz w:val="20"/>
        </w:rPr>
        <w:t>fiber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 type-specific </w:t>
      </w:r>
      <w:proofErr w:type="spellStart"/>
      <w:r w:rsidRPr="00441455">
        <w:rPr>
          <w:rFonts w:ascii="Times New Roman" w:hAnsi="Times New Roman" w:cs="Times New Roman"/>
          <w:sz w:val="20"/>
        </w:rPr>
        <w:t>centro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-nucleated </w:t>
      </w:r>
      <w:proofErr w:type="spellStart"/>
      <w:r w:rsidRPr="00441455">
        <w:rPr>
          <w:rFonts w:ascii="Times New Roman" w:hAnsi="Times New Roman" w:cs="Times New Roman"/>
          <w:sz w:val="20"/>
        </w:rPr>
        <w:t>fibers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 in IIB-rich (above) and IIA-rich (below) regions of </w:t>
      </w:r>
      <w:proofErr w:type="spellStart"/>
      <w:r w:rsidRPr="00441455">
        <w:rPr>
          <w:rFonts w:ascii="Times New Roman" w:hAnsi="Times New Roman" w:cs="Times New Roman"/>
          <w:i/>
          <w:sz w:val="20"/>
        </w:rPr>
        <w:t>tibialis</w:t>
      </w:r>
      <w:proofErr w:type="spellEnd"/>
      <w:r w:rsidRPr="00441455">
        <w:rPr>
          <w:rFonts w:ascii="Times New Roman" w:hAnsi="Times New Roman" w:cs="Times New Roman"/>
          <w:i/>
          <w:sz w:val="20"/>
        </w:rPr>
        <w:t xml:space="preserve"> anterior muscle</w:t>
      </w:r>
      <w:r w:rsidRPr="00441455">
        <w:rPr>
          <w:rFonts w:ascii="Times New Roman" w:hAnsi="Times New Roman" w:cs="Times New Roman"/>
          <w:sz w:val="20"/>
        </w:rPr>
        <w:t xml:space="preserve"> taken from n=9, 10 and 10 mice from 10mCON, 30mCON and 30mRM groups Centro-nucleated </w:t>
      </w:r>
      <w:proofErr w:type="spellStart"/>
      <w:r w:rsidRPr="00441455">
        <w:rPr>
          <w:rFonts w:ascii="Times New Roman" w:hAnsi="Times New Roman" w:cs="Times New Roman"/>
          <w:sz w:val="20"/>
        </w:rPr>
        <w:t>fibers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 are denoted by white arrows. (B) Quantification of </w:t>
      </w:r>
      <w:proofErr w:type="spellStart"/>
      <w:r w:rsidRPr="00441455">
        <w:rPr>
          <w:rFonts w:ascii="Times New Roman" w:hAnsi="Times New Roman" w:cs="Times New Roman"/>
          <w:sz w:val="20"/>
        </w:rPr>
        <w:t>fiber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-type specific </w:t>
      </w:r>
      <w:proofErr w:type="spellStart"/>
      <w:r w:rsidRPr="00441455">
        <w:rPr>
          <w:rFonts w:ascii="Times New Roman" w:hAnsi="Times New Roman" w:cs="Times New Roman"/>
          <w:sz w:val="20"/>
        </w:rPr>
        <w:t>centro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-nucleated </w:t>
      </w:r>
      <w:proofErr w:type="spellStart"/>
      <w:r w:rsidRPr="00441455">
        <w:rPr>
          <w:rFonts w:ascii="Times New Roman" w:hAnsi="Times New Roman" w:cs="Times New Roman"/>
          <w:sz w:val="20"/>
        </w:rPr>
        <w:t>fibers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 in (B) </w:t>
      </w:r>
      <w:r w:rsidRPr="00441455">
        <w:rPr>
          <w:rFonts w:ascii="Times New Roman" w:hAnsi="Times New Roman" w:cs="Times New Roman"/>
          <w:i/>
          <w:sz w:val="20"/>
        </w:rPr>
        <w:t xml:space="preserve">extensor </w:t>
      </w:r>
      <w:proofErr w:type="spellStart"/>
      <w:r w:rsidRPr="00441455">
        <w:rPr>
          <w:rFonts w:ascii="Times New Roman" w:hAnsi="Times New Roman" w:cs="Times New Roman"/>
          <w:i/>
          <w:sz w:val="20"/>
        </w:rPr>
        <w:t>digitorum</w:t>
      </w:r>
      <w:proofErr w:type="spellEnd"/>
      <w:r w:rsidRPr="00441455">
        <w:rPr>
          <w:rFonts w:ascii="Times New Roman" w:hAnsi="Times New Roman" w:cs="Times New Roman"/>
          <w:i/>
          <w:sz w:val="20"/>
        </w:rPr>
        <w:t xml:space="preserve"> longus</w:t>
      </w:r>
      <w:r w:rsidRPr="00441455">
        <w:rPr>
          <w:rFonts w:ascii="Times New Roman" w:hAnsi="Times New Roman" w:cs="Times New Roman"/>
          <w:sz w:val="20"/>
        </w:rPr>
        <w:t xml:space="preserve"> (EDL) and (C) </w:t>
      </w:r>
      <w:r w:rsidRPr="00441455">
        <w:rPr>
          <w:rFonts w:ascii="Times New Roman" w:hAnsi="Times New Roman" w:cs="Times New Roman"/>
          <w:i/>
          <w:sz w:val="20"/>
        </w:rPr>
        <w:t>soleus</w:t>
      </w:r>
      <w:r w:rsidRPr="00441455">
        <w:rPr>
          <w:rFonts w:ascii="Times New Roman" w:hAnsi="Times New Roman" w:cs="Times New Roman"/>
          <w:sz w:val="20"/>
        </w:rPr>
        <w:t xml:space="preserve"> (SOL) muscles. Sample numbers are (A) n=9, 10 and 10, (B) n=</w:t>
      </w:r>
      <w:proofErr w:type="gramStart"/>
      <w:r w:rsidRPr="00441455">
        <w:rPr>
          <w:rFonts w:ascii="Times New Roman" w:hAnsi="Times New Roman" w:cs="Times New Roman"/>
          <w:sz w:val="20"/>
        </w:rPr>
        <w:t>7</w:t>
      </w:r>
      <w:proofErr w:type="gramEnd"/>
      <w:r w:rsidRPr="00441455">
        <w:rPr>
          <w:rFonts w:ascii="Times New Roman" w:hAnsi="Times New Roman" w:cs="Times New Roman"/>
          <w:sz w:val="20"/>
        </w:rPr>
        <w:t xml:space="preserve">, 9 and 8 and (C) 6, 6 and 7 for 10mCON, 30mCON and 30mRM, respectively. </w:t>
      </w:r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Data </w:t>
      </w:r>
      <w:proofErr w:type="gramStart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>are presented</w:t>
      </w:r>
      <w:proofErr w:type="gramEnd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 as mean ± SEM. </w:t>
      </w:r>
      <w:r w:rsidRPr="00441455">
        <w:rPr>
          <w:rFonts w:ascii="Times New Roman" w:hAnsi="Times New Roman" w:cs="Times New Roman"/>
          <w:sz w:val="20"/>
        </w:rPr>
        <w:t xml:space="preserve">One-way ANOVA with Fisher’s LSD post hoc test were used to compare between data. </w:t>
      </w:r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>*, ** and *** denote a significant difference between groups of P&lt;0.05, P&lt;0.01 and P&lt;0.001, respectively. Where 0.05&lt;P&lt;0.1, P values are reported.</w:t>
      </w:r>
    </w:p>
    <w:p w:rsidR="00441455" w:rsidRDefault="00441455">
      <w:pPr>
        <w:rPr>
          <w:rFonts w:ascii="Times New Roman" w:eastAsia="Times New Roman" w:hAnsi="Times New Roman" w:cs="Times New Roman"/>
          <w:color w:val="000000"/>
          <w:lang w:val="en-US" w:eastAsia="de-CH"/>
        </w:rPr>
      </w:pPr>
      <w:r>
        <w:rPr>
          <w:rFonts w:ascii="Times New Roman" w:eastAsia="Times New Roman" w:hAnsi="Times New Roman" w:cs="Times New Roman"/>
          <w:color w:val="000000"/>
          <w:lang w:val="en-US" w:eastAsia="de-CH"/>
        </w:rPr>
        <w:br w:type="page"/>
      </w:r>
    </w:p>
    <w:p w:rsidR="00441455" w:rsidRDefault="00441455" w:rsidP="00441455">
      <w:pPr>
        <w:jc w:val="both"/>
        <w:rPr>
          <w:sz w:val="20"/>
        </w:rPr>
      </w:pPr>
      <w:r w:rsidRPr="00441455">
        <w:rPr>
          <w:noProof/>
          <w:sz w:val="20"/>
          <w:lang w:val="de-CH" w:eastAsia="de-CH"/>
        </w:rPr>
        <w:lastRenderedPageBreak/>
        <w:drawing>
          <wp:inline distT="0" distB="0" distL="0" distR="0">
            <wp:extent cx="5760720" cy="3401264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0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455" w:rsidRDefault="00441455" w:rsidP="00441455">
      <w:pPr>
        <w:jc w:val="both"/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</w:pPr>
      <w:r w:rsidRPr="00441455">
        <w:rPr>
          <w:rFonts w:ascii="Times New Roman" w:hAnsi="Times New Roman" w:cs="Times New Roman"/>
          <w:b/>
          <w:sz w:val="20"/>
        </w:rPr>
        <w:t>Figure S6. In vitro responses to rapamycin</w:t>
      </w:r>
      <w:r w:rsidRPr="00441455">
        <w:rPr>
          <w:rFonts w:ascii="Times New Roman" w:hAnsi="Times New Roman" w:cs="Times New Roman"/>
          <w:b/>
          <w:i/>
          <w:sz w:val="20"/>
        </w:rPr>
        <w:t>.</w:t>
      </w:r>
      <w:r w:rsidRPr="00441455">
        <w:rPr>
          <w:rFonts w:ascii="Times New Roman" w:hAnsi="Times New Roman" w:cs="Times New Roman"/>
          <w:sz w:val="20"/>
        </w:rPr>
        <w:t xml:space="preserve"> (A) Quantification of P62 protein abundance in 10mCON, 30mCON and 30mRM in both the </w:t>
      </w:r>
      <w:proofErr w:type="spellStart"/>
      <w:r w:rsidRPr="00441455">
        <w:rPr>
          <w:rFonts w:ascii="Times New Roman" w:hAnsi="Times New Roman" w:cs="Times New Roman"/>
          <w:i/>
          <w:sz w:val="20"/>
        </w:rPr>
        <w:t>tibialis</w:t>
      </w:r>
      <w:proofErr w:type="spellEnd"/>
      <w:r w:rsidRPr="00441455">
        <w:rPr>
          <w:rFonts w:ascii="Times New Roman" w:hAnsi="Times New Roman" w:cs="Times New Roman"/>
          <w:i/>
          <w:sz w:val="20"/>
        </w:rPr>
        <w:t xml:space="preserve"> anterior</w:t>
      </w:r>
      <w:r w:rsidRPr="00441455">
        <w:rPr>
          <w:rFonts w:ascii="Times New Roman" w:hAnsi="Times New Roman" w:cs="Times New Roman"/>
          <w:sz w:val="20"/>
        </w:rPr>
        <w:t xml:space="preserve"> (TA) and </w:t>
      </w:r>
      <w:r w:rsidRPr="00441455">
        <w:rPr>
          <w:rFonts w:ascii="Times New Roman" w:hAnsi="Times New Roman" w:cs="Times New Roman"/>
          <w:i/>
          <w:sz w:val="20"/>
        </w:rPr>
        <w:t xml:space="preserve">gastrocnemius </w:t>
      </w:r>
      <w:r w:rsidRPr="00441455">
        <w:rPr>
          <w:rFonts w:ascii="Times New Roman" w:hAnsi="Times New Roman" w:cs="Times New Roman"/>
          <w:sz w:val="20"/>
        </w:rPr>
        <w:t xml:space="preserve">(GAS) muscle. (B) Quantification of C2C12 </w:t>
      </w:r>
      <w:proofErr w:type="spellStart"/>
      <w:r w:rsidRPr="00441455">
        <w:rPr>
          <w:rFonts w:ascii="Times New Roman" w:hAnsi="Times New Roman" w:cs="Times New Roman"/>
          <w:sz w:val="20"/>
        </w:rPr>
        <w:t>myotube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 diameter after 24 h incubation in differentiation media (CON) or media containing 10 </w:t>
      </w:r>
      <w:proofErr w:type="spellStart"/>
      <w:r w:rsidRPr="00441455">
        <w:rPr>
          <w:rFonts w:ascii="Times New Roman" w:hAnsi="Times New Roman" w:cs="Times New Roman"/>
          <w:sz w:val="20"/>
        </w:rPr>
        <w:t>nM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 rapamycin, 20 ng·ml</w:t>
      </w:r>
      <w:r w:rsidRPr="00441455">
        <w:rPr>
          <w:rFonts w:ascii="Times New Roman" w:hAnsi="Times New Roman" w:cs="Times New Roman"/>
          <w:sz w:val="20"/>
          <w:vertAlign w:val="superscript"/>
        </w:rPr>
        <w:t xml:space="preserve">-1 </w:t>
      </w:r>
      <w:r w:rsidRPr="00441455">
        <w:rPr>
          <w:rFonts w:ascii="Times New Roman" w:hAnsi="Times New Roman" w:cs="Times New Roman"/>
          <w:sz w:val="20"/>
        </w:rPr>
        <w:t>TNFα and 100 ng·ml</w:t>
      </w:r>
      <w:r w:rsidRPr="00441455">
        <w:rPr>
          <w:rFonts w:ascii="Times New Roman" w:hAnsi="Times New Roman" w:cs="Times New Roman"/>
          <w:sz w:val="20"/>
          <w:vertAlign w:val="superscript"/>
        </w:rPr>
        <w:t xml:space="preserve">-1 </w:t>
      </w:r>
      <w:proofErr w:type="spellStart"/>
      <w:r w:rsidRPr="00441455">
        <w:rPr>
          <w:rFonts w:ascii="Times New Roman" w:hAnsi="Times New Roman" w:cs="Times New Roman"/>
          <w:sz w:val="20"/>
        </w:rPr>
        <w:t>IFNγ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 (cytokines) or cytokines and rapamycin (</w:t>
      </w:r>
      <w:proofErr w:type="spellStart"/>
      <w:r w:rsidRPr="00441455">
        <w:rPr>
          <w:rFonts w:ascii="Times New Roman" w:hAnsi="Times New Roman" w:cs="Times New Roman"/>
          <w:sz w:val="20"/>
        </w:rPr>
        <w:t>cytokines+RM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). Data are normalised to the CON group only. For each biological replicate, 40+ </w:t>
      </w:r>
      <w:proofErr w:type="spellStart"/>
      <w:r w:rsidRPr="00441455">
        <w:rPr>
          <w:rFonts w:ascii="Times New Roman" w:hAnsi="Times New Roman" w:cs="Times New Roman"/>
          <w:sz w:val="20"/>
        </w:rPr>
        <w:t>myotubes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 were measured across </w:t>
      </w:r>
      <w:proofErr w:type="gramStart"/>
      <w:r w:rsidRPr="00441455">
        <w:rPr>
          <w:rFonts w:ascii="Times New Roman" w:hAnsi="Times New Roman" w:cs="Times New Roman"/>
          <w:sz w:val="20"/>
        </w:rPr>
        <w:t>4</w:t>
      </w:r>
      <w:proofErr w:type="gramEnd"/>
      <w:r w:rsidRPr="00441455">
        <w:rPr>
          <w:rFonts w:ascii="Times New Roman" w:hAnsi="Times New Roman" w:cs="Times New Roman"/>
          <w:sz w:val="20"/>
        </w:rPr>
        <w:t xml:space="preserve"> images and averaged. In 5-day-old </w:t>
      </w:r>
      <w:proofErr w:type="spellStart"/>
      <w:r w:rsidRPr="00441455">
        <w:rPr>
          <w:rFonts w:ascii="Times New Roman" w:hAnsi="Times New Roman" w:cs="Times New Roman"/>
          <w:sz w:val="20"/>
        </w:rPr>
        <w:t>myotubes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, 24 h incubation with rapamycin impairs (C) </w:t>
      </w:r>
      <w:proofErr w:type="spellStart"/>
      <w:r w:rsidRPr="00441455">
        <w:rPr>
          <w:rFonts w:ascii="Times New Roman" w:hAnsi="Times New Roman" w:cs="Times New Roman"/>
          <w:sz w:val="20"/>
        </w:rPr>
        <w:t>myonuclei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 accretion and (D) </w:t>
      </w:r>
      <w:proofErr w:type="spellStart"/>
      <w:r w:rsidRPr="00441455">
        <w:rPr>
          <w:rFonts w:ascii="Times New Roman" w:hAnsi="Times New Roman" w:cs="Times New Roman"/>
          <w:sz w:val="20"/>
        </w:rPr>
        <w:t>myotube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 hypertrophy. (E) Representative images of C2C12 myoblasts incubated in differentiation media with or without rapamycin for 5 days shows dose-dependent impairment of </w:t>
      </w:r>
      <w:proofErr w:type="spellStart"/>
      <w:r w:rsidRPr="00441455">
        <w:rPr>
          <w:rFonts w:ascii="Times New Roman" w:hAnsi="Times New Roman" w:cs="Times New Roman"/>
          <w:sz w:val="20"/>
        </w:rPr>
        <w:t>myotube</w:t>
      </w:r>
      <w:proofErr w:type="spellEnd"/>
      <w:r w:rsidRPr="00441455">
        <w:rPr>
          <w:rFonts w:ascii="Times New Roman" w:hAnsi="Times New Roman" w:cs="Times New Roman"/>
          <w:sz w:val="20"/>
        </w:rPr>
        <w:t xml:space="preserve"> formation by rapamycin. </w:t>
      </w:r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>Group numbers are n=</w:t>
      </w:r>
      <w:proofErr w:type="gramStart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>7</w:t>
      </w:r>
      <w:proofErr w:type="gramEnd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 mice (10mCON), 8 (30mCON), 7 for TA and 8 for GAS (30RM), n=6 (B) and n=3 (C-E). Data </w:t>
      </w:r>
      <w:proofErr w:type="gramStart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>are presented</w:t>
      </w:r>
      <w:proofErr w:type="gramEnd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 as mean ± SEM. Two-way ANOVA with </w:t>
      </w:r>
      <w:proofErr w:type="spellStart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>Sidak’s</w:t>
      </w:r>
      <w:proofErr w:type="spellEnd"/>
      <w:r w:rsidRPr="00441455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 post hoc test (A) and one-way ANOVA with Tukey’s post hoc test (B-D) were used to compare between groups. *, ** and *** denote a significant difference between groups of P&lt;0.05, P&lt;0.01 and P&lt;0.001, respectively. Where 0.05&lt;P&lt;0.1, P values are reported.</w:t>
      </w:r>
    </w:p>
    <w:p w:rsidR="008928E0" w:rsidRDefault="008928E0">
      <w:pPr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</w:pPr>
      <w:r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br w:type="page"/>
      </w:r>
    </w:p>
    <w:p w:rsidR="008928E0" w:rsidRDefault="008928E0" w:rsidP="00441455">
      <w:pPr>
        <w:jc w:val="both"/>
        <w:rPr>
          <w:sz w:val="18"/>
        </w:rPr>
      </w:pPr>
      <w:r>
        <w:rPr>
          <w:noProof/>
          <w:lang w:val="de-CH" w:eastAsia="de-CH"/>
        </w:rPr>
        <w:lastRenderedPageBreak/>
        <w:drawing>
          <wp:inline distT="0" distB="0" distL="0" distR="0" wp14:anchorId="4D7D95E8" wp14:editId="50B0375A">
            <wp:extent cx="5760720" cy="708533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8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8E0" w:rsidRPr="008928E0" w:rsidRDefault="008928E0" w:rsidP="00892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</w:pPr>
      <w:r w:rsidRPr="008928E0">
        <w:rPr>
          <w:rFonts w:ascii="Times New Roman" w:hAnsi="Times New Roman" w:cs="Times New Roman"/>
          <w:b/>
          <w:bCs/>
          <w:color w:val="000000"/>
          <w:sz w:val="20"/>
        </w:rPr>
        <w:t xml:space="preserve">Figure S7. GO analysis of PCs 1-5. </w:t>
      </w:r>
      <w:r w:rsidRPr="008928E0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Top 10 gene ontology (GO) terms enriched for genes positively and negatively aligned with principal components (PCs) (A) 1; (B) 2; (C) 3; (D) 4 and; (E) 5 for </w:t>
      </w:r>
      <w:r w:rsidRPr="008928E0">
        <w:rPr>
          <w:rFonts w:ascii="Times New Roman" w:hAnsi="Times New Roman" w:cs="Times New Roman"/>
          <w:color w:val="000000"/>
          <w:sz w:val="20"/>
          <w:lang w:val="en-US"/>
        </w:rPr>
        <w:t>10mCON, 30mCON</w:t>
      </w:r>
      <w:r w:rsidRPr="008928E0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 and 30mRM data sets from Figure 5C. The number of genes aligned with PCs and used for GO enrichment analysis (DAVID) </w:t>
      </w:r>
      <w:proofErr w:type="gramStart"/>
      <w:r w:rsidRPr="008928E0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>is indicated</w:t>
      </w:r>
      <w:proofErr w:type="gramEnd"/>
      <w:r w:rsidRPr="008928E0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 at the top of each panel. We considered P&lt;0.01 (red dashed line) as the significance threshold for enrichment. The number of genes contributing to each GO term </w:t>
      </w:r>
      <w:proofErr w:type="gramStart"/>
      <w:r w:rsidRPr="008928E0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>is indicated</w:t>
      </w:r>
      <w:proofErr w:type="gramEnd"/>
      <w:r w:rsidRPr="008928E0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 next to the GO term labels. Sample numbers are n=</w:t>
      </w:r>
      <w:proofErr w:type="gramStart"/>
      <w:r w:rsidRPr="008928E0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>6</w:t>
      </w:r>
      <w:proofErr w:type="gramEnd"/>
      <w:r w:rsidRPr="008928E0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 mice for each group and each muscle (i.e. 72 samples). A modified Fisher’s exact test </w:t>
      </w:r>
      <w:proofErr w:type="gramStart"/>
      <w:r w:rsidRPr="008928E0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>was used</w:t>
      </w:r>
      <w:proofErr w:type="gramEnd"/>
      <w:r w:rsidRPr="008928E0">
        <w:rPr>
          <w:rFonts w:ascii="Times New Roman" w:eastAsia="Times New Roman" w:hAnsi="Times New Roman" w:cs="Times New Roman"/>
          <w:color w:val="000000"/>
          <w:sz w:val="20"/>
          <w:lang w:val="en-US" w:eastAsia="de-CH"/>
        </w:rPr>
        <w:t xml:space="preserve"> to determine significance. </w:t>
      </w:r>
    </w:p>
    <w:p w:rsidR="008928E0" w:rsidRDefault="008928E0">
      <w:pPr>
        <w:rPr>
          <w:sz w:val="18"/>
        </w:rPr>
      </w:pPr>
      <w:r>
        <w:rPr>
          <w:sz w:val="18"/>
        </w:rPr>
        <w:br w:type="page"/>
      </w:r>
    </w:p>
    <w:p w:rsidR="008928E0" w:rsidRDefault="008928E0" w:rsidP="00441455">
      <w:pPr>
        <w:jc w:val="both"/>
        <w:rPr>
          <w:sz w:val="18"/>
        </w:rPr>
      </w:pPr>
      <w:r>
        <w:rPr>
          <w:noProof/>
          <w:lang w:val="de-CH" w:eastAsia="de-CH"/>
        </w:rPr>
        <w:lastRenderedPageBreak/>
        <w:drawing>
          <wp:inline distT="0" distB="0" distL="0" distR="0" wp14:anchorId="1AA29389" wp14:editId="145D92BC">
            <wp:extent cx="5760720" cy="49377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8E0" w:rsidRDefault="008928E0" w:rsidP="00441455">
      <w:pPr>
        <w:jc w:val="both"/>
        <w:rPr>
          <w:rFonts w:ascii="Times New Roman" w:hAnsi="Times New Roman" w:cs="Times New Roman"/>
          <w:color w:val="000000"/>
          <w:sz w:val="20"/>
        </w:rPr>
      </w:pPr>
      <w:r w:rsidRPr="008928E0">
        <w:rPr>
          <w:rFonts w:ascii="Times New Roman" w:hAnsi="Times New Roman" w:cs="Times New Roman"/>
          <w:b/>
          <w:bCs/>
          <w:color w:val="000000"/>
          <w:sz w:val="20"/>
        </w:rPr>
        <w:t xml:space="preserve">Figure S8. Markers of glial, but not other cell </w:t>
      </w:r>
      <w:proofErr w:type="gramStart"/>
      <w:r w:rsidRPr="008928E0">
        <w:rPr>
          <w:rFonts w:ascii="Times New Roman" w:hAnsi="Times New Roman" w:cs="Times New Roman"/>
          <w:b/>
          <w:bCs/>
          <w:color w:val="000000"/>
          <w:sz w:val="20"/>
        </w:rPr>
        <w:t>types,</w:t>
      </w:r>
      <w:proofErr w:type="gramEnd"/>
      <w:r w:rsidRPr="008928E0">
        <w:rPr>
          <w:rFonts w:ascii="Times New Roman" w:hAnsi="Times New Roman" w:cs="Times New Roman"/>
          <w:b/>
          <w:bCs/>
          <w:color w:val="000000"/>
          <w:sz w:val="20"/>
        </w:rPr>
        <w:t xml:space="preserve"> are increased at the NMJ.</w:t>
      </w:r>
      <w:r w:rsidRPr="008928E0">
        <w:rPr>
          <w:rFonts w:ascii="Times New Roman" w:hAnsi="Times New Roman" w:cs="Times New Roman"/>
          <w:color w:val="000000"/>
          <w:sz w:val="20"/>
        </w:rPr>
        <w:t xml:space="preserve"> The expression pattern of known cell type markers in skeletal muscle in synaptic (NMJ) and extra synaptic (</w:t>
      </w:r>
      <w:proofErr w:type="spellStart"/>
      <w:r w:rsidRPr="008928E0">
        <w:rPr>
          <w:rFonts w:ascii="Times New Roman" w:hAnsi="Times New Roman" w:cs="Times New Roman"/>
          <w:color w:val="000000"/>
          <w:sz w:val="20"/>
        </w:rPr>
        <w:t>xNMJ</w:t>
      </w:r>
      <w:proofErr w:type="spellEnd"/>
      <w:r w:rsidRPr="008928E0">
        <w:rPr>
          <w:rFonts w:ascii="Times New Roman" w:hAnsi="Times New Roman" w:cs="Times New Roman"/>
          <w:color w:val="000000"/>
          <w:sz w:val="20"/>
        </w:rPr>
        <w:t xml:space="preserve">) regions collected via laser capture microdissection in </w:t>
      </w:r>
      <w:proofErr w:type="spellStart"/>
      <w:r w:rsidRPr="008928E0">
        <w:rPr>
          <w:rFonts w:ascii="Times New Roman" w:hAnsi="Times New Roman" w:cs="Times New Roman"/>
          <w:i/>
          <w:color w:val="000000"/>
          <w:sz w:val="20"/>
        </w:rPr>
        <w:t>tibialis</w:t>
      </w:r>
      <w:proofErr w:type="spellEnd"/>
      <w:r w:rsidRPr="008928E0">
        <w:rPr>
          <w:rFonts w:ascii="Times New Roman" w:hAnsi="Times New Roman" w:cs="Times New Roman"/>
          <w:i/>
          <w:color w:val="000000"/>
          <w:sz w:val="20"/>
        </w:rPr>
        <w:t xml:space="preserve"> anterior</w:t>
      </w:r>
      <w:r w:rsidRPr="008928E0">
        <w:rPr>
          <w:rFonts w:ascii="Times New Roman" w:hAnsi="Times New Roman" w:cs="Times New Roman"/>
          <w:color w:val="000000"/>
          <w:sz w:val="20"/>
        </w:rPr>
        <w:t xml:space="preserve"> muscle from 10mCON and 30mCON mice.</w:t>
      </w:r>
    </w:p>
    <w:p w:rsidR="008928E0" w:rsidRDefault="008928E0">
      <w:pPr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br w:type="page"/>
      </w:r>
    </w:p>
    <w:p w:rsidR="008928E0" w:rsidRDefault="008928E0" w:rsidP="00441455">
      <w:pPr>
        <w:jc w:val="both"/>
        <w:rPr>
          <w:sz w:val="16"/>
        </w:rPr>
      </w:pPr>
      <w:bookmarkStart w:id="1" w:name="_GoBack"/>
      <w:r>
        <w:rPr>
          <w:noProof/>
          <w:lang w:val="de-CH" w:eastAsia="de-CH"/>
        </w:rPr>
        <w:lastRenderedPageBreak/>
        <w:drawing>
          <wp:inline distT="0" distB="0" distL="0" distR="0" wp14:anchorId="121F9108" wp14:editId="48CC83FF">
            <wp:extent cx="5760720" cy="731012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1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8928E0" w:rsidRPr="008928E0" w:rsidRDefault="008928E0" w:rsidP="008928E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8928E0">
        <w:rPr>
          <w:rFonts w:ascii="Times New Roman" w:hAnsi="Times New Roman" w:cs="Times New Roman"/>
          <w:b/>
          <w:sz w:val="20"/>
        </w:rPr>
        <w:t xml:space="preserve">Figure S9. </w:t>
      </w:r>
      <w:proofErr w:type="spellStart"/>
      <w:r w:rsidRPr="008928E0">
        <w:rPr>
          <w:rFonts w:ascii="Times New Roman" w:hAnsi="Times New Roman" w:cs="Times New Roman"/>
          <w:b/>
          <w:sz w:val="20"/>
        </w:rPr>
        <w:t>Tibialis</w:t>
      </w:r>
      <w:proofErr w:type="spellEnd"/>
      <w:r w:rsidRPr="008928E0">
        <w:rPr>
          <w:rFonts w:ascii="Times New Roman" w:hAnsi="Times New Roman" w:cs="Times New Roman"/>
          <w:b/>
          <w:sz w:val="20"/>
        </w:rPr>
        <w:t xml:space="preserve"> anterior has an exaggerated ‘denervation’ gene expression response to aging</w:t>
      </w:r>
      <w:r w:rsidRPr="008928E0">
        <w:rPr>
          <w:rFonts w:ascii="Times New Roman" w:hAnsi="Times New Roman" w:cs="Times New Roman"/>
          <w:sz w:val="20"/>
        </w:rPr>
        <w:t xml:space="preserve">.  </w:t>
      </w:r>
      <w:r w:rsidRPr="008928E0">
        <w:rPr>
          <w:rFonts w:ascii="Times New Roman" w:hAnsi="Times New Roman" w:cs="Times New Roman"/>
          <w:color w:val="000000"/>
          <w:sz w:val="20"/>
        </w:rPr>
        <w:t xml:space="preserve">Scatterplots of fold-change gene expression from natural aging PC3 between 30mCON and 10mCON for (A-C) </w:t>
      </w:r>
      <w:proofErr w:type="spellStart"/>
      <w:r w:rsidRPr="008928E0">
        <w:rPr>
          <w:rFonts w:ascii="Times New Roman" w:hAnsi="Times New Roman" w:cs="Times New Roman"/>
          <w:i/>
          <w:color w:val="000000"/>
          <w:sz w:val="20"/>
        </w:rPr>
        <w:t>tibialis</w:t>
      </w:r>
      <w:proofErr w:type="spellEnd"/>
      <w:r w:rsidRPr="008928E0">
        <w:rPr>
          <w:rFonts w:ascii="Times New Roman" w:hAnsi="Times New Roman" w:cs="Times New Roman"/>
          <w:i/>
          <w:color w:val="000000"/>
          <w:sz w:val="20"/>
        </w:rPr>
        <w:t xml:space="preserve"> anterior</w:t>
      </w:r>
      <w:r w:rsidRPr="008928E0">
        <w:rPr>
          <w:rFonts w:ascii="Times New Roman" w:hAnsi="Times New Roman" w:cs="Times New Roman"/>
          <w:color w:val="000000"/>
          <w:sz w:val="20"/>
        </w:rPr>
        <w:t xml:space="preserve"> (TA), (D-F) </w:t>
      </w:r>
      <w:r w:rsidRPr="008928E0">
        <w:rPr>
          <w:rFonts w:ascii="Times New Roman" w:hAnsi="Times New Roman" w:cs="Times New Roman"/>
          <w:i/>
          <w:color w:val="000000"/>
          <w:sz w:val="20"/>
        </w:rPr>
        <w:t xml:space="preserve">triceps </w:t>
      </w:r>
      <w:proofErr w:type="spellStart"/>
      <w:r w:rsidRPr="008928E0">
        <w:rPr>
          <w:rFonts w:ascii="Times New Roman" w:hAnsi="Times New Roman" w:cs="Times New Roman"/>
          <w:i/>
          <w:color w:val="000000"/>
          <w:sz w:val="20"/>
        </w:rPr>
        <w:t>brachii</w:t>
      </w:r>
      <w:proofErr w:type="spellEnd"/>
      <w:r w:rsidRPr="008928E0">
        <w:rPr>
          <w:rFonts w:ascii="Times New Roman" w:hAnsi="Times New Roman" w:cs="Times New Roman"/>
          <w:color w:val="000000"/>
          <w:sz w:val="20"/>
        </w:rPr>
        <w:t xml:space="preserve"> (TRI), (G-I) </w:t>
      </w:r>
      <w:r w:rsidRPr="008928E0">
        <w:rPr>
          <w:rFonts w:ascii="Times New Roman" w:hAnsi="Times New Roman" w:cs="Times New Roman"/>
          <w:i/>
          <w:color w:val="000000"/>
          <w:sz w:val="20"/>
        </w:rPr>
        <w:t>soleus</w:t>
      </w:r>
      <w:r w:rsidRPr="008928E0">
        <w:rPr>
          <w:rFonts w:ascii="Times New Roman" w:hAnsi="Times New Roman" w:cs="Times New Roman"/>
          <w:color w:val="000000"/>
          <w:sz w:val="20"/>
        </w:rPr>
        <w:t xml:space="preserve"> (SOL) and (J-L) </w:t>
      </w:r>
      <w:r w:rsidRPr="008928E0">
        <w:rPr>
          <w:rFonts w:ascii="Times New Roman" w:hAnsi="Times New Roman" w:cs="Times New Roman"/>
          <w:i/>
          <w:color w:val="000000"/>
          <w:sz w:val="20"/>
        </w:rPr>
        <w:t>gastrocnemius</w:t>
      </w:r>
      <w:r w:rsidRPr="008928E0">
        <w:rPr>
          <w:rFonts w:ascii="Times New Roman" w:hAnsi="Times New Roman" w:cs="Times New Roman"/>
          <w:color w:val="000000"/>
          <w:sz w:val="20"/>
        </w:rPr>
        <w:t xml:space="preserve"> (GAS) and the other three muscles. Genes from clusters 1, 2 and 3 are </w:t>
      </w:r>
      <w:proofErr w:type="spellStart"/>
      <w:r w:rsidRPr="008928E0">
        <w:rPr>
          <w:rFonts w:ascii="Times New Roman" w:hAnsi="Times New Roman" w:cs="Times New Roman"/>
          <w:color w:val="000000"/>
          <w:sz w:val="20"/>
        </w:rPr>
        <w:t>colored</w:t>
      </w:r>
      <w:proofErr w:type="spellEnd"/>
      <w:r w:rsidRPr="008928E0">
        <w:rPr>
          <w:rFonts w:ascii="Times New Roman" w:hAnsi="Times New Roman" w:cs="Times New Roman"/>
          <w:color w:val="000000"/>
          <w:sz w:val="20"/>
        </w:rPr>
        <w:t xml:space="preserve"> orange, red and blue, respectively, </w:t>
      </w:r>
      <w:r w:rsidRPr="008928E0">
        <w:rPr>
          <w:rFonts w:ascii="Times New Roman" w:hAnsi="Times New Roman" w:cs="Times New Roman"/>
          <w:sz w:val="20"/>
          <w:lang w:val="en-US"/>
        </w:rPr>
        <w:t>while gray dots are genes aligned with aging PC3, but not belonging to clusters</w:t>
      </w:r>
      <w:r w:rsidRPr="008928E0">
        <w:rPr>
          <w:rFonts w:ascii="Times New Roman" w:hAnsi="Times New Roman" w:cs="Times New Roman"/>
          <w:color w:val="000000"/>
          <w:sz w:val="20"/>
        </w:rPr>
        <w:t xml:space="preserve"> 1-3. Labelled genes show a &gt; </w:t>
      </w:r>
      <w:proofErr w:type="gramStart"/>
      <w:r w:rsidRPr="008928E0">
        <w:rPr>
          <w:rFonts w:ascii="Times New Roman" w:hAnsi="Times New Roman" w:cs="Times New Roman"/>
          <w:color w:val="000000"/>
          <w:sz w:val="20"/>
        </w:rPr>
        <w:t>log</w:t>
      </w:r>
      <w:r w:rsidRPr="008928E0">
        <w:rPr>
          <w:rFonts w:ascii="Times New Roman" w:hAnsi="Times New Roman" w:cs="Times New Roman"/>
          <w:color w:val="000000"/>
          <w:sz w:val="20"/>
          <w:vertAlign w:val="subscript"/>
        </w:rPr>
        <w:t>2</w:t>
      </w:r>
      <w:r w:rsidRPr="008928E0">
        <w:rPr>
          <w:rFonts w:ascii="Times New Roman" w:hAnsi="Times New Roman" w:cs="Times New Roman"/>
          <w:color w:val="000000"/>
          <w:sz w:val="20"/>
        </w:rPr>
        <w:t>(</w:t>
      </w:r>
      <w:proofErr w:type="gramEnd"/>
      <w:r w:rsidRPr="008928E0">
        <w:rPr>
          <w:rFonts w:ascii="Times New Roman" w:hAnsi="Times New Roman" w:cs="Times New Roman"/>
          <w:color w:val="000000"/>
          <w:sz w:val="20"/>
        </w:rPr>
        <w:t xml:space="preserve">1.5) fold change between one muscle and all three other muscles. The dashed black line represents a 1:1 relationship in fold-change gene expression between muscles, while the </w:t>
      </w:r>
      <w:proofErr w:type="spellStart"/>
      <w:r w:rsidRPr="008928E0">
        <w:rPr>
          <w:rFonts w:ascii="Times New Roman" w:hAnsi="Times New Roman" w:cs="Times New Roman"/>
          <w:color w:val="000000"/>
          <w:sz w:val="20"/>
        </w:rPr>
        <w:t>gray</w:t>
      </w:r>
      <w:proofErr w:type="spellEnd"/>
      <w:r w:rsidRPr="008928E0">
        <w:rPr>
          <w:rFonts w:ascii="Times New Roman" w:hAnsi="Times New Roman" w:cs="Times New Roman"/>
          <w:color w:val="000000"/>
          <w:sz w:val="20"/>
        </w:rPr>
        <w:t xml:space="preserve"> dashed lines represent a difference of log</w:t>
      </w:r>
      <w:r w:rsidRPr="008928E0">
        <w:rPr>
          <w:rFonts w:ascii="Times New Roman" w:hAnsi="Times New Roman" w:cs="Times New Roman"/>
          <w:color w:val="000000"/>
          <w:sz w:val="20"/>
          <w:vertAlign w:val="subscript"/>
        </w:rPr>
        <w:t>2</w:t>
      </w:r>
      <w:r w:rsidRPr="008928E0">
        <w:rPr>
          <w:rFonts w:ascii="Times New Roman" w:hAnsi="Times New Roman" w:cs="Times New Roman"/>
          <w:color w:val="000000"/>
          <w:sz w:val="20"/>
        </w:rPr>
        <w:t>(1.5) fold between muscles.</w:t>
      </w:r>
    </w:p>
    <w:p w:rsidR="008928E0" w:rsidRDefault="008928E0">
      <w:pPr>
        <w:rPr>
          <w:sz w:val="16"/>
        </w:rPr>
      </w:pPr>
      <w:r>
        <w:rPr>
          <w:sz w:val="16"/>
        </w:rPr>
        <w:br w:type="page"/>
      </w:r>
    </w:p>
    <w:p w:rsidR="008928E0" w:rsidRDefault="008928E0" w:rsidP="00441455">
      <w:pPr>
        <w:jc w:val="both"/>
        <w:rPr>
          <w:sz w:val="16"/>
        </w:rPr>
      </w:pPr>
      <w:r>
        <w:rPr>
          <w:noProof/>
          <w:lang w:val="de-CH" w:eastAsia="de-CH"/>
        </w:rPr>
        <w:lastRenderedPageBreak/>
        <w:drawing>
          <wp:inline distT="0" distB="0" distL="0" distR="0" wp14:anchorId="01F00B25" wp14:editId="1CF78252">
            <wp:extent cx="5759749" cy="6168788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r="1563" b="1884"/>
                    <a:stretch/>
                  </pic:blipFill>
                  <pic:spPr bwMode="auto">
                    <a:xfrm>
                      <a:off x="0" y="0"/>
                      <a:ext cx="5761763" cy="6170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28E0" w:rsidRPr="008928E0" w:rsidRDefault="008928E0" w:rsidP="00441455">
      <w:pPr>
        <w:jc w:val="both"/>
        <w:rPr>
          <w:sz w:val="14"/>
        </w:rPr>
      </w:pPr>
      <w:r w:rsidRPr="008928E0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Figure S10. </w:t>
      </w:r>
      <w:r w:rsidRPr="008928E0">
        <w:rPr>
          <w:rFonts w:ascii="Times New Roman" w:hAnsi="Times New Roman" w:cs="Times New Roman"/>
          <w:b/>
          <w:color w:val="000000"/>
          <w:sz w:val="20"/>
        </w:rPr>
        <w:t>Application of singular value decomposition in the analysis of gene expression</w:t>
      </w:r>
      <w:r w:rsidRPr="008928E0">
        <w:rPr>
          <w:rFonts w:ascii="Times New Roman" w:hAnsi="Times New Roman" w:cs="Times New Roman"/>
          <w:color w:val="000000"/>
          <w:sz w:val="20"/>
        </w:rPr>
        <w:t xml:space="preserve">. (A) Visualisation of a toy data set in sample space with 3 samples and 26 genes. Each dot corresponds to a gene, the coordinates being the expression level of the gene in each of the three samples in log space. Grey dots correspond to genes with similar expression across all samples, while </w:t>
      </w:r>
      <w:proofErr w:type="gramStart"/>
      <w:r w:rsidRPr="008928E0">
        <w:rPr>
          <w:rFonts w:ascii="Times New Roman" w:hAnsi="Times New Roman" w:cs="Times New Roman"/>
          <w:color w:val="000000"/>
          <w:sz w:val="20"/>
        </w:rPr>
        <w:t>red and blue dots correspond, to genes that have significantly lower</w:t>
      </w:r>
      <w:proofErr w:type="gramEnd"/>
      <w:r w:rsidRPr="008928E0">
        <w:rPr>
          <w:rFonts w:ascii="Times New Roman" w:hAnsi="Times New Roman" w:cs="Times New Roman"/>
          <w:color w:val="000000"/>
          <w:sz w:val="20"/>
        </w:rPr>
        <w:t xml:space="preserve"> and higher expression in sample 3 compared to the other two samples, respectively. (B) Similar visualization of the </w:t>
      </w:r>
      <w:proofErr w:type="spellStart"/>
      <w:r w:rsidRPr="008928E0">
        <w:rPr>
          <w:rFonts w:ascii="Times New Roman" w:hAnsi="Times New Roman" w:cs="Times New Roman"/>
          <w:color w:val="000000"/>
          <w:sz w:val="20"/>
        </w:rPr>
        <w:t>centered</w:t>
      </w:r>
      <w:proofErr w:type="spellEnd"/>
      <w:r w:rsidRPr="008928E0">
        <w:rPr>
          <w:rFonts w:ascii="Times New Roman" w:hAnsi="Times New Roman" w:cs="Times New Roman"/>
          <w:color w:val="000000"/>
          <w:sz w:val="20"/>
        </w:rPr>
        <w:t xml:space="preserve"> gene expression data. (C-D) The first two principal components,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0"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 w:cs="Times New Roman"/>
                    <w:i/>
                    <w:sz w:val="20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sz w:val="20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eastAsia="Times New Roman" w:hAnsi="Cambria Math" w:cs="Times New Roman"/>
                <w:sz w:val="20"/>
                <w:lang w:val="en-US"/>
              </w:rPr>
              <m:t>1</m:t>
            </m:r>
          </m:sub>
        </m:sSub>
      </m:oMath>
      <w:r w:rsidRPr="008928E0">
        <w:rPr>
          <w:rFonts w:ascii="Times New Roman" w:eastAsia="Times New Roman" w:hAnsi="Times New Roman" w:cs="Times New Roman"/>
          <w:color w:val="000000"/>
          <w:sz w:val="20"/>
          <w:lang w:val="en-US"/>
        </w:rPr>
        <w:t xml:space="preserve"> and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0"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 w:cs="Times New Roman"/>
                    <w:i/>
                    <w:sz w:val="20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sz w:val="20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eastAsia="Times New Roman" w:hAnsi="Cambria Math" w:cs="Times New Roman"/>
                <w:sz w:val="20"/>
                <w:lang w:val="en-US"/>
              </w:rPr>
              <m:t>2</m:t>
            </m:r>
          </m:sub>
        </m:sSub>
      </m:oMath>
      <w:r w:rsidRPr="008928E0">
        <w:rPr>
          <w:rFonts w:ascii="Times New Roman" w:hAnsi="Times New Roman" w:cs="Times New Roman"/>
          <w:color w:val="000000"/>
          <w:sz w:val="20"/>
        </w:rPr>
        <w:t xml:space="preserve"> (black arrows), defining the directions (dotted lines) of highest variance between samples, and their corresponding coordin</w:t>
      </w:r>
      <w:proofErr w:type="spellStart"/>
      <w:r w:rsidRPr="008928E0">
        <w:rPr>
          <w:rFonts w:ascii="Times New Roman" w:hAnsi="Times New Roman" w:cs="Times New Roman"/>
          <w:color w:val="000000"/>
          <w:sz w:val="20"/>
        </w:rPr>
        <w:t>ates</w:t>
      </w:r>
      <w:proofErr w:type="spellEnd"/>
      <w:r w:rsidRPr="008928E0">
        <w:rPr>
          <w:rFonts w:ascii="Times New Roman" w:hAnsi="Times New Roman" w:cs="Times New Roman"/>
          <w:color w:val="000000"/>
          <w:sz w:val="20"/>
        </w:rPr>
        <w:t xml:space="preserve"> in sample space. (E) Visualization of projections (blue dashed lines) of a representative gene vector (blue arrow) on the first two PCs with the corresponding angles </w:t>
      </w:r>
      <m:oMath>
        <m:r>
          <w:rPr>
            <w:rFonts w:ascii="Cambria Math" w:hAnsi="Cambria Math" w:cs="Times New Roman"/>
            <w:color w:val="000000"/>
            <w:sz w:val="20"/>
          </w:rPr>
          <m:t>α</m:t>
        </m:r>
      </m:oMath>
      <w:r w:rsidRPr="008928E0">
        <w:rPr>
          <w:rFonts w:ascii="Times New Roman" w:hAnsi="Times New Roman" w:cs="Times New Roman"/>
          <w:color w:val="000000"/>
          <w:sz w:val="20"/>
        </w:rPr>
        <w:t xml:space="preserve"> and </w:t>
      </w:r>
      <m:oMath>
        <m:r>
          <w:rPr>
            <w:rFonts w:ascii="Cambria Math" w:hAnsi="Cambria Math" w:cs="Times New Roman"/>
            <w:color w:val="000000"/>
            <w:sz w:val="20"/>
          </w:rPr>
          <m:t>β</m:t>
        </m:r>
      </m:oMath>
      <w:r w:rsidRPr="008928E0">
        <w:rPr>
          <w:rFonts w:ascii="Times New Roman" w:hAnsi="Times New Roman" w:cs="Times New Roman"/>
          <w:color w:val="000000"/>
          <w:sz w:val="20"/>
        </w:rPr>
        <w:t xml:space="preserve"> between gene vector and PCs. Projections of gene vectors on (F) PC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0"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 w:cs="Times New Roman"/>
                    <w:i/>
                    <w:sz w:val="20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sz w:val="20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eastAsia="Times New Roman" w:hAnsi="Cambria Math" w:cs="Times New Roman"/>
                <w:sz w:val="20"/>
                <w:lang w:val="en-US"/>
              </w:rPr>
              <m:t>1</m:t>
            </m:r>
          </m:sub>
        </m:sSub>
      </m:oMath>
      <w:r w:rsidRPr="008928E0">
        <w:rPr>
          <w:rFonts w:ascii="Times New Roman" w:hAnsi="Times New Roman" w:cs="Times New Roman"/>
          <w:color w:val="000000"/>
          <w:sz w:val="20"/>
        </w:rPr>
        <w:t xml:space="preserve"> and (G) </w:t>
      </w:r>
      <w:proofErr w:type="gramStart"/>
      <w:r w:rsidRPr="008928E0">
        <w:rPr>
          <w:rFonts w:ascii="Times New Roman" w:hAnsi="Times New Roman" w:cs="Times New Roman"/>
          <w:color w:val="000000"/>
          <w:sz w:val="20"/>
        </w:rPr>
        <w:t xml:space="preserve">PC </w:t>
      </w:r>
      <w:proofErr w:type="gramEnd"/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0"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 w:cs="Times New Roman"/>
                    <w:i/>
                    <w:sz w:val="20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sz w:val="20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eastAsia="Times New Roman" w:hAnsi="Cambria Math" w:cs="Times New Roman"/>
                <w:sz w:val="20"/>
                <w:lang w:val="en-US"/>
              </w:rPr>
              <m:t>2</m:t>
            </m:r>
          </m:sub>
        </m:sSub>
      </m:oMath>
      <w:r w:rsidRPr="008928E0">
        <w:rPr>
          <w:rFonts w:ascii="Times New Roman" w:hAnsi="Times New Roman" w:cs="Times New Roman"/>
          <w:color w:val="000000"/>
          <w:sz w:val="20"/>
        </w:rPr>
        <w:t xml:space="preserve">. Pearson correlation coefficients of gene vectors with (H) PC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0"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 w:cs="Times New Roman"/>
                    <w:i/>
                    <w:sz w:val="20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sz w:val="20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eastAsia="Times New Roman" w:hAnsi="Cambria Math" w:cs="Times New Roman"/>
                <w:sz w:val="20"/>
                <w:lang w:val="en-US"/>
              </w:rPr>
              <m:t>1</m:t>
            </m:r>
          </m:sub>
        </m:sSub>
      </m:oMath>
      <w:r w:rsidRPr="008928E0">
        <w:rPr>
          <w:rFonts w:ascii="Times New Roman" w:hAnsi="Times New Roman" w:cs="Times New Roman"/>
          <w:color w:val="000000"/>
          <w:sz w:val="20"/>
        </w:rPr>
        <w:t xml:space="preserve"> and (I) </w:t>
      </w:r>
      <w:proofErr w:type="gramStart"/>
      <w:r w:rsidRPr="008928E0">
        <w:rPr>
          <w:rFonts w:ascii="Times New Roman" w:hAnsi="Times New Roman" w:cs="Times New Roman"/>
          <w:color w:val="000000"/>
          <w:sz w:val="20"/>
        </w:rPr>
        <w:t xml:space="preserve">PC </w:t>
      </w:r>
      <w:proofErr w:type="gramEnd"/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0"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 w:cs="Times New Roman"/>
                    <w:i/>
                    <w:sz w:val="20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sz w:val="20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eastAsia="Times New Roman" w:hAnsi="Cambria Math" w:cs="Times New Roman"/>
                <w:sz w:val="20"/>
                <w:lang w:val="en-US"/>
              </w:rPr>
              <m:t>2</m:t>
            </m:r>
          </m:sub>
        </m:sSub>
      </m:oMath>
      <w:r w:rsidRPr="008928E0">
        <w:rPr>
          <w:rFonts w:ascii="Times New Roman" w:hAnsi="Times New Roman" w:cs="Times New Roman"/>
          <w:color w:val="000000"/>
          <w:sz w:val="20"/>
        </w:rPr>
        <w:t xml:space="preserve">. For (F-I) each bar corresponds to a gene. Bars </w:t>
      </w:r>
      <w:proofErr w:type="gramStart"/>
      <w:r w:rsidRPr="008928E0">
        <w:rPr>
          <w:rFonts w:ascii="Times New Roman" w:hAnsi="Times New Roman" w:cs="Times New Roman"/>
          <w:color w:val="000000"/>
          <w:sz w:val="20"/>
        </w:rPr>
        <w:t>are colored</w:t>
      </w:r>
      <w:proofErr w:type="gramEnd"/>
      <w:r w:rsidRPr="008928E0">
        <w:rPr>
          <w:rFonts w:ascii="Times New Roman" w:hAnsi="Times New Roman" w:cs="Times New Roman"/>
          <w:color w:val="000000"/>
          <w:sz w:val="20"/>
        </w:rPr>
        <w:t xml:space="preserve"> as corresponding genes in A-C and E, with the order of genes preserved across all panels.</w:t>
      </w:r>
    </w:p>
    <w:sectPr w:rsidR="008928E0" w:rsidRPr="008928E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455"/>
    <w:rsid w:val="00441455"/>
    <w:rsid w:val="00656454"/>
    <w:rsid w:val="008928E0"/>
    <w:rsid w:val="00C87F77"/>
    <w:rsid w:val="00CE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965DB2"/>
  <w15:chartTrackingRefBased/>
  <w15:docId w15:val="{8A51EA5F-B50F-4AED-9ADB-3CE45689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1410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Universität Basel</Company>
  <LinksUpToDate>false</LinksUpToDate>
  <CharactersWithSpaces>10276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Jacob Ham</dc:creator>
  <cp:keywords/>
  <dc:description/>
  <cp:lastModifiedBy>Daniel Jacob Ham</cp:lastModifiedBy>
  <cp:revision>1</cp:revision>
  <dcterms:created xsi:type="dcterms:W3CDTF">2020-07-06T19:44:00Z</dcterms:created>
  <dcterms:modified xsi:type="dcterms:W3CDTF">2020-07-06T20:13:00Z</dcterms:modified>
</cp:coreProperties>
</file>