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C8A0C" w14:textId="77777777" w:rsidR="00D1645B" w:rsidRDefault="00D1645B" w:rsidP="007D3FDE">
      <w:pPr>
        <w:spacing w:after="120" w:line="480" w:lineRule="auto"/>
        <w:jc w:val="both"/>
        <w:rPr>
          <w:rFonts w:ascii="Times New Roman" w:hAnsi="Times New Roman"/>
          <w:bCs/>
          <w:sz w:val="24"/>
          <w:szCs w:val="24"/>
        </w:rPr>
      </w:pPr>
      <w:r w:rsidRPr="00D1645B">
        <w:rPr>
          <w:rFonts w:ascii="Times New Roman" w:hAnsi="Times New Roman"/>
          <w:bCs/>
          <w:sz w:val="24"/>
          <w:szCs w:val="24"/>
        </w:rPr>
        <w:t>Supplementary Information File</w:t>
      </w:r>
    </w:p>
    <w:p w14:paraId="3B46C10D" w14:textId="6ED87565" w:rsidR="00B15B87" w:rsidRDefault="00B15B87" w:rsidP="007D3FDE">
      <w:pPr>
        <w:spacing w:after="120" w:line="480" w:lineRule="auto"/>
        <w:jc w:val="both"/>
        <w:rPr>
          <w:rFonts w:ascii="Times New Roman" w:hAnsi="Times New Roman"/>
          <w:b/>
          <w:sz w:val="28"/>
          <w:szCs w:val="24"/>
        </w:rPr>
      </w:pPr>
      <w:r>
        <w:rPr>
          <w:rFonts w:ascii="Times New Roman" w:hAnsi="Times New Roman"/>
          <w:b/>
          <w:sz w:val="28"/>
          <w:szCs w:val="24"/>
        </w:rPr>
        <w:t>Estimating retention benchmarks for salvage logging to protect biodiversity</w:t>
      </w:r>
    </w:p>
    <w:p w14:paraId="2468E1EC" w14:textId="77777777" w:rsidR="00B15B87" w:rsidRPr="007D3FDE" w:rsidRDefault="00B15B87" w:rsidP="007D3FDE">
      <w:pPr>
        <w:spacing w:before="480" w:after="480" w:line="480" w:lineRule="auto"/>
        <w:jc w:val="center"/>
        <w:rPr>
          <w:rFonts w:ascii="Times New Roman" w:hAnsi="Times New Roman"/>
          <w:bCs/>
          <w:sz w:val="24"/>
          <w:szCs w:val="24"/>
        </w:rPr>
      </w:pPr>
      <w:r w:rsidRPr="007D3FDE">
        <w:rPr>
          <w:rFonts w:ascii="Times New Roman" w:hAnsi="Times New Roman"/>
          <w:bCs/>
          <w:sz w:val="24"/>
          <w:szCs w:val="24"/>
        </w:rPr>
        <w:t>Thorn et al.</w:t>
      </w:r>
    </w:p>
    <w:p w14:paraId="66AFEF2D" w14:textId="6D76936B" w:rsidR="00B15B87" w:rsidRPr="002B3AD0" w:rsidRDefault="00D1645B" w:rsidP="007D3FDE">
      <w:pPr>
        <w:spacing w:after="0" w:line="480" w:lineRule="auto"/>
        <w:jc w:val="both"/>
        <w:rPr>
          <w:rFonts w:ascii="Times New Roman" w:hAnsi="Times New Roman"/>
          <w:sz w:val="24"/>
          <w:szCs w:val="24"/>
        </w:rPr>
      </w:pPr>
      <w:r w:rsidRPr="00116FB5">
        <w:rPr>
          <w:rFonts w:ascii="Times New Roman" w:hAnsi="Times New Roman"/>
          <w:sz w:val="24"/>
          <w:szCs w:val="24"/>
          <w:lang w:val="en-GB"/>
        </w:rPr>
        <w:t>Supplementary Table</w:t>
      </w:r>
      <w:r>
        <w:rPr>
          <w:rFonts w:ascii="Times New Roman" w:hAnsi="Times New Roman"/>
          <w:i/>
          <w:iCs/>
          <w:sz w:val="24"/>
          <w:szCs w:val="24"/>
          <w:lang w:val="en-GB"/>
        </w:rPr>
        <w:t xml:space="preserve"> </w:t>
      </w:r>
      <w:r w:rsidRPr="002B3AD0">
        <w:rPr>
          <w:rFonts w:ascii="Times New Roman" w:hAnsi="Times New Roman"/>
          <w:sz w:val="24"/>
          <w:szCs w:val="24"/>
        </w:rPr>
        <w:t xml:space="preserve">1. Summary </w:t>
      </w:r>
      <w:r>
        <w:rPr>
          <w:rFonts w:ascii="Times New Roman" w:hAnsi="Times New Roman"/>
          <w:sz w:val="24"/>
          <w:szCs w:val="24"/>
        </w:rPr>
        <w:t>of</w:t>
      </w:r>
      <w:r w:rsidRPr="002B3AD0">
        <w:rPr>
          <w:rFonts w:ascii="Times New Roman" w:hAnsi="Times New Roman"/>
          <w:sz w:val="24"/>
          <w:szCs w:val="24"/>
        </w:rPr>
        <w:t xml:space="preserve"> the data </w:t>
      </w:r>
      <w:r>
        <w:rPr>
          <w:rFonts w:ascii="Times New Roman" w:hAnsi="Times New Roman"/>
          <w:sz w:val="24"/>
          <w:szCs w:val="24"/>
        </w:rPr>
        <w:t>included</w:t>
      </w:r>
      <w:r w:rsidRPr="002B3AD0">
        <w:rPr>
          <w:rFonts w:ascii="Times New Roman" w:hAnsi="Times New Roman"/>
          <w:sz w:val="24"/>
          <w:szCs w:val="24"/>
        </w:rPr>
        <w:t xml:space="preserve"> in the study.</w:t>
      </w:r>
      <w:r>
        <w:rPr>
          <w:rFonts w:ascii="Times New Roman" w:hAnsi="Times New Roman"/>
          <w:sz w:val="24"/>
          <w:szCs w:val="24"/>
        </w:rPr>
        <w:t xml:space="preserve"> Note that plot sizes refer to the size of plots given the respective references. Note that ‘not applicable’ (</w:t>
      </w:r>
      <w:proofErr w:type="spellStart"/>
      <w:r>
        <w:rPr>
          <w:rFonts w:ascii="Times New Roman" w:hAnsi="Times New Roman"/>
          <w:sz w:val="24"/>
          <w:szCs w:val="24"/>
        </w:rPr>
        <w:t>n.a.</w:t>
      </w:r>
      <w:proofErr w:type="spellEnd"/>
      <w:r>
        <w:rPr>
          <w:rFonts w:ascii="Times New Roman" w:hAnsi="Times New Roman"/>
          <w:sz w:val="24"/>
          <w:szCs w:val="24"/>
        </w:rPr>
        <w:t>) is given, if the respective surveys were conducted on a standardized number of deadwood objects (e.g. wood-inhabiting fungi) or used insect traps, where the range cannot be standardized (e.g. flight-interception traps, pitfall-traps).</w:t>
      </w:r>
    </w:p>
    <w:tbl>
      <w:tblPr>
        <w:tblW w:w="5794" w:type="pct"/>
        <w:tblInd w:w="-851" w:type="dxa"/>
        <w:tblLayout w:type="fixed"/>
        <w:tblLook w:val="0000" w:firstRow="0" w:lastRow="0" w:firstColumn="0" w:lastColumn="0" w:noHBand="0" w:noVBand="0"/>
      </w:tblPr>
      <w:tblGrid>
        <w:gridCol w:w="1136"/>
        <w:gridCol w:w="1985"/>
        <w:gridCol w:w="990"/>
        <w:gridCol w:w="870"/>
        <w:gridCol w:w="976"/>
        <w:gridCol w:w="976"/>
        <w:gridCol w:w="1005"/>
        <w:gridCol w:w="992"/>
        <w:gridCol w:w="1011"/>
        <w:gridCol w:w="572"/>
      </w:tblGrid>
      <w:tr w:rsidR="00FE0CB0" w:rsidRPr="00AC23E6" w14:paraId="68B1C67E" w14:textId="77777777" w:rsidTr="00DC5264">
        <w:trPr>
          <w:trHeight w:val="593"/>
        </w:trPr>
        <w:tc>
          <w:tcPr>
            <w:tcW w:w="540" w:type="pct"/>
            <w:tcBorders>
              <w:bottom w:val="single" w:sz="4" w:space="0" w:color="auto"/>
            </w:tcBorders>
            <w:vAlign w:val="center"/>
          </w:tcPr>
          <w:p w14:paraId="06778664" w14:textId="77777777"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Taxonomic group</w:t>
            </w:r>
          </w:p>
        </w:tc>
        <w:tc>
          <w:tcPr>
            <w:tcW w:w="944" w:type="pct"/>
            <w:tcBorders>
              <w:bottom w:val="single" w:sz="4" w:space="0" w:color="auto"/>
            </w:tcBorders>
            <w:vAlign w:val="center"/>
          </w:tcPr>
          <w:p w14:paraId="326B532A" w14:textId="7CD90B20" w:rsidR="00FE0CB0" w:rsidRPr="00AC23E6" w:rsidRDefault="00822CFE" w:rsidP="00323099">
            <w:pPr>
              <w:spacing w:after="0" w:line="240" w:lineRule="auto"/>
              <w:jc w:val="center"/>
              <w:rPr>
                <w:rFonts w:ascii="Times New Roman" w:hAnsi="Times New Roman"/>
                <w:b/>
                <w:sz w:val="14"/>
                <w:szCs w:val="18"/>
              </w:rPr>
            </w:pPr>
            <w:r>
              <w:rPr>
                <w:rFonts w:ascii="Times New Roman" w:hAnsi="Times New Roman"/>
                <w:b/>
                <w:sz w:val="14"/>
                <w:szCs w:val="18"/>
              </w:rPr>
              <w:t>L</w:t>
            </w:r>
            <w:r w:rsidR="00FE0CB0" w:rsidRPr="00AC23E6">
              <w:rPr>
                <w:rFonts w:ascii="Times New Roman" w:hAnsi="Times New Roman"/>
                <w:b/>
                <w:sz w:val="14"/>
                <w:szCs w:val="18"/>
              </w:rPr>
              <w:t>ocation</w:t>
            </w:r>
          </w:p>
        </w:tc>
        <w:tc>
          <w:tcPr>
            <w:tcW w:w="471" w:type="pct"/>
            <w:tcBorders>
              <w:bottom w:val="single" w:sz="4" w:space="0" w:color="auto"/>
            </w:tcBorders>
            <w:vAlign w:val="center"/>
          </w:tcPr>
          <w:p w14:paraId="5A624BDF" w14:textId="1029416C" w:rsidR="00FE0CB0" w:rsidRPr="00AC23E6" w:rsidRDefault="00AC23E6" w:rsidP="00323099">
            <w:pPr>
              <w:spacing w:after="0" w:line="240" w:lineRule="auto"/>
              <w:jc w:val="center"/>
              <w:rPr>
                <w:rFonts w:ascii="Times New Roman" w:hAnsi="Times New Roman"/>
                <w:b/>
                <w:sz w:val="14"/>
                <w:szCs w:val="18"/>
              </w:rPr>
            </w:pPr>
            <w:r>
              <w:rPr>
                <w:rFonts w:ascii="Times New Roman" w:hAnsi="Times New Roman"/>
                <w:b/>
                <w:sz w:val="14"/>
                <w:szCs w:val="18"/>
              </w:rPr>
              <w:t>D</w:t>
            </w:r>
            <w:r w:rsidR="00FE0CB0" w:rsidRPr="00AC23E6">
              <w:rPr>
                <w:rFonts w:ascii="Times New Roman" w:hAnsi="Times New Roman"/>
                <w:b/>
                <w:sz w:val="14"/>
                <w:szCs w:val="18"/>
              </w:rPr>
              <w:t>isturbance</w:t>
            </w:r>
          </w:p>
        </w:tc>
        <w:tc>
          <w:tcPr>
            <w:tcW w:w="414" w:type="pct"/>
            <w:tcBorders>
              <w:bottom w:val="single" w:sz="4" w:space="0" w:color="auto"/>
            </w:tcBorders>
            <w:vAlign w:val="center"/>
          </w:tcPr>
          <w:p w14:paraId="08058D25" w14:textId="01E1B4F5" w:rsidR="00FE0CB0" w:rsidRPr="00AC23E6" w:rsidRDefault="00AC23E6" w:rsidP="00323099">
            <w:pPr>
              <w:spacing w:after="0" w:line="240" w:lineRule="auto"/>
              <w:jc w:val="center"/>
              <w:rPr>
                <w:rFonts w:ascii="Times New Roman" w:hAnsi="Times New Roman"/>
                <w:b/>
                <w:sz w:val="14"/>
                <w:szCs w:val="18"/>
              </w:rPr>
            </w:pPr>
            <w:r>
              <w:rPr>
                <w:rFonts w:ascii="Times New Roman" w:hAnsi="Times New Roman"/>
                <w:b/>
                <w:sz w:val="14"/>
                <w:szCs w:val="18"/>
              </w:rPr>
              <w:t>N</w:t>
            </w:r>
            <w:r w:rsidR="00FE0CB0" w:rsidRPr="00AC23E6">
              <w:rPr>
                <w:rFonts w:ascii="Times New Roman" w:hAnsi="Times New Roman"/>
                <w:b/>
                <w:sz w:val="14"/>
                <w:szCs w:val="18"/>
              </w:rPr>
              <w:t>umber of studied years</w:t>
            </w:r>
          </w:p>
        </w:tc>
        <w:tc>
          <w:tcPr>
            <w:tcW w:w="464" w:type="pct"/>
            <w:tcBorders>
              <w:bottom w:val="single" w:sz="4" w:space="0" w:color="auto"/>
            </w:tcBorders>
            <w:vAlign w:val="center"/>
          </w:tcPr>
          <w:p w14:paraId="580483D4" w14:textId="77777777"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First studied year after disturbance</w:t>
            </w:r>
          </w:p>
        </w:tc>
        <w:tc>
          <w:tcPr>
            <w:tcW w:w="464" w:type="pct"/>
            <w:tcBorders>
              <w:bottom w:val="single" w:sz="4" w:space="0" w:color="auto"/>
            </w:tcBorders>
            <w:vAlign w:val="center"/>
          </w:tcPr>
          <w:p w14:paraId="40424F7B" w14:textId="3F6AD0B7"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Last studied year after disturbance</w:t>
            </w:r>
          </w:p>
        </w:tc>
        <w:tc>
          <w:tcPr>
            <w:tcW w:w="478" w:type="pct"/>
            <w:tcBorders>
              <w:bottom w:val="single" w:sz="4" w:space="0" w:color="auto"/>
            </w:tcBorders>
            <w:vAlign w:val="center"/>
          </w:tcPr>
          <w:p w14:paraId="4AEFF800" w14:textId="4BD37921"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 xml:space="preserve">Number of </w:t>
            </w:r>
            <w:r w:rsidR="00725205">
              <w:rPr>
                <w:rFonts w:ascii="Times New Roman" w:hAnsi="Times New Roman"/>
                <w:b/>
                <w:sz w:val="14"/>
                <w:szCs w:val="18"/>
              </w:rPr>
              <w:t xml:space="preserve">disturbed </w:t>
            </w:r>
            <w:r w:rsidRPr="00AC23E6">
              <w:rPr>
                <w:rFonts w:ascii="Times New Roman" w:hAnsi="Times New Roman"/>
                <w:b/>
                <w:sz w:val="14"/>
                <w:szCs w:val="18"/>
              </w:rPr>
              <w:t>unlogged plots</w:t>
            </w:r>
          </w:p>
        </w:tc>
        <w:tc>
          <w:tcPr>
            <w:tcW w:w="472" w:type="pct"/>
            <w:tcBorders>
              <w:bottom w:val="single" w:sz="4" w:space="0" w:color="auto"/>
            </w:tcBorders>
            <w:vAlign w:val="center"/>
          </w:tcPr>
          <w:p w14:paraId="7309FB6D" w14:textId="77777777"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Number of salvage- logged plots</w:t>
            </w:r>
          </w:p>
        </w:tc>
        <w:tc>
          <w:tcPr>
            <w:tcW w:w="481" w:type="pct"/>
            <w:tcBorders>
              <w:bottom w:val="single" w:sz="4" w:space="0" w:color="auto"/>
            </w:tcBorders>
            <w:vAlign w:val="center"/>
          </w:tcPr>
          <w:p w14:paraId="60FF8639" w14:textId="52B61CDD"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Single</w:t>
            </w:r>
            <w:r w:rsidR="00A578C2">
              <w:rPr>
                <w:rFonts w:ascii="Times New Roman" w:hAnsi="Times New Roman"/>
                <w:b/>
                <w:sz w:val="14"/>
                <w:szCs w:val="18"/>
              </w:rPr>
              <w:t xml:space="preserve"> </w:t>
            </w:r>
            <w:r w:rsidRPr="00AC23E6">
              <w:rPr>
                <w:rFonts w:ascii="Times New Roman" w:hAnsi="Times New Roman"/>
                <w:b/>
                <w:sz w:val="14"/>
                <w:szCs w:val="18"/>
              </w:rPr>
              <w:t xml:space="preserve">plot size </w:t>
            </w:r>
            <w:r w:rsidR="00822CFE">
              <w:rPr>
                <w:rFonts w:ascii="Times New Roman" w:hAnsi="Times New Roman"/>
                <w:b/>
                <w:sz w:val="14"/>
                <w:szCs w:val="18"/>
              </w:rPr>
              <w:t>[</w:t>
            </w:r>
            <w:r w:rsidRPr="00AC23E6">
              <w:rPr>
                <w:rFonts w:ascii="Times New Roman" w:hAnsi="Times New Roman"/>
                <w:b/>
                <w:sz w:val="14"/>
                <w:szCs w:val="18"/>
              </w:rPr>
              <w:t>ha</w:t>
            </w:r>
            <w:r w:rsidR="00822CFE">
              <w:rPr>
                <w:rFonts w:ascii="Times New Roman" w:hAnsi="Times New Roman"/>
                <w:b/>
                <w:sz w:val="14"/>
                <w:szCs w:val="18"/>
              </w:rPr>
              <w:t>]</w:t>
            </w:r>
          </w:p>
        </w:tc>
        <w:tc>
          <w:tcPr>
            <w:tcW w:w="272" w:type="pct"/>
            <w:tcBorders>
              <w:bottom w:val="single" w:sz="4" w:space="0" w:color="auto"/>
            </w:tcBorders>
            <w:vAlign w:val="center"/>
          </w:tcPr>
          <w:p w14:paraId="45CD1BD6" w14:textId="6C1DFD8D" w:rsidR="00FE0CB0" w:rsidRPr="00AC23E6" w:rsidRDefault="00FE0CB0" w:rsidP="00323099">
            <w:pPr>
              <w:spacing w:after="0" w:line="240" w:lineRule="auto"/>
              <w:jc w:val="center"/>
              <w:rPr>
                <w:rFonts w:ascii="Times New Roman" w:hAnsi="Times New Roman"/>
                <w:b/>
                <w:sz w:val="14"/>
                <w:szCs w:val="18"/>
              </w:rPr>
            </w:pPr>
            <w:r w:rsidRPr="00AC23E6">
              <w:rPr>
                <w:rFonts w:ascii="Times New Roman" w:hAnsi="Times New Roman"/>
                <w:b/>
                <w:sz w:val="14"/>
                <w:szCs w:val="18"/>
              </w:rPr>
              <w:t>Ref</w:t>
            </w:r>
            <w:r w:rsidR="00AC23E6">
              <w:rPr>
                <w:rFonts w:ascii="Times New Roman" w:hAnsi="Times New Roman"/>
                <w:b/>
                <w:sz w:val="14"/>
                <w:szCs w:val="18"/>
              </w:rPr>
              <w:t>.</w:t>
            </w:r>
          </w:p>
        </w:tc>
      </w:tr>
      <w:tr w:rsidR="00FE0CB0" w:rsidRPr="00AC23E6" w14:paraId="7D91CB54" w14:textId="77777777" w:rsidTr="00DC5264">
        <w:trPr>
          <w:trHeight w:val="300"/>
        </w:trPr>
        <w:tc>
          <w:tcPr>
            <w:tcW w:w="540" w:type="pct"/>
            <w:tcBorders>
              <w:top w:val="single" w:sz="4" w:space="0" w:color="auto"/>
            </w:tcBorders>
            <w:vAlign w:val="center"/>
          </w:tcPr>
          <w:p w14:paraId="0718C33E"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tcBorders>
              <w:top w:val="single" w:sz="4" w:space="0" w:color="auto"/>
            </w:tcBorders>
            <w:vAlign w:val="center"/>
          </w:tcPr>
          <w:p w14:paraId="5C06D17A"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Oregon, USA</w:t>
            </w:r>
          </w:p>
        </w:tc>
        <w:tc>
          <w:tcPr>
            <w:tcW w:w="471" w:type="pct"/>
            <w:tcBorders>
              <w:top w:val="single" w:sz="4" w:space="0" w:color="auto"/>
            </w:tcBorders>
            <w:vAlign w:val="center"/>
          </w:tcPr>
          <w:p w14:paraId="0C9F18C1" w14:textId="2456EDC8"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tcBorders>
              <w:top w:val="single" w:sz="4" w:space="0" w:color="auto"/>
            </w:tcBorders>
            <w:vAlign w:val="center"/>
          </w:tcPr>
          <w:p w14:paraId="4E855903"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tcBorders>
              <w:top w:val="single" w:sz="4" w:space="0" w:color="auto"/>
            </w:tcBorders>
            <w:vAlign w:val="center"/>
          </w:tcPr>
          <w:p w14:paraId="6CB4AB11" w14:textId="65937E29" w:rsidR="00FE0CB0" w:rsidRPr="00E87EEC" w:rsidRDefault="00326458"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64" w:type="pct"/>
            <w:tcBorders>
              <w:top w:val="single" w:sz="4" w:space="0" w:color="auto"/>
            </w:tcBorders>
            <w:vAlign w:val="center"/>
          </w:tcPr>
          <w:p w14:paraId="6A13A95A"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78" w:type="pct"/>
            <w:tcBorders>
              <w:top w:val="single" w:sz="4" w:space="0" w:color="auto"/>
            </w:tcBorders>
            <w:vAlign w:val="center"/>
          </w:tcPr>
          <w:p w14:paraId="0F54DD68"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80</w:t>
            </w:r>
          </w:p>
        </w:tc>
        <w:tc>
          <w:tcPr>
            <w:tcW w:w="472" w:type="pct"/>
            <w:tcBorders>
              <w:top w:val="single" w:sz="4" w:space="0" w:color="auto"/>
            </w:tcBorders>
            <w:vAlign w:val="center"/>
          </w:tcPr>
          <w:p w14:paraId="45BE8DFC"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85</w:t>
            </w:r>
          </w:p>
        </w:tc>
        <w:tc>
          <w:tcPr>
            <w:tcW w:w="481" w:type="pct"/>
            <w:tcBorders>
              <w:top w:val="single" w:sz="4" w:space="0" w:color="auto"/>
            </w:tcBorders>
            <w:vAlign w:val="center"/>
          </w:tcPr>
          <w:p w14:paraId="3A59E705" w14:textId="35ED202B" w:rsidR="00FE0CB0" w:rsidRPr="00E87EEC" w:rsidRDefault="00A578C2" w:rsidP="00323099">
            <w:pPr>
              <w:spacing w:after="0" w:line="240" w:lineRule="auto"/>
              <w:jc w:val="center"/>
              <w:rPr>
                <w:rFonts w:ascii="Times New Roman" w:hAnsi="Times New Roman"/>
                <w:sz w:val="14"/>
                <w:szCs w:val="18"/>
              </w:rPr>
            </w:pPr>
            <w:r w:rsidRPr="00E87EEC">
              <w:rPr>
                <w:rFonts w:ascii="Times New Roman" w:hAnsi="Times New Roman"/>
                <w:sz w:val="14"/>
                <w:szCs w:val="18"/>
              </w:rPr>
              <w:t>0.0013-0.09</w:t>
            </w:r>
          </w:p>
        </w:tc>
        <w:tc>
          <w:tcPr>
            <w:tcW w:w="272" w:type="pct"/>
            <w:tcBorders>
              <w:top w:val="single" w:sz="4" w:space="0" w:color="auto"/>
            </w:tcBorders>
            <w:vAlign w:val="center"/>
          </w:tcPr>
          <w:p w14:paraId="260088EE" w14:textId="77777777" w:rsidR="00FE0CB0" w:rsidRPr="00E87EEC" w:rsidRDefault="00FE0CB0" w:rsidP="00323099">
            <w:pPr>
              <w:spacing w:after="0" w:line="240" w:lineRule="auto"/>
              <w:jc w:val="center"/>
              <w:rPr>
                <w:rFonts w:ascii="Times New Roman" w:hAnsi="Times New Roman"/>
                <w:sz w:val="14"/>
                <w:szCs w:val="18"/>
                <w:vertAlign w:val="superscript"/>
              </w:rPr>
            </w:pPr>
            <w:r w:rsidRPr="00E87EEC">
              <w:rPr>
                <w:rFonts w:ascii="Times New Roman" w:hAnsi="Times New Roman"/>
                <w:sz w:val="14"/>
                <w:szCs w:val="18"/>
                <w:vertAlign w:val="superscript"/>
              </w:rPr>
              <w:fldChar w:fldCharType="begin" w:fldLock="1"/>
            </w:r>
            <w:r w:rsidRPr="00E87EEC">
              <w:rPr>
                <w:rFonts w:ascii="Times New Roman" w:hAnsi="Times New Roman"/>
                <w:sz w:val="14"/>
                <w:szCs w:val="18"/>
                <w:vertAlign w:val="superscript"/>
              </w:rPr>
              <w:instrText>ADDIN CSL_CITATION {"citationItems":[{"id":"ITEM-1","itemData":{"abstract":"Following severe wildfires, managing fire hazard by removing dead trees (post-fire logging) is an important issue globally. Data informing these management actions are relatively scarce, particularly how fuel loads differ by post- fire logging intensity within different environmental settings. In mixed-evergreen forests of Oregon, USA, we quantified fuel profiles 3–4 years after stand-replacement fire – assessing three post-fire logging intensities (0, 25–75, or.75%basal area cut) across two climatic settings (mesic coastal, drier interior). Stand-replacement fire consumed ,17% of aboveground biomass. Post-fire logging significantly reduced standing dead biomass, with high-intensity treatment leaving a greater proportion (28%) of felled biomass on site compared with moderate-intensity treatment (14%) because of less selective tree felling. A significant relationship between logging intensity and resulting surface fuels (per-hectare increase of 0.4–1.2Mg per square metre of basal area cut) indicated a broadly applicable predictive tool for management. Downwood cover increased by 3–5 times and became more spatially homogeneous after logging. Post-fire logging altered the fuel profile of early-seral stands (standing material removed or transferred, short-term increase in surface fuels, likely reduction in future large fuel accumulation), with moderate-intensity and unlogged treatments yielding surface fuel loads consistent with commonly prescribed levels, and high-intensity treatment resulting in greater potential need for follow-up fuel treatments.","author":[{"dropping-particle":"","family":"Donato","given":"Daniel C.","non-dropping-particle":"","parse-names":false,"suffix":""},{"dropping-particle":"","family":"Fontaine","given":"Joseph B","non-dropping-particle":"","parse-names":false,"suffix":""},{"dropping-particle":"","family":"Kauffman","given":"J Boone","non-dropping-particle":"","parse-names":false,"suffix":""},{"dropping-particle":"","family":"Robinson","given":"Douglas","non-dropping-particle":"","parse-names":false,"suffix":""},{"dropping-particle":"","family":"Law","given":"Beverly E","non-dropping-particle":"","parse-names":false,"suffix":""}],"container-title":"International Journal of Wildland Fire","id":"ITEM-1","issue":"5","issued":{"date-parts":[["2013"]]},"page":"652-666","title":"Fuel mass and forest structure following stand-replacement fire and post-fire logging in a mixed-evergreen forest","type":"article-journal","volume":"22"},"uris":["http://www.mendeley.com/documents/?uuid=87955892-f863-48ad-ab7e-f94b135803f3"]}],"mendeley":{"formattedCitation":"&lt;sup&gt;1&lt;/sup&gt;","plainTextFormattedCitation":"1","previouslyFormattedCitation":"&lt;sup&gt;1&lt;/sup&gt;"},"properties":{"noteIndex":0},"schema":"https://github.com/citation-style-language/schema/raw/master/csl-citation.json"}</w:instrText>
            </w:r>
            <w:r w:rsidRPr="00E87EEC">
              <w:rPr>
                <w:rFonts w:ascii="Times New Roman" w:hAnsi="Times New Roman"/>
                <w:sz w:val="14"/>
                <w:szCs w:val="18"/>
                <w:vertAlign w:val="superscript"/>
              </w:rPr>
              <w:fldChar w:fldCharType="separate"/>
            </w:r>
            <w:r w:rsidRPr="00E87EEC">
              <w:rPr>
                <w:rFonts w:ascii="Times New Roman" w:hAnsi="Times New Roman"/>
                <w:noProof/>
                <w:sz w:val="14"/>
                <w:szCs w:val="18"/>
                <w:vertAlign w:val="superscript"/>
              </w:rPr>
              <w:t>1</w:t>
            </w:r>
            <w:r w:rsidRPr="00E87EEC">
              <w:rPr>
                <w:rFonts w:ascii="Times New Roman" w:hAnsi="Times New Roman"/>
                <w:sz w:val="14"/>
                <w:szCs w:val="18"/>
                <w:vertAlign w:val="superscript"/>
              </w:rPr>
              <w:fldChar w:fldCharType="end"/>
            </w:r>
          </w:p>
        </w:tc>
      </w:tr>
      <w:tr w:rsidR="00FE0CB0" w:rsidRPr="00AC23E6" w14:paraId="1A768C95" w14:textId="77777777" w:rsidTr="00323099">
        <w:trPr>
          <w:trHeight w:val="300"/>
        </w:trPr>
        <w:tc>
          <w:tcPr>
            <w:tcW w:w="540" w:type="pct"/>
            <w:vAlign w:val="center"/>
          </w:tcPr>
          <w:p w14:paraId="41CB35F4"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2BE1A9C2"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Oregon, USA</w:t>
            </w:r>
          </w:p>
        </w:tc>
        <w:tc>
          <w:tcPr>
            <w:tcW w:w="471" w:type="pct"/>
            <w:vAlign w:val="center"/>
          </w:tcPr>
          <w:p w14:paraId="0B3A4255" w14:textId="5CDF86A3"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550F7BF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4E137857" w14:textId="24B4C18A" w:rsidR="00FE0CB0" w:rsidRPr="00E87EEC" w:rsidRDefault="00326458"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64" w:type="pct"/>
            <w:vAlign w:val="center"/>
          </w:tcPr>
          <w:p w14:paraId="5BFC71A1"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78" w:type="pct"/>
            <w:vAlign w:val="center"/>
          </w:tcPr>
          <w:p w14:paraId="7EA0070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64</w:t>
            </w:r>
          </w:p>
        </w:tc>
        <w:tc>
          <w:tcPr>
            <w:tcW w:w="472" w:type="pct"/>
            <w:vAlign w:val="center"/>
          </w:tcPr>
          <w:p w14:paraId="5C3A73B4"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58</w:t>
            </w:r>
          </w:p>
        </w:tc>
        <w:tc>
          <w:tcPr>
            <w:tcW w:w="481" w:type="pct"/>
            <w:vAlign w:val="center"/>
          </w:tcPr>
          <w:p w14:paraId="4975AA6A" w14:textId="047D3AEE" w:rsidR="00FE0CB0" w:rsidRPr="00E87EEC" w:rsidRDefault="008D1F5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272" w:type="pct"/>
            <w:vAlign w:val="center"/>
          </w:tcPr>
          <w:p w14:paraId="42177F2C" w14:textId="6538BBC8"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{"citationItems":[{"id":"ITEM-1","itemData":{"DOI":"10.1016/j.foreco.2008.12.030","ISSN":"03781127","author":[{"dropping-particle":"","family":"Fontaine","given":"Joseph B.","non-dropping-particle":"","parse-names":false,"suffix":""},{"dropping-particle":"","family":"Donato","given":"Daniel C.","non-dropping-particle":"","parse-names":false,"suffix":""},{"dropping-particle":"","family":"Robinson","given":"W. Douglas","non-dropping-particle":"","parse-names":false,"suffix":""},{"dropping-particle":"","family":"Law","given":"Beverly E.","non-dropping-particle":"","parse-names":false,"suffix":""},{"dropping-particle":"","family":"Kauffman","given":"J. Boone","non-dropping-particle":"","parse-names":false,"suffix":""}],"container-title":"Forest Ecology and Management","id":"ITEM-1","issue":"6","issued":{"date-parts":[["2009","3"]]},"page":"1496-1504","title":"Bird communities following high-severity fire: Response to single and repeat fires in a mixed-evergreen forest, Oregon, USA","type":"article-journal","volume":"257"},"uris":["http://www.mendeley.com/documents/?uuid=c7a6d6f4-6f51-4f9f-aab6-b8839a3c31fa"]}],"mendeley":{"formattedCitation":"&lt;sup&gt;2&lt;/sup&gt;","plainTextFormattedCitation":"2","previouslyFormattedCitation":"&lt;sup&gt;2&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2</w:t>
            </w:r>
            <w:r w:rsidRPr="00E87EEC">
              <w:rPr>
                <w:rFonts w:ascii="Times New Roman" w:hAnsi="Times New Roman"/>
                <w:sz w:val="14"/>
                <w:szCs w:val="18"/>
              </w:rPr>
              <w:fldChar w:fldCharType="end"/>
            </w:r>
          </w:p>
        </w:tc>
      </w:tr>
      <w:tr w:rsidR="00FE0CB0" w:rsidRPr="00AC23E6" w14:paraId="72037788" w14:textId="77777777" w:rsidTr="00323099">
        <w:trPr>
          <w:trHeight w:val="300"/>
        </w:trPr>
        <w:tc>
          <w:tcPr>
            <w:tcW w:w="540" w:type="pct"/>
            <w:vAlign w:val="center"/>
          </w:tcPr>
          <w:p w14:paraId="50FC028D"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6EFAAD91"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Oregon, USA</w:t>
            </w:r>
          </w:p>
        </w:tc>
        <w:tc>
          <w:tcPr>
            <w:tcW w:w="471" w:type="pct"/>
            <w:vAlign w:val="center"/>
          </w:tcPr>
          <w:p w14:paraId="21E1856B" w14:textId="6D4F77B6"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63C8298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10EDB061" w14:textId="2DC5D76E" w:rsidR="00FE0CB0" w:rsidRPr="00E87EEC" w:rsidRDefault="00326458"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099443A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17F3D29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2" w:type="pct"/>
            <w:vAlign w:val="center"/>
          </w:tcPr>
          <w:p w14:paraId="7FE2561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81" w:type="pct"/>
            <w:vAlign w:val="center"/>
          </w:tcPr>
          <w:p w14:paraId="290DF139" w14:textId="0FECA907" w:rsidR="00FE0CB0" w:rsidRPr="00E87EEC" w:rsidRDefault="006B5DE3" w:rsidP="00323099">
            <w:pPr>
              <w:spacing w:after="0" w:line="240" w:lineRule="auto"/>
              <w:jc w:val="center"/>
              <w:rPr>
                <w:rFonts w:ascii="Times New Roman" w:hAnsi="Times New Roman"/>
                <w:sz w:val="14"/>
                <w:szCs w:val="18"/>
              </w:rPr>
            </w:pPr>
            <w:r w:rsidRPr="00E87EEC">
              <w:rPr>
                <w:rFonts w:ascii="Times New Roman" w:hAnsi="Times New Roman"/>
                <w:sz w:val="14"/>
                <w:szCs w:val="18"/>
              </w:rPr>
              <w:t>2.01</w:t>
            </w:r>
          </w:p>
        </w:tc>
        <w:tc>
          <w:tcPr>
            <w:tcW w:w="272" w:type="pct"/>
            <w:vAlign w:val="center"/>
          </w:tcPr>
          <w:p w14:paraId="16EBE02A" w14:textId="2C2B1759"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{"citationItems":[{"id":"ITEM-1","itemData":{"DOI":"10.1016/j.foreco.2008.11.019","ISBN":"0378-1127","ISSN":"03781127","author":[{"dropping-particle":"","family":"Cahall","given":"Rebecca E.","non-dropping-particle":"","parse-names":false,"suffix":""},{"dropping-particle":"","family":"Hayes","given":"John P.","non-dropping-particle":"","parse-names":false,"suffix":""}],"container-title":"Forest Ecology and Management","id":"ITEM-1","issue":"3","issued":{"date-parts":[["2009","2"]]},"page":"1119-1128","title":"Influences of postfire salvage logging on forest birds in the Eastern Cascades, Oregon, USA","type":"article-journal","volume":"257"},"uris":["http://www.mendeley.com/documents/?uuid=9ffd0000-f7a1-4891-a628-ad0ac52ffd9f"]}],"mendeley":{"formattedCitation":"&lt;sup&gt;3&lt;/sup&gt;","plainTextFormattedCitation":"3","previouslyFormattedCitation":"&lt;sup&gt;3&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3</w:t>
            </w:r>
            <w:r w:rsidRPr="00E87EEC">
              <w:rPr>
                <w:rFonts w:ascii="Times New Roman" w:hAnsi="Times New Roman"/>
                <w:sz w:val="14"/>
                <w:szCs w:val="18"/>
              </w:rPr>
              <w:fldChar w:fldCharType="end"/>
            </w:r>
          </w:p>
        </w:tc>
      </w:tr>
      <w:tr w:rsidR="00FE0CB0" w:rsidRPr="00AC23E6" w14:paraId="01226918" w14:textId="77777777" w:rsidTr="00323099">
        <w:trPr>
          <w:trHeight w:val="300"/>
        </w:trPr>
        <w:tc>
          <w:tcPr>
            <w:tcW w:w="540" w:type="pct"/>
            <w:vAlign w:val="center"/>
          </w:tcPr>
          <w:p w14:paraId="0A0D992A" w14:textId="77777777" w:rsidR="00FE0CB0" w:rsidRPr="00AC23E6" w:rsidRDefault="00FE0CB0"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t>S</w:t>
            </w:r>
            <w:r w:rsidRPr="00AC23E6">
              <w:rPr>
                <w:rFonts w:ascii="Times New Roman" w:hAnsi="Times New Roman"/>
                <w:sz w:val="14"/>
                <w:szCs w:val="18"/>
              </w:rPr>
              <w:t>Saproxylic</w:t>
            </w:r>
            <w:proofErr w:type="spellEnd"/>
            <w:r w:rsidRPr="00AC23E6">
              <w:rPr>
                <w:rFonts w:ascii="Times New Roman" w:hAnsi="Times New Roman"/>
                <w:sz w:val="14"/>
                <w:szCs w:val="18"/>
              </w:rPr>
              <w:t xml:space="preserve"> beetles</w:t>
            </w:r>
          </w:p>
        </w:tc>
        <w:tc>
          <w:tcPr>
            <w:tcW w:w="944" w:type="pct"/>
            <w:vAlign w:val="center"/>
          </w:tcPr>
          <w:p w14:paraId="46B9A45E"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Alberta, Canada</w:t>
            </w:r>
          </w:p>
        </w:tc>
        <w:tc>
          <w:tcPr>
            <w:tcW w:w="471" w:type="pct"/>
            <w:vAlign w:val="center"/>
          </w:tcPr>
          <w:p w14:paraId="5AE38842" w14:textId="368F844E"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65EF2B35" w14:textId="088693A9" w:rsidR="00FE0CB0" w:rsidRPr="00E87EEC" w:rsidRDefault="00546554"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23598B4A" w14:textId="2F5FD3DE" w:rsidR="00FE0CB0" w:rsidRPr="00E87EEC" w:rsidRDefault="00546554"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3D41531A"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0E1DCF4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72" w:type="pct"/>
            <w:vAlign w:val="center"/>
          </w:tcPr>
          <w:p w14:paraId="28A5D7E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81" w:type="pct"/>
            <w:vAlign w:val="center"/>
          </w:tcPr>
          <w:p w14:paraId="7D5844C1" w14:textId="267F62E9"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3E5294C7" w14:textId="0C8D76DC"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{"citationItems":[{"id":"ITEM-1","itemData":{"DOI":"10.1111/j.1523-1739.2010.01566.x","ISBN":"0888-8892","abstract":"In Canada and the United States pressure to recoup financial costs of wildfire by harvesting burned timber is increasing, despite insufficient understanding of the ecological consequences of postfire salvage logging. We compared the species richness and composition of deadwood-associated beetle assemblages among undisturbed, recently burned, logged, and salvage-logged, boreal, mixed-wood stands. Species richness was lowest in salvage-logged stands, largely due to a negative effect of harvesting on the occurrence of wood- and bark-boring species. In comparison with undisturbed stands, the combination of wildfire and logging in salvage-logged stands had a greater effect on species composition than either disturbance alone. Strong differences in species composition among stand treatments were linked to differences in quantity and quality (e.g., decay stage) of coarse woody debris. We found that the effects of wildfire and logging on deadwood-associated beetles were synergistic, such that the effects of postfire salvage logging could not be predicted reliably on the basis of data on either disturbance alone. Thus, increases in salvage logging of burned forests may have serious negative consequences for deadwood-associated beetles and their ecological functions in early postfire successional forests.","author":[{"dropping-particle":"","family":"Cobb","given":"T. P.","non-dropping-particle":"","parse-names":false,"suffix":""},{"dropping-particle":"","family":"Morissette","given":"J. L.","non-dropping-particle":"","parse-names":false,"suffix":""},{"dropping-particle":"","family":"Jacobs","given":"J. M.","non-dropping-particle":"","parse-names":false,"suffix":""},{"dropping-particle":"","family":"Koivula","given":"M. J.","non-dropping-particle":"","parse-names":false,"suffix":""},{"dropping-particle":"","family":"Spence","given":"J. R.","non-dropping-particle":"","parse-names":false,"suffix":""},{"dropping-particle":"","family":"Langor","given":"D.W.","non-dropping-particle":"","parse-names":false,"suffix":""}],"container-title":"Conservation Biology","id":"ITEM-1","issue":"1","issued":{"date-parts":[["2011"]]},"page":"94-104","title":"Effects of postfire salvage logging on deadwood-associated beetles.","type":"article-journal","volume":"25"},"uris":["http://www.mendeley.com/documents/?uuid=9ea1cba3-a9fb-4784-b57b-b6d292b73e03"]}],"mendeley":{"formattedCitation":"&lt;sup&gt;4&lt;/sup&gt;","plainTextFormattedCitation":"4","previouslyFormattedCitation":"&lt;sup&gt;4&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4</w:t>
            </w:r>
            <w:r w:rsidRPr="00E87EEC">
              <w:rPr>
                <w:rFonts w:ascii="Times New Roman" w:hAnsi="Times New Roman"/>
                <w:sz w:val="14"/>
                <w:szCs w:val="18"/>
              </w:rPr>
              <w:fldChar w:fldCharType="end"/>
            </w:r>
          </w:p>
        </w:tc>
      </w:tr>
      <w:tr w:rsidR="00FE0CB0" w:rsidRPr="00AC23E6" w14:paraId="7C49B2F1" w14:textId="77777777" w:rsidTr="00323099">
        <w:trPr>
          <w:trHeight w:val="300"/>
        </w:trPr>
        <w:tc>
          <w:tcPr>
            <w:tcW w:w="540" w:type="pct"/>
            <w:vAlign w:val="center"/>
          </w:tcPr>
          <w:p w14:paraId="2026662F"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7C2ACFD8"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Montana, USA</w:t>
            </w:r>
          </w:p>
        </w:tc>
        <w:tc>
          <w:tcPr>
            <w:tcW w:w="471" w:type="pct"/>
            <w:vAlign w:val="center"/>
          </w:tcPr>
          <w:p w14:paraId="117494B5" w14:textId="5B2F9D76"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4079AFF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18</w:t>
            </w:r>
          </w:p>
        </w:tc>
        <w:tc>
          <w:tcPr>
            <w:tcW w:w="464" w:type="pct"/>
            <w:vAlign w:val="center"/>
          </w:tcPr>
          <w:p w14:paraId="1760196E" w14:textId="77777777" w:rsidR="00FE0CB0" w:rsidRPr="00E87EEC" w:rsidRDefault="00B01191"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CBC591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27</w:t>
            </w:r>
          </w:p>
        </w:tc>
        <w:tc>
          <w:tcPr>
            <w:tcW w:w="478" w:type="pct"/>
            <w:vAlign w:val="center"/>
          </w:tcPr>
          <w:p w14:paraId="40B3AAAA" w14:textId="058C2869"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r w:rsidR="00FE0CB0" w:rsidRPr="00E87EEC">
              <w:rPr>
                <w:rFonts w:ascii="Times New Roman" w:hAnsi="Times New Roman"/>
                <w:sz w:val="14"/>
                <w:szCs w:val="18"/>
              </w:rPr>
              <w:t>2410</w:t>
            </w:r>
          </w:p>
        </w:tc>
        <w:tc>
          <w:tcPr>
            <w:tcW w:w="472" w:type="pct"/>
            <w:vAlign w:val="center"/>
          </w:tcPr>
          <w:p w14:paraId="47A722A2" w14:textId="2D6E2715"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r w:rsidR="00FE0CB0" w:rsidRPr="00E87EEC">
              <w:rPr>
                <w:rFonts w:ascii="Times New Roman" w:hAnsi="Times New Roman"/>
                <w:sz w:val="14"/>
                <w:szCs w:val="18"/>
              </w:rPr>
              <w:t>651</w:t>
            </w:r>
          </w:p>
        </w:tc>
        <w:tc>
          <w:tcPr>
            <w:tcW w:w="481" w:type="pct"/>
            <w:vAlign w:val="center"/>
          </w:tcPr>
          <w:p w14:paraId="71E889C0" w14:textId="77777777" w:rsidR="00FE0CB0" w:rsidRPr="00E87EEC" w:rsidRDefault="00B01191" w:rsidP="00323099">
            <w:pPr>
              <w:spacing w:after="0" w:line="240" w:lineRule="auto"/>
              <w:jc w:val="center"/>
              <w:rPr>
                <w:rFonts w:ascii="Times New Roman" w:hAnsi="Times New Roman"/>
                <w:sz w:val="14"/>
                <w:szCs w:val="18"/>
              </w:rPr>
            </w:pPr>
            <w:r w:rsidRPr="00E87EEC">
              <w:rPr>
                <w:rFonts w:ascii="Times New Roman" w:hAnsi="Times New Roman"/>
                <w:sz w:val="14"/>
                <w:szCs w:val="18"/>
              </w:rPr>
              <w:t>3.14</w:t>
            </w:r>
          </w:p>
        </w:tc>
        <w:tc>
          <w:tcPr>
            <w:tcW w:w="272" w:type="pct"/>
            <w:vAlign w:val="center"/>
          </w:tcPr>
          <w:p w14:paraId="00F96FFB" w14:textId="6B5ECB33"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{"citationItems":[{"id":"ITEM-1","itemData":{"ISSN":"0091-7648","abstract":"The Northern Region Landbird Monitoring Program (NRLMP) has been in place for nearly a decade. Based on our experience with this program, we offer thoughts on monitoring goals, the need for regional programs, and the components we believe make count-based monitoring effective. The NRLMP includes a biennial bird survey conducted from permanently marked points for the purposes of long-term population-trend monitoring. Its primary strength, however, emerges from the inclusion of habitat information at each survey point, which allows rapid inference about land-use effects, and from an alternate-year focus on short-term management effects studies. Those who may be planning to initiate a regional monitoring program may want to incorporate some of the perceived strengths of, and methodology associated with, the NRLMP while avoiding some of the pitfalls we have encountered. The power to detect both population trends and management effects might then emerge not only from the efforts of individual, regionally based programs but also from the collective effort of a variety of similarly designed regional programs.","author":[{"dropping-particle":"","family":"Hutto","given":"Richard L.","non-dropping-particle":"","parse-names":false,"suffix":""},{"dropping-particle":"","family":"Young","given":"Jock","non-dropping-particle":"","parse-names":false,"suffix":""}],"container-title":"Wildlife Society Bulletin","id":"ITEM-1","issue":"3","issued":{"date-parts":[["2002"]]},"page":"738-750","title":"Regional landbird monitoring: perspectives from the Northern Rocky Mountains","type":"article-journal","volume":"30"},"uris":["http://www.mendeley.com/documents/?uuid=ca52d576-b578-489c-a6bc-d69abf4e1c3f"]}],"mendeley":{"formattedCitation":"&lt;sup&gt;5&lt;/sup&gt;","plainTextFormattedCitation":"5","previouslyFormattedCitation":"&lt;sup&gt;5&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5</w:t>
            </w:r>
            <w:r w:rsidRPr="00E87EEC">
              <w:rPr>
                <w:rFonts w:ascii="Times New Roman" w:hAnsi="Times New Roman"/>
                <w:sz w:val="14"/>
                <w:szCs w:val="18"/>
              </w:rPr>
              <w:fldChar w:fldCharType="end"/>
            </w:r>
            <w:r w:rsidRPr="00E87EEC">
              <w:rPr>
                <w:rFonts w:ascii="Times New Roman" w:hAnsi="Times New Roman"/>
                <w:sz w:val="14"/>
                <w:szCs w:val="18"/>
              </w:rPr>
              <w:t>*</w:t>
            </w:r>
          </w:p>
        </w:tc>
      </w:tr>
      <w:tr w:rsidR="00FE0CB0" w:rsidRPr="00AC23E6" w14:paraId="075543B7" w14:textId="77777777" w:rsidTr="00323099">
        <w:trPr>
          <w:trHeight w:val="300"/>
        </w:trPr>
        <w:tc>
          <w:tcPr>
            <w:tcW w:w="540" w:type="pct"/>
            <w:vAlign w:val="center"/>
          </w:tcPr>
          <w:p w14:paraId="3262C1B0" w14:textId="308B315F" w:rsidR="00FE0CB0" w:rsidRPr="00AC23E6" w:rsidRDefault="00243BD2" w:rsidP="00323099">
            <w:pPr>
              <w:spacing w:after="0" w:line="276" w:lineRule="auto"/>
              <w:jc w:val="center"/>
              <w:rPr>
                <w:rFonts w:ascii="Times New Roman" w:hAnsi="Times New Roman"/>
                <w:sz w:val="14"/>
                <w:szCs w:val="18"/>
              </w:rPr>
            </w:pPr>
            <w:r w:rsidRPr="00AC23E6">
              <w:rPr>
                <w:rFonts w:ascii="Times New Roman" w:hAnsi="Times New Roman"/>
                <w:sz w:val="14"/>
                <w:szCs w:val="18"/>
              </w:rPr>
              <w:t>Ground beetles</w:t>
            </w:r>
          </w:p>
        </w:tc>
        <w:tc>
          <w:tcPr>
            <w:tcW w:w="944" w:type="pct"/>
            <w:vAlign w:val="center"/>
          </w:tcPr>
          <w:p w14:paraId="11AD3ECD"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Alberta, Canada</w:t>
            </w:r>
          </w:p>
        </w:tc>
        <w:tc>
          <w:tcPr>
            <w:tcW w:w="471" w:type="pct"/>
            <w:vAlign w:val="center"/>
          </w:tcPr>
          <w:p w14:paraId="3E4F0B59" w14:textId="640D4CA2"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79733D1B"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4FC249A" w14:textId="525E25D7" w:rsidR="00FE0CB0" w:rsidRPr="00E87EEC" w:rsidRDefault="00AB17F5" w:rsidP="00323099">
            <w:pPr>
              <w:spacing w:after="0" w:line="240" w:lineRule="auto"/>
              <w:jc w:val="center"/>
              <w:rPr>
                <w:rFonts w:ascii="Times New Roman" w:hAnsi="Times New Roman"/>
                <w:sz w:val="14"/>
                <w:szCs w:val="18"/>
                <w:lang w:val="bg-BG"/>
              </w:rPr>
            </w:pPr>
            <w:r w:rsidRPr="00E87EEC">
              <w:rPr>
                <w:rFonts w:ascii="Times New Roman" w:hAnsi="Times New Roman"/>
                <w:sz w:val="14"/>
                <w:szCs w:val="18"/>
                <w:lang w:val="bg-BG"/>
              </w:rPr>
              <w:t>2</w:t>
            </w:r>
          </w:p>
        </w:tc>
        <w:tc>
          <w:tcPr>
            <w:tcW w:w="464" w:type="pct"/>
            <w:vAlign w:val="center"/>
          </w:tcPr>
          <w:p w14:paraId="6815021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08FDCD2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48</w:t>
            </w:r>
          </w:p>
        </w:tc>
        <w:tc>
          <w:tcPr>
            <w:tcW w:w="472" w:type="pct"/>
            <w:vAlign w:val="center"/>
          </w:tcPr>
          <w:p w14:paraId="0BB5004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48</w:t>
            </w:r>
          </w:p>
        </w:tc>
        <w:tc>
          <w:tcPr>
            <w:tcW w:w="481" w:type="pct"/>
            <w:vAlign w:val="center"/>
          </w:tcPr>
          <w:p w14:paraId="39D78D56" w14:textId="4E421D13"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1D560046" w14:textId="2636A229"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{"citationItems":[{"id":"ITEM-1","itemData":{"DOI":"10.1016/j.foreco.2006.09.004","ISBN":"0378-1127","ISSN":"03781127","abstract":"The frequency and intensity of salvage logging has recently increased in burned forests of the Canadian boreal so that post-fire areas make up a significant annual share of all harvested forest land in some years. However, little is known about how this practice affects re-establishment of animal and plant communities that already have been strongly altered by the fire. We pitfall-trapped carabid beetles (Coleoptera, Carabidae) for two consecutive years following a large-scale boreal wildfire (276,000 ha) in burned mixed-wood forests of 12 landscape units (2.5 km x 2.5 km each). These units included four salvage treatments, each replicated three times: control (no salvaging), low (ca. 20-30% of merchantable mixed-wood removed), moderate (40-50%) and high salvage intensity (60-70%). We established 16 sampling sites in each unit: on the control landscapes, all 16 sites were in un-logged stands; in low-salvage units, 4 out of 16 sites were in salvaged areas; in moderate- and high-salvage units, 8 and 12 out of 16 sites, respectively, were in salvaged areas. Salvage logging positively affected carabid species richness. However, there was an overall salvage-caused decrease in the abundance of many common forest-dwelling carabids, and an increase in the abundance of disturbance or open-habitat specialists. Interestingly, the effects of salvage logging on the total catch and several abundant forest species (e.g., Calosoma frigidum, Harpalus laevipes, Pterostichus punctatissimus, P adstrictus and Platynus decentis) appeared to be more important at the landscape level (the four landscape treatments) than at the level of sampling sites (site logged versus not). We suggest that this observation resulted from ambiguous site-level responses to salvage that collectively contributed to the (mostly negative) significant responses at the landscape level. Effects of fire severity (estimates based on tree survival) on carabids were species-specific; however, the impact of this measure was most often significant at the site, and not at the landscape, level. A Multivariate Regression Tree revealed that fire severity and the overall (pre-fire) amount of mixed-wood forest on the landscape were significant determinants of assemblage structure, with the local effects of fire severity being strongest. (c) 2006 Elsevier B.V. All rights reserved.","author":[{"dropping-particle":"","family":"Koivula","given":"Matti","non-dropping-particle":"","parse-names":false,"suffix":""},{"dropping-particle":"","family":"Spence","given":"John R.","non-dropping-particle":"","parse-names":false,"suffix":""}],"container-title":"Forest Ecology and Management","id":"ITEM-1","issue":"1","issued":{"date-parts":[["2006","11"]]},"language":"English","note":"From Duplicate 2 ( \n\nEffects of post-fire salvage logging on boreal mixed-wood ground beetle assemblages (Coleoptera, Carabidae)\n\n- Koivula, M; Spence, J R )\n\n\n\nISI Document Delivery No.: 109IX\nTimes Cited: 20\nCited Reference Count: 64\nKoivula, Matti Spence, John R.\nELSEVIER SCIENCE BV","page":"102-112","title":"Effects of post-fire salvage logging on boreal mixed-wood ground beetle assemblages (Coleoptera, Carabidae)","type":"article-journal","volume":"236"},"uris":["http://www.mendeley.com/documents/?uuid=667de72e-a9b8-4d29-b1c1-e36e6c8a7de6"]}],"mendeley":{"formattedCitation":"&lt;sup&gt;6&lt;/sup&gt;","plainTextFormattedCitation":"6","previouslyFormattedCitation":"&lt;sup&gt;6&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6</w:t>
            </w:r>
            <w:r w:rsidRPr="00E87EEC">
              <w:rPr>
                <w:rFonts w:ascii="Times New Roman" w:hAnsi="Times New Roman"/>
                <w:sz w:val="14"/>
                <w:szCs w:val="18"/>
              </w:rPr>
              <w:fldChar w:fldCharType="end"/>
            </w:r>
          </w:p>
        </w:tc>
      </w:tr>
      <w:tr w:rsidR="00FE0CB0" w:rsidRPr="00AC23E6" w14:paraId="031777C6" w14:textId="77777777" w:rsidTr="00323099">
        <w:trPr>
          <w:trHeight w:val="300"/>
        </w:trPr>
        <w:tc>
          <w:tcPr>
            <w:tcW w:w="540" w:type="pct"/>
            <w:vAlign w:val="center"/>
          </w:tcPr>
          <w:p w14:paraId="6D13857D"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20F50D97"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Alberta, Canada</w:t>
            </w:r>
          </w:p>
        </w:tc>
        <w:tc>
          <w:tcPr>
            <w:tcW w:w="471" w:type="pct"/>
            <w:vAlign w:val="center"/>
          </w:tcPr>
          <w:p w14:paraId="74171306" w14:textId="11911A34"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3441BDB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59183573" w14:textId="77777777" w:rsidR="00FE0CB0" w:rsidRPr="00E87EEC" w:rsidRDefault="009E53D9"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10C7756A"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34</w:t>
            </w:r>
          </w:p>
        </w:tc>
        <w:tc>
          <w:tcPr>
            <w:tcW w:w="478" w:type="pct"/>
            <w:vAlign w:val="center"/>
          </w:tcPr>
          <w:p w14:paraId="4EF027EB" w14:textId="713943B9"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38–</w:t>
            </w:r>
            <w:r w:rsidR="00FE0CB0" w:rsidRPr="00E87EEC">
              <w:rPr>
                <w:rFonts w:ascii="Times New Roman" w:hAnsi="Times New Roman"/>
                <w:sz w:val="14"/>
                <w:szCs w:val="18"/>
              </w:rPr>
              <w:t>40</w:t>
            </w:r>
          </w:p>
        </w:tc>
        <w:tc>
          <w:tcPr>
            <w:tcW w:w="472" w:type="pct"/>
            <w:vAlign w:val="center"/>
          </w:tcPr>
          <w:p w14:paraId="6E3835FD" w14:textId="272792B8"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40–</w:t>
            </w:r>
            <w:r w:rsidR="00FE0CB0" w:rsidRPr="00E87EEC">
              <w:rPr>
                <w:rFonts w:ascii="Times New Roman" w:hAnsi="Times New Roman"/>
                <w:sz w:val="14"/>
                <w:szCs w:val="18"/>
              </w:rPr>
              <w:t>45</w:t>
            </w:r>
          </w:p>
        </w:tc>
        <w:tc>
          <w:tcPr>
            <w:tcW w:w="481" w:type="pct"/>
            <w:vAlign w:val="center"/>
          </w:tcPr>
          <w:p w14:paraId="7D7C2005" w14:textId="77777777" w:rsidR="00FE0CB0" w:rsidRPr="00E87EEC" w:rsidRDefault="009E53D9" w:rsidP="00323099">
            <w:pPr>
              <w:spacing w:after="0" w:line="240" w:lineRule="auto"/>
              <w:jc w:val="center"/>
              <w:rPr>
                <w:rFonts w:ascii="Times New Roman" w:hAnsi="Times New Roman"/>
                <w:sz w:val="14"/>
                <w:szCs w:val="18"/>
              </w:rPr>
            </w:pPr>
            <w:r w:rsidRPr="00E87EEC">
              <w:rPr>
                <w:rFonts w:ascii="Times New Roman" w:hAnsi="Times New Roman"/>
                <w:sz w:val="14"/>
                <w:szCs w:val="18"/>
              </w:rPr>
              <w:t>0.0004</w:t>
            </w:r>
          </w:p>
        </w:tc>
        <w:tc>
          <w:tcPr>
            <w:tcW w:w="272" w:type="pct"/>
            <w:vAlign w:val="center"/>
          </w:tcPr>
          <w:p w14:paraId="1DE55C6D" w14:textId="7BB1AF31"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{"citationItems":[{"id":"ITEM-1","itemData":{"DOI":"10.1139/X07-107","ISBN":"0045-5067","ISSN":"0045-5067","abstract":"We compared understory vegetation composition and richness in aspen-dominated boreal mixedwood forest stands in Alberta, Canada, that had been burned by wildfire with those that burned and were subsequently salvage logged. Stands were examined at early and midsuccessional (2 and 34 years after disturbance(s), respectively) developmental stages. In comparison with wildfire stands, understory communities of early successional salvage-logged stands were characterized by greater species richness, weedy species presence, higher shrub abundance, and lower abundances of fire-specialist seed bank species. In constrained ordination, the understory community of early successional wildfire stands was related to greater canopy cover, sapling density, and moss depth, whereas that of salvage-logged stands was related to greater light, volume of downed deadwood, and litter and organic matter. Longer term effects of salvage logging on the understory community were minimal and, instead, reflected the influence of forest canopy redevelopment. In midsuccessional stands, understory composition was related to conifer density, litter cover, soil moisture, organic layer depth, tall shrub density, and bryophyte-covered microsite cover. Postfire salvage logging can have substantial short-term effects on the postfire understory plant community; in the longer term, effects will depend to a large extent on the influence of harvesting and subsequent management on canopy redevelopment.","author":[{"dropping-particle":"","family":"Kurulok","given":"Stephanie E","non-dropping-particle":"","parse-names":false,"suffix":""},{"dropping-particle":"","family":"Macdonald","given":"S Ellen","non-dropping-particle":"","parse-names":false,"suffix":""}],"container-title":"Canadian Journal of Forest Research","id":"ITEM-1","issue":"12","issued":{"date-parts":[["2007"]]},"note":"From Duplicate 1 (Impacts of postfire salvage logging on understory plant communities of the boreal mixedwood forest 2 and 34 years after disturbance - Kurulok, Stephanie E; Macdonald, S Ellen)\n\nFrom Duplicate 2 (Impacts of postfire salvage logging on understory plant communities of the boreal mixedwood forest 2 and 34 years after disturbance - Kurulok, Stephanie E; Macdonald, S Ellen)\n\nFrom Duplicate 2 ( \n\n\nImpacts of postfire salvage logging on understory plant communities of the boreal mixedwood forest 2 and 34 years after disturbance\n\n\n- Kurulok, Stephanie E; Macdonald, S Ellen )\n\n\n\ndoi: 10.1139/X07-107\n\nFrom Duplicate 2 (Impacts of postfire salvage logging on understory plant communities of the boreal mixedwood forest 2 and 34 years after disturbance - Kurulok, Stephanie E; Macdonald, S Ellen)\n\nFrom Duplicate 1 (Impacts of postfire salvage logging on understory plant communities of the boreal mixedwood forest 2 and 34 years after disturbance - Kurulok, Stephanie E; Macdonald, S Ellen)\n\nFrom Duplicate 2 ( \n\n\nImpacts of postfire salvage logging on understory plant communities of the boreal mixedwood forest 2 and 34 years after disturbance\n\n\n- Kurulok, Stephanie E; Macdonald, S Ellen )\n\n\n\ndoi: 10.1139/X07-107","page":"2637-2651","publisher":"NRC Research Press","title":"Impacts of postfire salvage logging on understory plant communities of the boreal mixedwood forest 2 and 34 years after disturbance","type":"article-journal","volume":"37"},"uris":["http://www.mendeley.com/documents/?uuid=f97b7ca2-9e82-4c59-b11e-d7070b30b5eb"]}],"mendeley":{"formattedCitation":"&lt;sup&gt;7&lt;/sup&gt;","plainTextFormattedCitation":"7","previouslyFormattedCitation":"&lt;sup&gt;7&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7</w:t>
            </w:r>
            <w:r w:rsidRPr="00E87EEC">
              <w:rPr>
                <w:rFonts w:ascii="Times New Roman" w:hAnsi="Times New Roman"/>
                <w:sz w:val="14"/>
                <w:szCs w:val="18"/>
              </w:rPr>
              <w:fldChar w:fldCharType="end"/>
            </w:r>
          </w:p>
        </w:tc>
      </w:tr>
      <w:tr w:rsidR="00FE0CB0" w:rsidRPr="00AC23E6" w14:paraId="2EB0A840" w14:textId="77777777" w:rsidTr="00323099">
        <w:trPr>
          <w:trHeight w:val="300"/>
        </w:trPr>
        <w:tc>
          <w:tcPr>
            <w:tcW w:w="540" w:type="pct"/>
            <w:vAlign w:val="center"/>
          </w:tcPr>
          <w:p w14:paraId="365AA6EB"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4EC263DC"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Alberta, Canada</w:t>
            </w:r>
          </w:p>
        </w:tc>
        <w:tc>
          <w:tcPr>
            <w:tcW w:w="471" w:type="pct"/>
            <w:vAlign w:val="center"/>
          </w:tcPr>
          <w:p w14:paraId="127DBB47" w14:textId="4F0F446C"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7C8649C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46C9B0A9" w14:textId="77777777" w:rsidR="00FE0CB0" w:rsidRPr="00E87EEC" w:rsidRDefault="009E53D9"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428B1AFC"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6D971C5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13</w:t>
            </w:r>
          </w:p>
        </w:tc>
        <w:tc>
          <w:tcPr>
            <w:tcW w:w="472" w:type="pct"/>
            <w:vAlign w:val="center"/>
          </w:tcPr>
          <w:p w14:paraId="59276443"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14</w:t>
            </w:r>
          </w:p>
        </w:tc>
        <w:tc>
          <w:tcPr>
            <w:tcW w:w="481" w:type="pct"/>
            <w:vAlign w:val="center"/>
          </w:tcPr>
          <w:p w14:paraId="573E47C3" w14:textId="77777777" w:rsidR="00FE0CB0" w:rsidRPr="00E87EEC" w:rsidRDefault="001F7242" w:rsidP="00323099">
            <w:pPr>
              <w:spacing w:after="0" w:line="240" w:lineRule="auto"/>
              <w:jc w:val="center"/>
              <w:rPr>
                <w:rFonts w:ascii="Times New Roman" w:hAnsi="Times New Roman"/>
                <w:sz w:val="14"/>
                <w:szCs w:val="18"/>
              </w:rPr>
            </w:pPr>
            <w:r w:rsidRPr="00E87EEC">
              <w:rPr>
                <w:rFonts w:ascii="Times New Roman" w:hAnsi="Times New Roman"/>
                <w:sz w:val="14"/>
                <w:szCs w:val="18"/>
              </w:rPr>
              <w:t>0.0004</w:t>
            </w:r>
          </w:p>
        </w:tc>
        <w:tc>
          <w:tcPr>
            <w:tcW w:w="272" w:type="pct"/>
            <w:vAlign w:val="center"/>
          </w:tcPr>
          <w:p w14:paraId="0B53F37D" w14:textId="7F32FF00"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{"citationItems":[{"id":"ITEM-1","itemData":{"DOI":"10.1016/j.foreco.2006.11.006","ISBN":"0378-1127","ISSN":"03781127","abstract":"We examined forest structure and understory vascular plant communities of aspen (Populus tremuloides)-dominated mixedwood boreal forest in Alberta, Canada that had been burned by wildfire and then subjected to one of three treatments (salvage harvested with single-tree retention, salvage harvested with patch-retention, unsalvaged control). Both salvage harvesting treatments resulted in greater cover of regenerating aspen saplings, as compared to unsalvaged controls, but there were no significant effects on vascular plant richness per plot or,B diversity. The salvage harvesting treatments differed from the unsalvaged control, but not from one another, in terms of vascular plant community composition. The significant indicators of the unsalvaged treatment were total moss cover and Geranium bicknellii, a fire specialist species. Another fire specialist, Corydalis sempervirens, was an indicator of the patch-retention treatment. Several environmental factors found to be significantly related to vascular plant composition reflected variation in burn severity, rather than the salvage-harvesting treatment. Burned-unsalvaged mixedwood forest was compared to three burned forest types that were unsalvaged because they are not considered merchantable [jack pine (Pinus banksiana), jack pine-black spruce (Picea mariana), black spruce]. The four types of forest were quite different in terms of their structure and vascular plant communities. Burned, non-merchantable forest will not serve as reserves of the post-fire plant communities typical of commercially desirable mixedwood forest, but they may harbor small populations of fire specialist species. Burn severity and pre-fire forest composition have an important influence on the post-fire community, perhaps even more than the salvage-harvesting treatments we examined. Partial salvage harvesting may be an effective way to mitigate some of the potentially negative impacts of post-fire salvaging. (c) 2006 Elsevier B.V. All rights reserved.","author":[{"dropping-particle":"","family":"Macdonald","given":"S. Ellen","non-dropping-particle":"","parse-names":false,"suffix":""}],"container-title":"Forest Ecology and Management","id":"ITEM-1","issue":"1-3","issued":{"date-parts":[["2007"]]},"note":"From Duplicate 2 (Effects of partial post-fire salvage harvesting on vegetation communities in the boreal mixedwood forest region of northeastern Alberta, Canada - Macdonald, S Ellen)\n\nFrom Duplicate 2 ( \n\n\n\n\n\n\n\n\n\n\n\n\n\n\n\n\n\n\n\n\n\nEffects of partial post-fire salvage harvesting on vegetation communities in the boreal mixedwood forest region of northeastern Alberta, Canada\n\n\n\n\n\n\n\n\n\n\n\n\n\n\n\n\n\n\n\n\n\n- Macdonald, S Ellen )\n\n\n\n\n\n\n\n\n\n\n\n\n\n\n\n\n\n\n\n\n\n\nFrom Duplicate 1 ( \n\n\n\n\n\n\n\n\n\n\n\n\n\n\n\n\n\n\n\n\n\nEffects of partial post-fire salvage harvesting on vegetation communities in the boreal mixedwood forest region of northeastern Alberta, Canada\n\n\n\n\n\n\n\n\n\n\n\n\n\n\n\n\n\n\n\n\n\n- Macdonald, S Ellen )\n\n\n\n\n\n\n\n\n\n\n\n\n\n\n\nTimes Cited: 15","page":"21-31","title":"Effects of partial post-fire salvage harvesting on vegetation communities in the boreal mixedwood forest region of northeastern Alberta, Canada","type":"article-journal","volume":"239"},"uris":["http://www.mendeley.com/documents/?uuid=435bc4a6-8df2-4bea-a110-bac5005d79dc"]}],"mendeley":{"formattedCitation":"&lt;sup&gt;8&lt;/sup&gt;","plainTextFormattedCitation":"8","previouslyFormattedCitation":"&lt;sup&gt;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8</w:t>
            </w:r>
            <w:r w:rsidRPr="00E87EEC">
              <w:rPr>
                <w:rFonts w:ascii="Times New Roman" w:hAnsi="Times New Roman"/>
                <w:sz w:val="14"/>
                <w:szCs w:val="18"/>
              </w:rPr>
              <w:fldChar w:fldCharType="end"/>
            </w:r>
          </w:p>
        </w:tc>
      </w:tr>
      <w:tr w:rsidR="00FE0CB0" w:rsidRPr="00AC23E6" w14:paraId="3577766B" w14:textId="77777777" w:rsidTr="00323099">
        <w:trPr>
          <w:trHeight w:val="288"/>
        </w:trPr>
        <w:tc>
          <w:tcPr>
            <w:tcW w:w="540" w:type="pct"/>
            <w:vAlign w:val="center"/>
          </w:tcPr>
          <w:p w14:paraId="4A336EAC"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3229AB01"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Colorado, USA</w:t>
            </w:r>
          </w:p>
        </w:tc>
        <w:tc>
          <w:tcPr>
            <w:tcW w:w="471" w:type="pct"/>
            <w:vAlign w:val="center"/>
          </w:tcPr>
          <w:p w14:paraId="03921C22" w14:textId="5EDCEAA3"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Insect outbreak</w:t>
            </w:r>
          </w:p>
        </w:tc>
        <w:tc>
          <w:tcPr>
            <w:tcW w:w="414" w:type="pct"/>
            <w:vAlign w:val="center"/>
          </w:tcPr>
          <w:p w14:paraId="174E04D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271D7B30" w14:textId="67832CDE" w:rsidR="00FE0CB0" w:rsidRPr="00E87EEC" w:rsidRDefault="00D8285B" w:rsidP="00323099">
            <w:pPr>
              <w:spacing w:after="0" w:line="240" w:lineRule="auto"/>
              <w:jc w:val="center"/>
              <w:rPr>
                <w:rFonts w:ascii="Times New Roman" w:hAnsi="Times New Roman"/>
                <w:sz w:val="14"/>
                <w:szCs w:val="18"/>
                <w:lang w:val="bg-BG"/>
              </w:rPr>
            </w:pPr>
            <w:r w:rsidRPr="00E87EEC">
              <w:rPr>
                <w:rFonts w:ascii="Times New Roman" w:hAnsi="Times New Roman"/>
                <w:sz w:val="14"/>
                <w:szCs w:val="18"/>
                <w:lang w:val="bg-BG"/>
              </w:rPr>
              <w:t>2</w:t>
            </w:r>
          </w:p>
        </w:tc>
        <w:tc>
          <w:tcPr>
            <w:tcW w:w="464" w:type="pct"/>
            <w:vAlign w:val="center"/>
          </w:tcPr>
          <w:p w14:paraId="310B9F4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25EB360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2" w:type="pct"/>
            <w:vAlign w:val="center"/>
          </w:tcPr>
          <w:p w14:paraId="4B8450FB"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81" w:type="pct"/>
            <w:vAlign w:val="center"/>
          </w:tcPr>
          <w:p w14:paraId="2E238DFE" w14:textId="4B3C918F" w:rsidR="00FE0CB0" w:rsidRPr="00E87EEC" w:rsidRDefault="00567574" w:rsidP="00323099">
            <w:pPr>
              <w:spacing w:after="0" w:line="240" w:lineRule="auto"/>
              <w:jc w:val="center"/>
              <w:rPr>
                <w:rFonts w:ascii="Times New Roman" w:hAnsi="Times New Roman"/>
                <w:sz w:val="14"/>
                <w:szCs w:val="18"/>
                <w:lang w:val="de-DE"/>
              </w:rPr>
            </w:pPr>
            <w:r w:rsidRPr="00E87EEC">
              <w:rPr>
                <w:rFonts w:ascii="Times New Roman" w:hAnsi="Times New Roman"/>
                <w:sz w:val="14"/>
                <w:szCs w:val="18"/>
                <w:lang w:val="de-DE"/>
              </w:rPr>
              <w:t>0.005</w:t>
            </w:r>
          </w:p>
        </w:tc>
        <w:tc>
          <w:tcPr>
            <w:tcW w:w="272" w:type="pct"/>
            <w:vAlign w:val="center"/>
          </w:tcPr>
          <w:p w14:paraId="250B16D4" w14:textId="2244F218"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{"citationItems":[{"id":"ITEM-1","itemData":{"DOI":"10.1016/j.foreco.2017.10.056","ISSN":"03781127","abstract":"Recent bark beetle outbreaks in western North American subalpine forests have prompted managers to salvage log some beetle-affected stands. We examined the short-term (i.e., two to three years post-treatment) consequences of such salvage logging on vascular understory plant (i.e., graminoid, forb, and shrub) communities. At 24 lodgepole pine (Pinus contorta) sites in Colorado, USA, that had been attacked by mountain pine beetles (Dendroctonus ponderosae), we evaluated how logging operations impacted understory plant species richness, cover, and composition by comparing paired unlogged and logged stands. At half of the sites, we also evaluated how logging-related slash management and site preparation activities impacted understory plant cover by comparing experimentally-implemented treatments. Average total species richness increased 18% following logging due to an increase in graminoids and forbs, while average total cover decreased 33% due to a decrease in shrubs. Experimental treatments showed that, within logged stands, average total and shrub cover were greatest where slash was retained on-site and lowest where slash was taken off-site and the soil was scarified. Average exotic species richness more than doubled after logging but values were low even in logged stands, while average exotic cover was unaffected by logging. Taken together, our results suggest that salvage logging following beetle outbreaks altered understory plant communities in the short-term by making them richer, sparser, more graminoid- and forb-dominated, less shrub-dominated, and somewhat more invaded by exotics. Our results also suggest that slash management and site preparation activities can impact the magnitude of some of the understory plant community changes brought about by logging.","author":[{"dropping-particle":"","family":"Fornwalt","given":"Paula J.","non-dropping-particle":"","parse-names":false,"suffix":""},{"dropping-particle":"","family":"Rhoades","given":"Charles C.","non-dropping-particle":"","parse-names":false,"suffix":""},{"dropping-particle":"","family":"Hubbard","given":"Robert M.","non-dropping-particle":"","parse-names":false,"suffix":""},{"dropping-particle":"","family":"Harris","given":"Rebecca L.","non-dropping-particle":"","parse-names":false,"suffix":""},{"dropping-particle":"","family":"Faist","given":"Akasha M.","non-dropping-particle":"","parse-names":false,"suffix":""},{"dropping-particle":"","family":"Bowman","given":"William D.","non-dropping-particle":"","parse-names":false,"suffix":""}],"container-title":"Forest Ecology and Management","id":"ITEM-1","issue":"July 2017","issued":{"date-parts":[["2018"]]},"page":"84-93","publisher":"Elsevier","title":"Short-term understory plant community responses to salvage logging in beetle-affected lodgepole pine forests","type":"article-journal","volume":"409"},"uris":["http://www.mendeley.com/documents/?uuid=50522866-e22a-4821-b5da-316a51851810"]}],"mendeley":{"formattedCitation":"&lt;sup&gt;9&lt;/sup&gt;","plainTextFormattedCitation":"9","previouslyFormattedCitation":"&lt;sup&gt;9&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9</w:t>
            </w:r>
            <w:r w:rsidRPr="00E87EEC">
              <w:rPr>
                <w:rFonts w:ascii="Times New Roman" w:hAnsi="Times New Roman"/>
                <w:sz w:val="14"/>
                <w:szCs w:val="18"/>
              </w:rPr>
              <w:fldChar w:fldCharType="end"/>
            </w:r>
          </w:p>
        </w:tc>
      </w:tr>
      <w:tr w:rsidR="00FE0CB0" w:rsidRPr="00AC23E6" w14:paraId="25F0892B" w14:textId="77777777" w:rsidTr="00323099">
        <w:trPr>
          <w:trHeight w:val="288"/>
        </w:trPr>
        <w:tc>
          <w:tcPr>
            <w:tcW w:w="540" w:type="pct"/>
            <w:vAlign w:val="center"/>
          </w:tcPr>
          <w:p w14:paraId="4306B193"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72D731E9"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Quebec, Canada</w:t>
            </w:r>
          </w:p>
        </w:tc>
        <w:tc>
          <w:tcPr>
            <w:tcW w:w="471" w:type="pct"/>
            <w:vAlign w:val="center"/>
          </w:tcPr>
          <w:p w14:paraId="44A2ABDC" w14:textId="560DC491"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2FA7E64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739CC9E" w14:textId="326743DB" w:rsidR="00FE0CB0" w:rsidRPr="00E87EEC" w:rsidRDefault="00E52EC2"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64" w:type="pct"/>
            <w:vAlign w:val="center"/>
          </w:tcPr>
          <w:p w14:paraId="5F6BA44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78" w:type="pct"/>
            <w:vAlign w:val="center"/>
          </w:tcPr>
          <w:p w14:paraId="3F8A6B0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12</w:t>
            </w:r>
          </w:p>
        </w:tc>
        <w:tc>
          <w:tcPr>
            <w:tcW w:w="472" w:type="pct"/>
            <w:vAlign w:val="center"/>
          </w:tcPr>
          <w:p w14:paraId="3C388B3D"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24</w:t>
            </w:r>
          </w:p>
        </w:tc>
        <w:tc>
          <w:tcPr>
            <w:tcW w:w="481" w:type="pct"/>
            <w:vAlign w:val="center"/>
          </w:tcPr>
          <w:p w14:paraId="604276A1" w14:textId="16A2DAC7" w:rsidR="00FE0CB0" w:rsidRPr="00E87EEC" w:rsidRDefault="00E52EC2" w:rsidP="00323099">
            <w:pPr>
              <w:spacing w:after="0" w:line="240" w:lineRule="auto"/>
              <w:jc w:val="center"/>
              <w:rPr>
                <w:rFonts w:ascii="Times New Roman" w:hAnsi="Times New Roman"/>
                <w:sz w:val="14"/>
                <w:szCs w:val="18"/>
              </w:rPr>
            </w:pPr>
            <w:r w:rsidRPr="00E87EEC">
              <w:rPr>
                <w:rFonts w:ascii="Times New Roman" w:hAnsi="Times New Roman"/>
                <w:sz w:val="14"/>
                <w:szCs w:val="18"/>
              </w:rPr>
              <w:t>0.0004</w:t>
            </w:r>
          </w:p>
        </w:tc>
        <w:tc>
          <w:tcPr>
            <w:tcW w:w="272" w:type="pct"/>
            <w:vAlign w:val="center"/>
          </w:tcPr>
          <w:p w14:paraId="70CDE5A9" w14:textId="3078FE40"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avsc.12061","ISSN":"14022001","author":[{"dropping-particle":"","family":"Waldron","given":"Kaysandra","non-dropping-particle":"","parse-names":false,"suffix":""},{"dropping-particle":"","family":"Ruel","given":"Jean-Claude","non-dropping-particle":"","parse-names":false,"suffix":""},{"dropping-particle":"","family":"Gauthier","given":"Sylvie","non-dropping-particle":"","parse-names":false,"suffix":""},{"dropping-particle":"","family":"Grandpré","given":"Louis","non-dropping-particle":"De","parse-names":false,"suffix":""},{"dropping-particle":"","family":"Peterson","given":"Chris J.","non-dropping-particle":"","parse-names":false,"suffix":""}],"container-title":"Applied Vegetation Science","editor":[{"dropping-particle":"","family":"Ewald","given":"Jöerg","non-dropping-particle":"","parse-names":false,"suffix":""}],"id":"ITEM-1","issue":"2","issued":{"date-parts":[["2014","4","28"]]},"page":"323-337","title":"Effects of post-windthrow salvage logging on microsites, plant composition and regeneration","type":"article-journal","volume":"17"},"uris":["http://www.mendeley.com/documents/?uuid=4b96f005-e28d-4d49-8c5b-17b240c238dc"]}],"mendeley":{"formattedCitation":"&lt;sup&gt;10&lt;/sup&gt;","plainTextFormattedCitation":"10","previouslyFormattedCitation":"&lt;sup&gt;10&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10</w:t>
            </w:r>
            <w:r w:rsidRPr="00E87EEC">
              <w:rPr>
                <w:rFonts w:ascii="Times New Roman" w:hAnsi="Times New Roman"/>
                <w:sz w:val="14"/>
                <w:szCs w:val="18"/>
              </w:rPr>
              <w:fldChar w:fldCharType="end"/>
            </w:r>
          </w:p>
        </w:tc>
      </w:tr>
      <w:tr w:rsidR="00FE0CB0" w:rsidRPr="00AC23E6" w14:paraId="1945B906" w14:textId="77777777" w:rsidTr="00323099">
        <w:trPr>
          <w:trHeight w:val="426"/>
        </w:trPr>
        <w:tc>
          <w:tcPr>
            <w:tcW w:w="540" w:type="pct"/>
            <w:vAlign w:val="center"/>
          </w:tcPr>
          <w:p w14:paraId="17CB0B5E" w14:textId="2038FB9C" w:rsidR="00FE0CB0" w:rsidRPr="00AC23E6" w:rsidRDefault="00A578C2"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rPr>
              <w:t>Epigeic</w:t>
            </w:r>
            <w:proofErr w:type="spellEnd"/>
            <w:r w:rsidRPr="00AC23E6">
              <w:rPr>
                <w:rFonts w:ascii="Times New Roman" w:hAnsi="Times New Roman"/>
                <w:sz w:val="14"/>
                <w:szCs w:val="18"/>
              </w:rPr>
              <w:t xml:space="preserve"> bryophytes</w:t>
            </w:r>
          </w:p>
        </w:tc>
        <w:tc>
          <w:tcPr>
            <w:tcW w:w="944" w:type="pct"/>
            <w:vAlign w:val="center"/>
          </w:tcPr>
          <w:p w14:paraId="637FD955"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Canary Islands, Spain</w:t>
            </w:r>
          </w:p>
        </w:tc>
        <w:tc>
          <w:tcPr>
            <w:tcW w:w="471" w:type="pct"/>
            <w:vAlign w:val="center"/>
          </w:tcPr>
          <w:p w14:paraId="3AC176F5" w14:textId="576A5BDA"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2AFD701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7C303F1" w14:textId="03CFCAC7" w:rsidR="00FE0CB0" w:rsidRPr="00E87EEC" w:rsidRDefault="00740482" w:rsidP="00323099">
            <w:pPr>
              <w:spacing w:after="0" w:line="240" w:lineRule="auto"/>
              <w:jc w:val="center"/>
              <w:rPr>
                <w:rFonts w:ascii="Times New Roman" w:hAnsi="Times New Roman"/>
                <w:sz w:val="14"/>
                <w:szCs w:val="18"/>
              </w:rPr>
            </w:pPr>
            <w:r>
              <w:rPr>
                <w:rFonts w:ascii="Times New Roman" w:hAnsi="Times New Roman"/>
                <w:sz w:val="14"/>
                <w:szCs w:val="18"/>
              </w:rPr>
              <w:t>3</w:t>
            </w:r>
          </w:p>
        </w:tc>
        <w:tc>
          <w:tcPr>
            <w:tcW w:w="464" w:type="pct"/>
            <w:vAlign w:val="center"/>
          </w:tcPr>
          <w:p w14:paraId="6F7B149B" w14:textId="659F625E" w:rsidR="00FE0CB0" w:rsidRPr="00E87EEC" w:rsidRDefault="00740482" w:rsidP="00323099">
            <w:pPr>
              <w:spacing w:after="0" w:line="240" w:lineRule="auto"/>
              <w:jc w:val="center"/>
              <w:rPr>
                <w:rFonts w:ascii="Times New Roman" w:hAnsi="Times New Roman"/>
                <w:sz w:val="14"/>
                <w:szCs w:val="18"/>
              </w:rPr>
            </w:pPr>
            <w:r>
              <w:rPr>
                <w:rFonts w:ascii="Times New Roman" w:hAnsi="Times New Roman"/>
                <w:sz w:val="14"/>
                <w:szCs w:val="18"/>
              </w:rPr>
              <w:t>3</w:t>
            </w:r>
          </w:p>
        </w:tc>
        <w:tc>
          <w:tcPr>
            <w:tcW w:w="478" w:type="pct"/>
            <w:vAlign w:val="center"/>
          </w:tcPr>
          <w:p w14:paraId="5FD27944" w14:textId="2780C713" w:rsidR="00FE0CB0" w:rsidRPr="00E87EEC" w:rsidRDefault="00FE0CB0" w:rsidP="00323099">
            <w:pPr>
              <w:spacing w:after="0" w:line="240" w:lineRule="auto"/>
              <w:jc w:val="center"/>
              <w:rPr>
                <w:rFonts w:ascii="Times New Roman" w:hAnsi="Times New Roman"/>
                <w:sz w:val="14"/>
                <w:szCs w:val="18"/>
              </w:rPr>
            </w:pPr>
            <w:proofErr w:type="spellStart"/>
            <w:r w:rsidRPr="00E87EEC">
              <w:rPr>
                <w:rFonts w:ascii="Times New Roman" w:hAnsi="Times New Roman"/>
                <w:sz w:val="14"/>
                <w:szCs w:val="18"/>
              </w:rPr>
              <w:t>86</w:t>
            </w:r>
            <w:r w:rsidR="00740482" w:rsidRPr="00740482">
              <w:rPr>
                <w:rFonts w:ascii="Times New Roman" w:hAnsi="Times New Roman"/>
                <w:sz w:val="14"/>
                <w:szCs w:val="18"/>
                <w:vertAlign w:val="superscript"/>
              </w:rPr>
              <w:t>m</w:t>
            </w:r>
            <w:proofErr w:type="spellEnd"/>
          </w:p>
        </w:tc>
        <w:tc>
          <w:tcPr>
            <w:tcW w:w="472" w:type="pct"/>
            <w:vAlign w:val="center"/>
          </w:tcPr>
          <w:p w14:paraId="28830264" w14:textId="562E2E0A" w:rsidR="00FE0CB0" w:rsidRPr="00E87EEC" w:rsidRDefault="00FE0CB0" w:rsidP="00323099">
            <w:pPr>
              <w:spacing w:after="0" w:line="240" w:lineRule="auto"/>
              <w:jc w:val="center"/>
              <w:rPr>
                <w:rFonts w:ascii="Times New Roman" w:hAnsi="Times New Roman"/>
                <w:sz w:val="14"/>
                <w:szCs w:val="18"/>
              </w:rPr>
            </w:pPr>
            <w:proofErr w:type="spellStart"/>
            <w:r w:rsidRPr="00E87EEC">
              <w:rPr>
                <w:rFonts w:ascii="Times New Roman" w:hAnsi="Times New Roman"/>
                <w:sz w:val="14"/>
                <w:szCs w:val="18"/>
              </w:rPr>
              <w:t>73</w:t>
            </w:r>
            <w:r w:rsidR="00740482" w:rsidRPr="00740482">
              <w:rPr>
                <w:rFonts w:ascii="Times New Roman" w:hAnsi="Times New Roman"/>
                <w:sz w:val="14"/>
                <w:szCs w:val="18"/>
                <w:vertAlign w:val="superscript"/>
              </w:rPr>
              <w:t>m</w:t>
            </w:r>
            <w:proofErr w:type="spellEnd"/>
          </w:p>
        </w:tc>
        <w:tc>
          <w:tcPr>
            <w:tcW w:w="481" w:type="pct"/>
            <w:vAlign w:val="center"/>
          </w:tcPr>
          <w:p w14:paraId="44FF8441" w14:textId="7B3B4527" w:rsidR="00FE0CB0" w:rsidRPr="00E87EEC" w:rsidRDefault="00E52EC2" w:rsidP="00323099">
            <w:pPr>
              <w:spacing w:after="0" w:line="240" w:lineRule="auto"/>
              <w:jc w:val="center"/>
              <w:rPr>
                <w:rFonts w:ascii="Times New Roman" w:hAnsi="Times New Roman"/>
                <w:sz w:val="14"/>
                <w:szCs w:val="18"/>
              </w:rPr>
            </w:pPr>
            <w:r w:rsidRPr="00E87EEC">
              <w:rPr>
                <w:rFonts w:ascii="Times New Roman" w:hAnsi="Times New Roman"/>
                <w:sz w:val="14"/>
                <w:szCs w:val="18"/>
              </w:rPr>
              <w:t>0.01</w:t>
            </w:r>
          </w:p>
        </w:tc>
        <w:tc>
          <w:tcPr>
            <w:tcW w:w="272" w:type="pct"/>
            <w:vAlign w:val="center"/>
          </w:tcPr>
          <w:p w14:paraId="198187DC" w14:textId="75464525"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{"citationItems":[{"id":"ITEM-1","itemData":{"DOI":"10.3390/f8070252","ISBN":"1999-4907","ISSN":"19994907","abstract":"Post-fire salvage logging (SL) is a common management action that involves the harvesting of burnt trees. As a consequence, a large amount of biological legacies in the form of logs and other coarse woody debris are removed from the post-fire habitat, creating a more simplified landscape. Therefore, SL could act as an additional disturbance over that produced by fire. In this study, we seek to determine the effect of SL on the regeneration of the bryophyte community of a laurel forest from the Canary Islands (Spain). We hypothesized that SL will act as an additional disturbance and, consequently, salvaged areas will have a higher difference in community composition with respect to a reference ecosystem (RE). Mosses and liverworts were sampled 22 months after the salvage operations in salvaged plots, non-salvaged, and in an RE represented by areas of the original forest. Species richness did not differ between salvage and non-salvaged treatments. However, multivariate analysis and species-indicator analysis showed that non-salvaged plots had a composition closer to that of the RE, with a higher proportion of closed-canopy, perennial, and long-lived species, as well as some epiphytes. By contrast, salvaged plots were dominated by early-successional terrestrial species and species preferring open habitats. We conclude that post-fire SL represents an additional disturbance that further delays succession, a result that is consistent with previous studies using other taxonomic groups. SL should therefore be avoided or, if implemented, the possibility of leaving part of the post-fire biological legacies in situ should be considered.","author":[{"dropping-particle":"","family":"Hernández-Hernández","given":"Raquel","non-dropping-particle":"","parse-names":false,"suffix":""},{"dropping-particle":"","family":"Castro","given":"Jorge","non-dropping-particle":"","parse-names":false,"suffix":""},{"dropping-particle":"","family":"Arco Aguilar","given":"Marcelino","non-dropping-particle":"Del","parse-names":false,"suffix":""},{"dropping-particle":"","family":"Fernández-López","given":"Ángel B.","non-dropping-particle":"","parse-names":false,"suffix":""},{"dropping-particle":"","family":"González-Mancebo","given":"Juana María","non-dropping-particle":"","parse-names":false,"suffix":""}],"container-title":"Forests","id":"ITEM-1","issue":"7","issued":{"date-parts":[["2017"]]},"page":"1-16","title":"Post-fire salvage logging imposes a new disturbance that retards succession: The case of bryophyte communities in a Macaronesian laurel forest","type":"article-journal","volume":"8"},"uris":["http://www.mendeley.com/documents/?uuid=bb59d882-f2d6-43ac-8df8-1357e3ea781c"]}],"mendeley":{"formattedCitation":"&lt;sup&gt;11&lt;/sup&gt;","plainTextFormattedCitation":"11","previouslyFormattedCitation":"&lt;sup&gt;11&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11</w:t>
            </w:r>
            <w:r w:rsidRPr="00E87EEC">
              <w:rPr>
                <w:rFonts w:ascii="Times New Roman" w:hAnsi="Times New Roman"/>
                <w:sz w:val="14"/>
                <w:szCs w:val="18"/>
              </w:rPr>
              <w:fldChar w:fldCharType="end"/>
            </w:r>
          </w:p>
        </w:tc>
      </w:tr>
      <w:tr w:rsidR="00FE0CB0" w:rsidRPr="00AC23E6" w14:paraId="20E84033" w14:textId="77777777" w:rsidTr="00323099">
        <w:trPr>
          <w:trHeight w:val="288"/>
        </w:trPr>
        <w:tc>
          <w:tcPr>
            <w:tcW w:w="540" w:type="pct"/>
            <w:vAlign w:val="center"/>
          </w:tcPr>
          <w:p w14:paraId="22D7D434"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4CF48B22"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Sierra Nevada, Spain</w:t>
            </w:r>
          </w:p>
        </w:tc>
        <w:tc>
          <w:tcPr>
            <w:tcW w:w="471" w:type="pct"/>
            <w:vAlign w:val="center"/>
          </w:tcPr>
          <w:p w14:paraId="5C8A72B0" w14:textId="483CB7FE"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465EB3E3"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3A27DF29" w14:textId="2847DBA5" w:rsidR="00FE0CB0" w:rsidRPr="00E87EEC" w:rsidRDefault="00933EAD"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26A8FD9D"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p>
        </w:tc>
        <w:tc>
          <w:tcPr>
            <w:tcW w:w="478" w:type="pct"/>
            <w:vAlign w:val="center"/>
          </w:tcPr>
          <w:p w14:paraId="3C16421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9</w:t>
            </w:r>
          </w:p>
        </w:tc>
        <w:tc>
          <w:tcPr>
            <w:tcW w:w="472" w:type="pct"/>
            <w:vAlign w:val="center"/>
          </w:tcPr>
          <w:p w14:paraId="3CF1F57F"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18</w:t>
            </w:r>
          </w:p>
        </w:tc>
        <w:tc>
          <w:tcPr>
            <w:tcW w:w="481" w:type="pct"/>
            <w:vAlign w:val="center"/>
          </w:tcPr>
          <w:p w14:paraId="2963E91F" w14:textId="1D6204AF" w:rsidR="00FE0CB0" w:rsidRPr="00E87EEC" w:rsidRDefault="00A578C2" w:rsidP="00323099">
            <w:pPr>
              <w:spacing w:after="0" w:line="240" w:lineRule="auto"/>
              <w:jc w:val="center"/>
              <w:rPr>
                <w:rFonts w:ascii="Times New Roman" w:hAnsi="Times New Roman"/>
                <w:sz w:val="14"/>
                <w:szCs w:val="18"/>
              </w:rPr>
            </w:pPr>
            <w:r w:rsidRPr="00E87EEC">
              <w:rPr>
                <w:rFonts w:ascii="Times New Roman" w:hAnsi="Times New Roman"/>
                <w:sz w:val="14"/>
                <w:szCs w:val="18"/>
              </w:rPr>
              <w:t>2.7</w:t>
            </w:r>
          </w:p>
        </w:tc>
        <w:tc>
          <w:tcPr>
            <w:tcW w:w="272" w:type="pct"/>
            <w:vAlign w:val="center"/>
          </w:tcPr>
          <w:p w14:paraId="78F317E2" w14:textId="0ACF2B02"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{"citationItems":[{"id":"ITEM-1","itemData":{"DOI":"10.1111/j.1523-1739.2009.01382.x","ISBN":"0888-8892","abstract":"There is an intense debate about the effects of postfire salvage logging versus nonintervention policies on regeneration of forest communities, but scant information from experimental studies is available. We manipulated a burned forest area on a Mediterranean mountain to experimentally analyze the effect of salvage logging on bird-species abundance, diversity, and assemblage composition. We used a randomized block design with three plots of approximately 25 ha each, established along an elevational gradient in a recently burned area in Sierra Nevada Natural and National Park (southeastern Spain). Three replicates of three treatments differing in postfire burned wood management were established per plot: salvage logging, nonintervention, and an intermediate degree of intervention (felling and lopping most of the trees but leaving all the biomass). Starting 1 year after the fire, we used point sampling to monitor bird abundance in each treatment for 2 consecutive years during the breeding and winter seasons (720 censuses total). Postfire burned-wood management altered species assemblages. Salvage logged areas had species typical of open-and early-successional habitats. Bird species that inhabit forests were still present in the unsalvaged treatments even though trees were burned, but were almost absent in salvage-logged areas. Indeed, the main dispersers of mid-and late-successional shrubs and trees, such as thrushes (Turdus spp.) and the European Jay (Garrulus glandarius) were almost restricted to unsalvaged treatments. Salvage logging might thus hamper the natural regeneration of the forest through its impact on assemblages of bird species. Moreover, salvage logging reduced species abundance by 50% and richness by 40%, approximately. The highest diversity at the landscape level (gamma diversity) resulted from a combination of all treatments. Salvage logging may be positive for bird conservation if combined in a mosaic with other, less-aggressive postfire management, but stand-wide management with harvest operations has undesirable conservation effects.","author":[{"dropping-particle":"","family":"Castro","given":"Jorge","non-dropping-particle":"","parse-names":false,"suffix":""},{"dropping-particle":"","family":"Moreno-Rueda","given":"Gregorio","non-dropping-particle":"","parse-names":false,"suffix":""},{"dropping-particle":"","family":"Hódar","given":"José","non-dropping-particle":"","parse-names":false,"suffix":""}],"container-title":"Conservation Biology","id":"ITEM-1","issue":"3","issued":{"date-parts":[["2010"]]},"page":"810-819","title":"Experimental test of postfire management in pine forests: impact of salvage logging versus partial cutting and nonintervention on bird-species assemblages","type":"article-journal","volume":"24"},"uris":["http://www.mendeley.com/documents/?uuid=90d6f0a7-2374-40de-befe-410905a478f1"]}],"mendeley":{"formattedCitation":"&lt;sup&gt;12&lt;/sup&gt;","plainTextFormattedCitation":"12","previouslyFormattedCitation":"&lt;sup&gt;12&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12</w:t>
            </w:r>
            <w:r w:rsidRPr="00E87EEC">
              <w:rPr>
                <w:rFonts w:ascii="Times New Roman" w:hAnsi="Times New Roman"/>
                <w:sz w:val="14"/>
                <w:szCs w:val="18"/>
              </w:rPr>
              <w:fldChar w:fldCharType="end"/>
            </w:r>
          </w:p>
        </w:tc>
      </w:tr>
      <w:tr w:rsidR="00FE0CB0" w:rsidRPr="00AC23E6" w14:paraId="739DD74E" w14:textId="77777777" w:rsidTr="00323099">
        <w:trPr>
          <w:trHeight w:val="280"/>
        </w:trPr>
        <w:tc>
          <w:tcPr>
            <w:tcW w:w="540" w:type="pct"/>
            <w:vAlign w:val="center"/>
          </w:tcPr>
          <w:p w14:paraId="08F3AB30"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06FB0EEE"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Sierra Nevada, Spain</w:t>
            </w:r>
          </w:p>
        </w:tc>
        <w:tc>
          <w:tcPr>
            <w:tcW w:w="471" w:type="pct"/>
            <w:vAlign w:val="center"/>
          </w:tcPr>
          <w:p w14:paraId="687886AB" w14:textId="21FE3996"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72D32F8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2AD32CFB" w14:textId="09694D40" w:rsidR="00FE0CB0" w:rsidRPr="00E87EEC" w:rsidRDefault="00043212"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0271520F"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78" w:type="pct"/>
            <w:vAlign w:val="center"/>
          </w:tcPr>
          <w:p w14:paraId="5065B7C1"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9</w:t>
            </w:r>
          </w:p>
        </w:tc>
        <w:tc>
          <w:tcPr>
            <w:tcW w:w="472" w:type="pct"/>
            <w:vAlign w:val="center"/>
          </w:tcPr>
          <w:p w14:paraId="69474AB1"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9</w:t>
            </w:r>
          </w:p>
        </w:tc>
        <w:tc>
          <w:tcPr>
            <w:tcW w:w="481" w:type="pct"/>
            <w:vAlign w:val="center"/>
          </w:tcPr>
          <w:p w14:paraId="6F096880" w14:textId="58806418" w:rsidR="00FE0CB0" w:rsidRPr="00E87EEC" w:rsidRDefault="001230E6" w:rsidP="00323099">
            <w:pPr>
              <w:spacing w:after="0" w:line="240" w:lineRule="auto"/>
              <w:jc w:val="center"/>
              <w:rPr>
                <w:rFonts w:ascii="Times New Roman" w:hAnsi="Times New Roman"/>
                <w:sz w:val="14"/>
                <w:szCs w:val="18"/>
              </w:rPr>
            </w:pPr>
            <w:r w:rsidRPr="00E87EEC">
              <w:rPr>
                <w:rFonts w:ascii="Times New Roman" w:hAnsi="Times New Roman"/>
                <w:sz w:val="14"/>
                <w:szCs w:val="18"/>
              </w:rPr>
              <w:t>2.7</w:t>
            </w:r>
          </w:p>
        </w:tc>
        <w:tc>
          <w:tcPr>
            <w:tcW w:w="272" w:type="pct"/>
            <w:vAlign w:val="center"/>
          </w:tcPr>
          <w:p w14:paraId="56FAEE89" w14:textId="16E92BC1"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{"citationItems":[{"id":"ITEM-1","itemData":{"DOI":"10.1016/j.jenvman.2013.12.014","ISSN":"1095-8630","PMID":"24412981","abstract":"An intense debate exists on the effects of post-fire salvage logging on plant community regeneration, but scant data are available derived from experimental studies. We analyzed the effects of salvage logging on plant community regeneration in terms of species richness, diversity, cover, and composition by experimentally managing a burnt forest on a Mediterranean mountain (Sierra Nevada, S Spain). In each of three plots located at different elevations, three replicates of three treatments were implemented seven months after the fire, differing in the degree of intervention: \"Non-Intervention\" (all trees left standing), \"Partial Cut plus Lopping\" (felling 90% of the trees, cutting the main branches, and leaving all the biomass in situ), and \"Salvage Logging\" (felling and piling the logs, and masticating the woody debris). Plant composition in each treatment was monitored two years after the fire in linear point transects. Post-fire salvage logging was associated with reduced species richness, Shannon diversity, and total plant cover. Moreover, salvaged sites hosted different species assemblages and 25% lower cover of seeder species (but equal cover of resprouters) compared to the other treatments. Cover of trees and shrubs was also lowest in Salvage Logging, which could suggest a potential slow-down of forest regeneration. Most of these results were consistent among the three plots despite plots hosting different plant communities. Concluding, our study suggests that salvage logging may reduce species richness and diversity, as well as the recruitment of woody species, which could delay the natural regeneration of the ecosystem.","author":[{"dropping-particle":"","family":"Leverkus","given":"Alexandro B","non-dropping-particle":"","parse-names":false,"suffix":""},{"dropping-particle":"","family":"Lorite","given":"Juan","non-dropping-particle":"","parse-names":false,"suffix":""},{"dropping-particle":"","family":"Navarro","given":"Francisco B","non-dropping-particle":"","parse-names":false,"suffix":""},{"dropping-particle":"","family":"Sánchez-Cañete","given":"Enrique P","non-dropping-particle":"","parse-names":false,"suffix":""},{"dropping-particle":"","family":"Castro","given":"Jorge","non-dropping-particle":"","parse-names":false,"suffix":""}],"container-title":"Journal of environmental management","id":"ITEM-1","issued":{"date-parts":[["2014","1","15"]]},"note":"        From Duplicate 2 (                           Impacts of postfire salvage logging on understory plant communities of the boreal mixedwood forest 2 and 34 years after disturbance                         - Kurulok, Stephanie E; Macdonald, S Ellen )\n                \ndoi: 10.1139/X07-107\n        \n      ","page":"323-31","publisher":"Elsevier Ltd","title":"Post-fire salvage logging alters species composition and reduces cover, richness, and diversity in Mediterranean plant communities.","type":"article-journal","volume":"133"},"uris":["http://www.mendeley.com/documents/?uuid=5ddd6888-1ba9-427b-8628-adc9850bdfda"]}],"mendeley":{"formattedCitation":"&lt;sup&gt;13&lt;/sup&gt;","plainTextFormattedCitation":"13","previouslyFormattedCitation":"&lt;sup&gt;13&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13</w:t>
            </w:r>
            <w:r w:rsidRPr="00E87EEC">
              <w:rPr>
                <w:rFonts w:ascii="Times New Roman" w:hAnsi="Times New Roman"/>
                <w:sz w:val="14"/>
                <w:szCs w:val="18"/>
              </w:rPr>
              <w:fldChar w:fldCharType="end"/>
            </w:r>
          </w:p>
        </w:tc>
      </w:tr>
      <w:tr w:rsidR="00FE0CB0" w:rsidRPr="00AC23E6" w14:paraId="758B2494" w14:textId="77777777" w:rsidTr="00323099">
        <w:trPr>
          <w:trHeight w:val="288"/>
        </w:trPr>
        <w:tc>
          <w:tcPr>
            <w:tcW w:w="540" w:type="pct"/>
            <w:vAlign w:val="center"/>
          </w:tcPr>
          <w:p w14:paraId="0959CDDD"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553B5AF2"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Catalonia, Spain</w:t>
            </w:r>
          </w:p>
        </w:tc>
        <w:tc>
          <w:tcPr>
            <w:tcW w:w="471" w:type="pct"/>
            <w:vAlign w:val="center"/>
          </w:tcPr>
          <w:p w14:paraId="611CD093" w14:textId="17AD51E3"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297A8F5D"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5DDAB534" w14:textId="281FD323" w:rsidR="00FE0CB0" w:rsidRPr="00E87EEC" w:rsidRDefault="00CB571C"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2A66849A"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p>
        </w:tc>
        <w:tc>
          <w:tcPr>
            <w:tcW w:w="478" w:type="pct"/>
            <w:vAlign w:val="center"/>
          </w:tcPr>
          <w:p w14:paraId="39F9D353" w14:textId="378356D6"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15–</w:t>
            </w:r>
            <w:r w:rsidR="00FE0CB0" w:rsidRPr="00E87EEC">
              <w:rPr>
                <w:rFonts w:ascii="Times New Roman" w:hAnsi="Times New Roman"/>
                <w:sz w:val="14"/>
                <w:szCs w:val="18"/>
              </w:rPr>
              <w:t>42</w:t>
            </w:r>
          </w:p>
        </w:tc>
        <w:tc>
          <w:tcPr>
            <w:tcW w:w="472" w:type="pct"/>
            <w:vAlign w:val="center"/>
          </w:tcPr>
          <w:p w14:paraId="402CE6A7" w14:textId="672E6730"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16–</w:t>
            </w:r>
            <w:r w:rsidR="00FE0CB0" w:rsidRPr="00E87EEC">
              <w:rPr>
                <w:rFonts w:ascii="Times New Roman" w:hAnsi="Times New Roman"/>
                <w:sz w:val="14"/>
                <w:szCs w:val="18"/>
              </w:rPr>
              <w:t>43</w:t>
            </w:r>
          </w:p>
        </w:tc>
        <w:tc>
          <w:tcPr>
            <w:tcW w:w="481" w:type="pct"/>
            <w:vAlign w:val="center"/>
          </w:tcPr>
          <w:p w14:paraId="159963CC"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3.7</w:t>
            </w:r>
          </w:p>
        </w:tc>
        <w:tc>
          <w:tcPr>
            <w:tcW w:w="272" w:type="pct"/>
            <w:vAlign w:val="center"/>
          </w:tcPr>
          <w:p w14:paraId="38963565" w14:textId="7BA21ADF"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{"citationItems":[{"id":"ITEM-1","itemData":{"DOI":"10.1111/j.1365-2664.2012.02127.x","ISBN":"0021-8901","abstract":"1. Postfire salvage logging is the most commonly applied forestry practice in burned forests world-wide, mainly for economic reasons. However, it strongly affects bird communities and is generally considered to be detrimental for bird conservation. In Europe, many open-habitat species are currently declining owing to land use changes. Wildfires, which are common disturbances in the Mediterranean Basin, can create suitable habitat for these species but the effect of postfire salvage logging on bird communities is unknown. 2. We surveyed breeding birds in two burned secondary pine forests from the western Mediterranean Basin and analysed the effect of salvage logging and vegetation regeneration as determinants of individual species and community parameters. We used a pseudoexperimental before-after-control-impact approach to study the changes in the bird community during the first three springs after fire. 3. Most bird species were affected by salvage logging (measured by snag density), a relationship that was positive for forest birds and negative for open-habitat species. Species linked to shrub and edge habitats were positively affected by vegetation regrowth. Bird communities in logged areas held more species of conservation concern than those in unlogged areas. Species richness and overall density tended to decrease from the first to the second year after fire and to increase from the second to the third. 4. Salvage logging benefits a number of open-habitat species, although its effect on bird conservation depends strongly on the specific threats that birds face in each region or ecosystem. 5. Synthesis and applications. In the Mediterranean Basin, some postfire salvage logging of pine forests can be compatible with bird conservation. We recommend that managers retain some standing dead trees during logging operations and that logged forest is interspersed with unlogged stands. This will provide suitable habitat for the widest range of species.","author":[{"dropping-particle":"","family":"Rost","given":"Josep","non-dropping-particle":"","parse-names":false,"suffix":""},{"dropping-particle":"","family":"Clavero","given":"Miguel","non-dropping-particle":"","parse-names":false,"suffix":""},{"dropping-particle":"","family":"Brotons","given":"Lluı","non-dropping-particle":"","parse-names":false,"suffix":""},{"dropping-particle":"","family":"Pons","given":"Pere","non-dropping-particle":"","parse-names":false,"suffix":""}],"container-title":"Journal of Applied Ecology","id":"ITEM-1","issue":"3","issued":{"date-parts":[["2012"]]},"note":"From Duplicate 3 ( The effect of postfire salvage logging on bird communities in Mediterranean pine forests: the benefits for declining species - Rost, Josep; Clavero, Miguel; Brotons, Lluı; Pons, Pere )\n\nFrom Duplicate 1 ( Are butterflies and moths suitable ecological indicator systems for restoration measures of semi-natural calcareous grassland habitats? - Rákosy, László; Schmitt, Thomas )\n\n\n\nFrom Duplicate 2 ( Are butterflies and moths suitable ecological indicator systems for restoration measures of semi-natural calcareous grassland habitats? - Rakosy, L; Schmitt, T )\n\nRakosy, Laszlo Schmitt, Thomas","page":"644-651","title":"The effect of postfire salvage logging on bird communities in Mediterranean pine forests: the benefits for declining species","type":"article-journal","volume":"49"},"uris":["http://www.mendeley.com/documents/?uuid=a0eb8411-5e0c-4330-98ad-cad1446c9eac"]}],"mendeley":{"formattedCitation":"&lt;sup&gt;14&lt;/sup&gt;","plainTextFormattedCitation":"14","previouslyFormattedCitation":"&lt;sup&gt;14&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14</w:t>
            </w:r>
            <w:r w:rsidRPr="00E87EEC">
              <w:rPr>
                <w:rFonts w:ascii="Times New Roman" w:hAnsi="Times New Roman"/>
                <w:sz w:val="14"/>
                <w:szCs w:val="18"/>
              </w:rPr>
              <w:fldChar w:fldCharType="end"/>
            </w:r>
          </w:p>
        </w:tc>
      </w:tr>
      <w:tr w:rsidR="00FE0CB0" w:rsidRPr="00AC23E6" w14:paraId="06E5FBC9" w14:textId="77777777" w:rsidTr="00323099">
        <w:trPr>
          <w:trHeight w:val="288"/>
        </w:trPr>
        <w:tc>
          <w:tcPr>
            <w:tcW w:w="540" w:type="pct"/>
            <w:vAlign w:val="center"/>
          </w:tcPr>
          <w:p w14:paraId="76072724" w14:textId="34DB7242" w:rsidR="00FE0CB0" w:rsidRPr="00AC23E6" w:rsidRDefault="00D5401D"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rPr>
              <w:t>Epigeic</w:t>
            </w:r>
            <w:proofErr w:type="spellEnd"/>
            <w:r w:rsidRPr="00AC23E6">
              <w:rPr>
                <w:rFonts w:ascii="Times New Roman" w:hAnsi="Times New Roman"/>
                <w:sz w:val="14"/>
                <w:szCs w:val="18"/>
              </w:rPr>
              <w:t xml:space="preserve"> s</w:t>
            </w:r>
            <w:r w:rsidR="00FE0CB0" w:rsidRPr="00AC23E6">
              <w:rPr>
                <w:rFonts w:ascii="Times New Roman" w:hAnsi="Times New Roman"/>
                <w:sz w:val="14"/>
                <w:szCs w:val="18"/>
              </w:rPr>
              <w:t>piders</w:t>
            </w:r>
          </w:p>
        </w:tc>
        <w:tc>
          <w:tcPr>
            <w:tcW w:w="944" w:type="pct"/>
            <w:vAlign w:val="center"/>
          </w:tcPr>
          <w:p w14:paraId="0B758725"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Switzerland</w:t>
            </w:r>
          </w:p>
        </w:tc>
        <w:tc>
          <w:tcPr>
            <w:tcW w:w="471" w:type="pct"/>
            <w:vAlign w:val="center"/>
          </w:tcPr>
          <w:p w14:paraId="36CE3BAF" w14:textId="0EC98606"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20D4669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0F717E2A" w14:textId="2C2FEDF5"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1001BEAB"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8" w:type="pct"/>
            <w:vAlign w:val="center"/>
          </w:tcPr>
          <w:p w14:paraId="2DFC5C72" w14:textId="69117062"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r w:rsidR="00FE0CB0" w:rsidRPr="00E87EEC">
              <w:rPr>
                <w:rFonts w:ascii="Times New Roman" w:hAnsi="Times New Roman"/>
                <w:sz w:val="14"/>
                <w:szCs w:val="18"/>
              </w:rPr>
              <w:t>13</w:t>
            </w:r>
          </w:p>
        </w:tc>
        <w:tc>
          <w:tcPr>
            <w:tcW w:w="472" w:type="pct"/>
            <w:vAlign w:val="center"/>
          </w:tcPr>
          <w:p w14:paraId="45734F57" w14:textId="42389D0C"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r w:rsidR="00FE0CB0" w:rsidRPr="00E87EEC">
              <w:rPr>
                <w:rFonts w:ascii="Times New Roman" w:hAnsi="Times New Roman"/>
                <w:sz w:val="14"/>
                <w:szCs w:val="18"/>
              </w:rPr>
              <w:t>10</w:t>
            </w:r>
          </w:p>
        </w:tc>
        <w:tc>
          <w:tcPr>
            <w:tcW w:w="481" w:type="pct"/>
            <w:vAlign w:val="center"/>
          </w:tcPr>
          <w:p w14:paraId="73B792D8" w14:textId="0B34E4C9"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64896B4B" w14:textId="0568AD9F"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2017.01.033","ISSN":"03781127","author":[{"dropping-particle":"","family":"Wermelinger","given":"Beat","non-dropping-particle":"","parse-names":false,"suffix":""},{"dropping-particle":"","family":"Moretti","given":"Marco","non-dropping-particle":"","parse-names":false,"suffix":""},{"dropping-particle":"","family":"Duelli","given":"Peter","non-dropping-particle":"","parse-names":false,"suffix":""},{"dropping-particle":"","family":"Lachat","given":"Thibault","non-dropping-particle":"","parse-names":false,"suffix":""},{"dropping-particle":"","family":"Pezzatti","given":"Gianni Boris","non-dropping-particle":"","parse-names":false,"suffix":""},{"dropping-particle":"","family":"Obrist","given":"Martin K.","non-dropping-particle":"","parse-names":false,"suffix":""}],"container-title":"Forest Ecology and Management","id":"ITEM-1","issued":{"date-parts":[["2017"]]},"note":"NULL","page":"9-18","publisher":"Elsevier B.V.","title":"Impact of windthrow and salvage-logging on taxonomic and functional diversity of forest arthropods","type":"article-journal","volume":"391"},"uris":["http://www.mendeley.com/documents/?uuid=c50b1c96-0f30-4846-88e4-99b22021c328"]}],"mendeley":{"formattedCitation":"&lt;sup&gt;15&lt;/sup&gt;","plainTextFormattedCitation":"15","previouslyFormattedCitation":"&lt;sup&gt;15&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15</w:t>
            </w:r>
            <w:r w:rsidRPr="00E87EEC">
              <w:rPr>
                <w:rFonts w:ascii="Times New Roman" w:hAnsi="Times New Roman"/>
                <w:sz w:val="14"/>
                <w:szCs w:val="18"/>
              </w:rPr>
              <w:fldChar w:fldCharType="end"/>
            </w:r>
          </w:p>
        </w:tc>
      </w:tr>
      <w:tr w:rsidR="00FE0CB0" w:rsidRPr="00AC23E6" w14:paraId="2A033989" w14:textId="77777777" w:rsidTr="00323099">
        <w:trPr>
          <w:trHeight w:val="288"/>
        </w:trPr>
        <w:tc>
          <w:tcPr>
            <w:tcW w:w="540" w:type="pct"/>
            <w:vAlign w:val="center"/>
          </w:tcPr>
          <w:p w14:paraId="3FF8F1D6" w14:textId="1B77A12F" w:rsidR="00FE0CB0" w:rsidRPr="00AC23E6" w:rsidRDefault="00243BD2" w:rsidP="00323099">
            <w:pPr>
              <w:spacing w:after="0" w:line="276" w:lineRule="auto"/>
              <w:jc w:val="center"/>
              <w:rPr>
                <w:rFonts w:ascii="Times New Roman" w:hAnsi="Times New Roman"/>
                <w:sz w:val="14"/>
                <w:szCs w:val="18"/>
              </w:rPr>
            </w:pPr>
            <w:r w:rsidRPr="00AC23E6">
              <w:rPr>
                <w:rFonts w:ascii="Times New Roman" w:hAnsi="Times New Roman"/>
                <w:sz w:val="14"/>
                <w:szCs w:val="18"/>
              </w:rPr>
              <w:t>Ground beetles</w:t>
            </w:r>
          </w:p>
        </w:tc>
        <w:tc>
          <w:tcPr>
            <w:tcW w:w="944" w:type="pct"/>
            <w:vAlign w:val="center"/>
          </w:tcPr>
          <w:p w14:paraId="4C6271D6"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Switzerland</w:t>
            </w:r>
          </w:p>
        </w:tc>
        <w:tc>
          <w:tcPr>
            <w:tcW w:w="471" w:type="pct"/>
            <w:vAlign w:val="center"/>
          </w:tcPr>
          <w:p w14:paraId="77B60970" w14:textId="55A39F49"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1D9500B4"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7848CC55" w14:textId="69248C7A"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1BD3DC0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8" w:type="pct"/>
            <w:vAlign w:val="center"/>
          </w:tcPr>
          <w:p w14:paraId="29ABE769" w14:textId="67863945"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8–13</w:t>
            </w:r>
          </w:p>
        </w:tc>
        <w:tc>
          <w:tcPr>
            <w:tcW w:w="472" w:type="pct"/>
            <w:vAlign w:val="center"/>
          </w:tcPr>
          <w:p w14:paraId="42D960D7" w14:textId="287C4320"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8–10</w:t>
            </w:r>
          </w:p>
        </w:tc>
        <w:tc>
          <w:tcPr>
            <w:tcW w:w="481" w:type="pct"/>
            <w:vAlign w:val="center"/>
          </w:tcPr>
          <w:p w14:paraId="2864ECB4" w14:textId="4C2AAB7C"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42D96BA4" w14:textId="1810A68E"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2017.01.033","ISSN":"03781127","author":[{"dropping-particle":"","family":"Wermelinger","given":"Beat","non-dropping-particle":"","parse-names":false,"suffix":""},{"dropping-particle":"","family":"Moretti","given":"Marco","non-dropping-particle":"","parse-names":false,"suffix":""},{"dropping-particle":"","family":"Duelli","given":"Peter","non-dropping-particle":"","parse-names":false,"suffix":""},{"dropping-particle":"","family":"Lachat","given":"Thibault","non-dropping-particle":"","parse-names":false,"suffix":""},{"dropping-particle":"","family":"Pezzatti","given":"Gianni Boris","non-dropping-particle":"","parse-names":false,"suffix":""},{"dropping-particle":"","family":"Obrist","given":"Martin K.","non-dropping-particle":"","parse-names":false,"suffix":""}],"container-title":"Forest Ecology and Management","id":"ITEM-1","issued":{"date-parts":[["2017"]]},"note":"NULL","page":"9-18","publisher":"Elsevier B.V.","title":"Impact of windthrow and salvage-logging on taxonomic and functional diversity of forest arthropods","type":"article-journal","volume":"391"},"uris":["http://www.mendeley.com/documents/?uuid=c50b1c96-0f30-4846-88e4-99b22021c328"]}],"mendeley":{"formattedCitation":"&lt;sup&gt;15&lt;/sup&gt;","plainTextFormattedCitation":"15","previouslyFormattedCitation":"&lt;sup&gt;15&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15</w:t>
            </w:r>
            <w:r w:rsidRPr="00E87EEC">
              <w:rPr>
                <w:rFonts w:ascii="Times New Roman" w:hAnsi="Times New Roman"/>
                <w:sz w:val="14"/>
                <w:szCs w:val="18"/>
              </w:rPr>
              <w:fldChar w:fldCharType="end"/>
            </w:r>
          </w:p>
        </w:tc>
      </w:tr>
      <w:tr w:rsidR="00FE0CB0" w:rsidRPr="00AC23E6" w14:paraId="7139D404" w14:textId="77777777" w:rsidTr="00323099">
        <w:trPr>
          <w:trHeight w:val="288"/>
        </w:trPr>
        <w:tc>
          <w:tcPr>
            <w:tcW w:w="540" w:type="pct"/>
            <w:vAlign w:val="center"/>
          </w:tcPr>
          <w:p w14:paraId="58C31722" w14:textId="13686375" w:rsidR="00FE0CB0" w:rsidRPr="00AC23E6" w:rsidRDefault="00243BD2" w:rsidP="00323099">
            <w:pPr>
              <w:spacing w:after="0" w:line="276" w:lineRule="auto"/>
              <w:jc w:val="center"/>
              <w:rPr>
                <w:rFonts w:ascii="Times New Roman" w:hAnsi="Times New Roman"/>
                <w:sz w:val="14"/>
                <w:szCs w:val="18"/>
              </w:rPr>
            </w:pPr>
            <w:r w:rsidRPr="00AC23E6">
              <w:rPr>
                <w:rFonts w:ascii="Times New Roman" w:hAnsi="Times New Roman"/>
                <w:sz w:val="14"/>
                <w:szCs w:val="18"/>
              </w:rPr>
              <w:t>True bugs</w:t>
            </w:r>
          </w:p>
        </w:tc>
        <w:tc>
          <w:tcPr>
            <w:tcW w:w="944" w:type="pct"/>
            <w:vAlign w:val="center"/>
          </w:tcPr>
          <w:p w14:paraId="4F5B4F70"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Switzerland</w:t>
            </w:r>
          </w:p>
        </w:tc>
        <w:tc>
          <w:tcPr>
            <w:tcW w:w="471" w:type="pct"/>
            <w:vAlign w:val="center"/>
          </w:tcPr>
          <w:p w14:paraId="7D035E97" w14:textId="242BA464"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0550BE1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05986BB8" w14:textId="34AD6A99"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436927A4"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8" w:type="pct"/>
            <w:vAlign w:val="center"/>
          </w:tcPr>
          <w:p w14:paraId="3422A874" w14:textId="47459912"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r w:rsidR="00FE0CB0" w:rsidRPr="00E87EEC">
              <w:rPr>
                <w:rFonts w:ascii="Times New Roman" w:hAnsi="Times New Roman"/>
                <w:sz w:val="14"/>
                <w:szCs w:val="18"/>
              </w:rPr>
              <w:t>8</w:t>
            </w:r>
          </w:p>
        </w:tc>
        <w:tc>
          <w:tcPr>
            <w:tcW w:w="472" w:type="pct"/>
            <w:vAlign w:val="center"/>
          </w:tcPr>
          <w:p w14:paraId="30A536DE"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81" w:type="pct"/>
            <w:vAlign w:val="center"/>
          </w:tcPr>
          <w:p w14:paraId="4D36BC7D" w14:textId="5B5A9331"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47E9D915" w14:textId="61818D75"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2017.01.033","ISSN":"03781127","author":[{"dropping-particle":"","family":"Wermelinger","given":"Beat","non-dropping-particle":"","parse-names":false,"suffix":""},{"dropping-particle":"","family":"Moretti","given":"Marco","non-dropping-particle":"","parse-names":false,"suffix":""},{"dropping-particle":"","family":"Duelli","given":"Peter","non-dropping-particle":"","parse-names":false,"suffix":""},{"dropping-particle":"","family":"Lachat","given":"Thibault","non-dropping-particle":"","parse-names":false,"suffix":""},{"dropping-particle":"","family":"Pezzatti","given":"Gianni Boris","non-dropping-particle":"","parse-names":false,"suffix":""},{"dropping-particle":"","family":"Obrist","given":"Martin K.","non-dropping-particle":"","parse-names":false,"suffix":""}],"container-title":"Forest Ecology and Management","id":"ITEM-1","issued":{"date-parts":[["2017"]]},"note":"NULL","page":"9-18","publisher":"Elsevier B.V.","title":"Impact of windthrow and salvage-logging on taxonomic and functional diversity of forest arthropods","type":"article-journal","volume":"391"},"uris":["http://www.mendeley.com/documents/?uuid=c50b1c96-0f30-4846-88e4-99b22021c328"]}],"mendeley":{"formattedCitation":"&lt;sup&gt;15&lt;/sup&gt;","plainTextFormattedCitation":"15","previouslyFormattedCitation":"&lt;sup&gt;15&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15</w:t>
            </w:r>
            <w:r w:rsidRPr="00E87EEC">
              <w:rPr>
                <w:rFonts w:ascii="Times New Roman" w:hAnsi="Times New Roman"/>
                <w:sz w:val="14"/>
                <w:szCs w:val="18"/>
              </w:rPr>
              <w:fldChar w:fldCharType="end"/>
            </w:r>
          </w:p>
        </w:tc>
      </w:tr>
      <w:tr w:rsidR="00FE0CB0" w:rsidRPr="00AC23E6" w14:paraId="689288CA" w14:textId="77777777" w:rsidTr="00323099">
        <w:trPr>
          <w:trHeight w:val="288"/>
        </w:trPr>
        <w:tc>
          <w:tcPr>
            <w:tcW w:w="540" w:type="pct"/>
            <w:vAlign w:val="center"/>
          </w:tcPr>
          <w:p w14:paraId="5287920A"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Hoverflies</w:t>
            </w:r>
          </w:p>
        </w:tc>
        <w:tc>
          <w:tcPr>
            <w:tcW w:w="944" w:type="pct"/>
            <w:vAlign w:val="center"/>
          </w:tcPr>
          <w:p w14:paraId="35FA7BC0"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Switzerland</w:t>
            </w:r>
          </w:p>
        </w:tc>
        <w:tc>
          <w:tcPr>
            <w:tcW w:w="471" w:type="pct"/>
            <w:vAlign w:val="center"/>
          </w:tcPr>
          <w:p w14:paraId="656A40BA" w14:textId="0D8E705A"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38420074"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571836A9" w14:textId="0F41B7E8"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6F5C70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8" w:type="pct"/>
            <w:vAlign w:val="center"/>
          </w:tcPr>
          <w:p w14:paraId="2DE195B6" w14:textId="73A29775"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6–8</w:t>
            </w:r>
          </w:p>
        </w:tc>
        <w:tc>
          <w:tcPr>
            <w:tcW w:w="472" w:type="pct"/>
            <w:vAlign w:val="center"/>
          </w:tcPr>
          <w:p w14:paraId="4239411B"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81" w:type="pct"/>
            <w:vAlign w:val="center"/>
          </w:tcPr>
          <w:p w14:paraId="2983886B" w14:textId="39A84646"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36154205" w14:textId="5BFADAE9"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10.1016/j.foreco.2017.01.033","ISSN":"03781127","author":[{"dropping-particle":"","family":"Wermelinger","given":"Beat","non-dropping-particle":"","parse-names":false,"suffix":""},{"dropping-particle":"","family":"Moretti","given":"Marco","non-dropping-particle":"","parse-names":false,"suffix":""},{"dropping-particle":"","family":"Duelli","given":"Peter","non-dropping-particle":"","parse-names":false,"suffix":""},{"dropping-particle":"","family":"Lachat","given":"Thibault","non-dropping-particle":"","parse-names":false,"suffix":""},{"dropping-particle":"","family":"Pezzatti","given":"Gianni Boris","non-dropping-particle":"","parse-names":false,"suffix":""},{"dropping-particle":"","family":"Obrist","given":"Martin K.","non-dropping-particle":"","parse-names":false,"suffix":""}],"container-title":"Forest Ecology and Management","id":"ITEM-1","issued":{"date-parts":[["2017"]]},"note":"NULL","page":"9-18","publisher":"Elsevier B.V.","title":"Impact of windthrow and salvage-logging on taxonomic and functional diversity of forest arthropods","type":"article-journal","volume":"391"},"uris":["http://www.mendeley.com/documents/?uuid=c50b1c96-0f30-4846-88e4-99b22021c328"]}],"mendeley":{"formattedCitation":"&lt;sup&gt;15&lt;/sup&gt;","plainTextFormattedCitation":"15","previouslyFormattedCitation":"&lt;sup&gt;15&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15</w:t>
            </w:r>
            <w:r w:rsidRPr="00E87EEC">
              <w:rPr>
                <w:rFonts w:ascii="Times New Roman" w:hAnsi="Times New Roman"/>
                <w:sz w:val="14"/>
                <w:szCs w:val="18"/>
              </w:rPr>
              <w:fldChar w:fldCharType="end"/>
            </w:r>
          </w:p>
        </w:tc>
      </w:tr>
      <w:tr w:rsidR="00FE0CB0" w:rsidRPr="00AC23E6" w14:paraId="55B5D3A1" w14:textId="77777777" w:rsidTr="00323099">
        <w:trPr>
          <w:trHeight w:val="288"/>
        </w:trPr>
        <w:tc>
          <w:tcPr>
            <w:tcW w:w="540" w:type="pct"/>
            <w:vAlign w:val="center"/>
          </w:tcPr>
          <w:p w14:paraId="58969874"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Bats</w:t>
            </w:r>
          </w:p>
        </w:tc>
        <w:tc>
          <w:tcPr>
            <w:tcW w:w="944" w:type="pct"/>
            <w:vAlign w:val="center"/>
          </w:tcPr>
          <w:p w14:paraId="246389A3"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19A3F07C" w14:textId="2A706EBA"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Insect outbreak</w:t>
            </w:r>
          </w:p>
        </w:tc>
        <w:tc>
          <w:tcPr>
            <w:tcW w:w="414" w:type="pct"/>
            <w:vAlign w:val="center"/>
          </w:tcPr>
          <w:p w14:paraId="414D765A"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3C2221A" w14:textId="77777777" w:rsidR="00FE0CB0" w:rsidRPr="00E87EEC" w:rsidRDefault="001F7242"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59A31D41"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8" w:type="pct"/>
            <w:vAlign w:val="center"/>
          </w:tcPr>
          <w:p w14:paraId="61A6305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72" w:type="pct"/>
            <w:vAlign w:val="center"/>
          </w:tcPr>
          <w:p w14:paraId="3F993865"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81" w:type="pct"/>
            <w:vAlign w:val="center"/>
          </w:tcPr>
          <w:p w14:paraId="74155CC5" w14:textId="08F4F4FD"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7294E8D9" w14:textId="78AB46C2"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10.1007/s10531-012-0334-y","ISBN":"0960-3115","author":[{"dropping-particle":"","family":"Mehr","given":"Milenka","non-dropping-particle":"","parse-names":false,"suffix":""},{"dropping-particle":"","family":"Brandl","given":"Roland","non-dropping-particle":"","parse-names":false,"suffix":""},{"dropping-particle":"","family":"Kneib","given":"Thomas","non-dropping-particle":"","parse-names":false,"suffix":""},{"dropping-particle":"","family":"Müller","given":"Jörg","non-dropping-particle":"","parse-names":false,"suffix":""}],"container-title":"Biodiversity and Conservation","id":"ITEM-1","issue":"11","issued":{"date-parts":[["2012"]]},"note":"From Duplicate 1 ( \n\n\n\n\n\n\n\nThe effect of bark beetle infestation and salvage logging on bat activity in a national park\n\n\n\n\n\n\n\n- Mehr, Milenka; Brandl, Roland; Kneib, Thomas; Mueller, Joerg )\n\n\n\n\n\n\n\nTimes Cited: 0","page":"2775-2786","title":"The effect of bark beetle infestation and salvage logging on bat activity in a national park","type":"article-journal","volume":"21"},"uris":["http://www.mendeley.com/documents/?uuid=0613c2c1-8fd8-4808-ba1c-86b823b8c0b5"]}],"mendeley":{"formattedCitation":"&lt;sup&gt;16&lt;/sup&gt;","plainTextFormattedCitation":"16","previouslyFormattedCitation":"&lt;sup&gt;16&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16</w:t>
            </w:r>
            <w:r w:rsidRPr="00E87EEC">
              <w:rPr>
                <w:rFonts w:ascii="Times New Roman" w:hAnsi="Times New Roman"/>
                <w:sz w:val="14"/>
                <w:szCs w:val="18"/>
              </w:rPr>
              <w:fldChar w:fldCharType="end"/>
            </w:r>
          </w:p>
        </w:tc>
      </w:tr>
      <w:tr w:rsidR="00FE0CB0" w:rsidRPr="00AC23E6" w14:paraId="3DC7DDBA" w14:textId="77777777" w:rsidTr="00323099">
        <w:trPr>
          <w:trHeight w:val="288"/>
        </w:trPr>
        <w:tc>
          <w:tcPr>
            <w:tcW w:w="540" w:type="pct"/>
            <w:vAlign w:val="center"/>
          </w:tcPr>
          <w:p w14:paraId="3B8498A3" w14:textId="6B089085" w:rsidR="00FE0CB0" w:rsidRPr="00AC23E6" w:rsidRDefault="00243BD2"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w:t>
            </w:r>
            <w:r w:rsidR="00FE0CB0" w:rsidRPr="00AC23E6">
              <w:rPr>
                <w:rFonts w:ascii="Times New Roman" w:hAnsi="Times New Roman"/>
                <w:sz w:val="14"/>
                <w:szCs w:val="18"/>
              </w:rPr>
              <w:t>lants</w:t>
            </w:r>
          </w:p>
        </w:tc>
        <w:tc>
          <w:tcPr>
            <w:tcW w:w="944" w:type="pct"/>
            <w:vAlign w:val="center"/>
          </w:tcPr>
          <w:p w14:paraId="68E07430"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05D64084" w14:textId="64D81A7E"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Insect outbreak</w:t>
            </w:r>
          </w:p>
        </w:tc>
        <w:tc>
          <w:tcPr>
            <w:tcW w:w="414" w:type="pct"/>
            <w:vAlign w:val="center"/>
          </w:tcPr>
          <w:p w14:paraId="0775AAB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48233979" w14:textId="7C1CDA7B"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0A60AEA0"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8" w:type="pct"/>
            <w:vAlign w:val="center"/>
          </w:tcPr>
          <w:p w14:paraId="3A17F788"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72" w:type="pct"/>
            <w:vAlign w:val="center"/>
          </w:tcPr>
          <w:p w14:paraId="447FFA37"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81" w:type="pct"/>
            <w:vAlign w:val="center"/>
          </w:tcPr>
          <w:p w14:paraId="7CAEF9B3" w14:textId="223B4D81" w:rsidR="00FE0CB0" w:rsidRPr="00E87EEC" w:rsidRDefault="00C22DED" w:rsidP="00323099">
            <w:pPr>
              <w:spacing w:after="0" w:line="240" w:lineRule="auto"/>
              <w:jc w:val="center"/>
              <w:rPr>
                <w:rFonts w:ascii="Times New Roman" w:hAnsi="Times New Roman"/>
                <w:sz w:val="14"/>
                <w:szCs w:val="18"/>
              </w:rPr>
            </w:pPr>
            <w:r w:rsidRPr="00E87EEC">
              <w:rPr>
                <w:rFonts w:ascii="Times New Roman" w:hAnsi="Times New Roman"/>
                <w:sz w:val="14"/>
                <w:szCs w:val="18"/>
              </w:rPr>
              <w:t>0.78</w:t>
            </w:r>
            <w:r w:rsidR="00887F1E" w:rsidRPr="00E87EEC">
              <w:rPr>
                <w:rFonts w:ascii="Times New Roman" w:hAnsi="Times New Roman"/>
                <w:sz w:val="14"/>
                <w:szCs w:val="18"/>
              </w:rPr>
              <w:t>5</w:t>
            </w:r>
          </w:p>
        </w:tc>
        <w:tc>
          <w:tcPr>
            <w:tcW w:w="272" w:type="pct"/>
            <w:vAlign w:val="center"/>
          </w:tcPr>
          <w:p w14:paraId="5FAE538B" w14:textId="5DB58306"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http://dx.doi.org/10.1016/j.foreco.2014.10.031","author":[{"dropping-particle":"","family":"Thorn","given":"Simon","non-dropping-particle":"","parse-names":false,"suffix":""},{"dropping-particle":"","family":"Hacker","given":"Hermann H.","non-dropping-particle":"","parse-names":false,"suffix":""},{"dropping-particle":"","family":"Seibold","given":"Sebastian","non-dropping-particle":"","parse-names":false,"suffix":""},{"dropping-particle":"","family":"Jehl","given":"Hans","non-dropping-particle":"","parse-names":false,"suffix":""},{"dropping-particle":"","family":"Bässler","given":"Claus","non-dropping-particle":"","parse-names":false,"suffix":""},{"dropping-particle":"","family":"Müller","given":"Jörg","non-dropping-particle":"","parse-names":false,"suffix":""}],"container-title":"Forest Ecology and Management","id":"ITEM-1","issued":{"date-parts":[["2015"]]},"page":"41-47","title":"Guild-specific responses of forest Lepidoptera highlight conservation-oriented forest management – implications from conifer-dominated forests","type":"article-journal","volume":"337"},"uris":["http://www.mendeley.com/documents/?uuid=2d2510b0-a914-4b12-a4a3-f35394cef1e8"]}],"mendeley":{"formattedCitation":"&lt;sup&gt;17&lt;/sup&gt;","plainTextFormattedCitation":"17","previouslyFormattedCitation":"&lt;sup&gt;17&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17</w:t>
            </w:r>
            <w:r w:rsidRPr="00E87EEC">
              <w:rPr>
                <w:rFonts w:ascii="Times New Roman" w:hAnsi="Times New Roman"/>
                <w:sz w:val="14"/>
                <w:szCs w:val="18"/>
              </w:rPr>
              <w:fldChar w:fldCharType="end"/>
            </w:r>
          </w:p>
        </w:tc>
      </w:tr>
      <w:tr w:rsidR="00FE0CB0" w:rsidRPr="00AC23E6" w14:paraId="7AACFE77" w14:textId="77777777" w:rsidTr="00323099">
        <w:trPr>
          <w:trHeight w:val="288"/>
        </w:trPr>
        <w:tc>
          <w:tcPr>
            <w:tcW w:w="540" w:type="pct"/>
            <w:vAlign w:val="center"/>
          </w:tcPr>
          <w:p w14:paraId="3792076E" w14:textId="48F1235B" w:rsidR="00FE0CB0" w:rsidRPr="00AC23E6" w:rsidRDefault="00243BD2" w:rsidP="00323099">
            <w:pPr>
              <w:spacing w:after="0" w:line="276" w:lineRule="auto"/>
              <w:jc w:val="center"/>
              <w:rPr>
                <w:rFonts w:ascii="Times New Roman" w:hAnsi="Times New Roman"/>
                <w:sz w:val="14"/>
                <w:szCs w:val="18"/>
              </w:rPr>
            </w:pPr>
            <w:r w:rsidRPr="00AC23E6">
              <w:rPr>
                <w:rFonts w:ascii="Times New Roman" w:hAnsi="Times New Roman"/>
                <w:sz w:val="14"/>
                <w:szCs w:val="18"/>
              </w:rPr>
              <w:t>Nocturnal m</w:t>
            </w:r>
            <w:r w:rsidR="00FE0CB0" w:rsidRPr="00AC23E6">
              <w:rPr>
                <w:rFonts w:ascii="Times New Roman" w:hAnsi="Times New Roman"/>
                <w:sz w:val="14"/>
                <w:szCs w:val="18"/>
              </w:rPr>
              <w:t>oths</w:t>
            </w:r>
          </w:p>
        </w:tc>
        <w:tc>
          <w:tcPr>
            <w:tcW w:w="944" w:type="pct"/>
            <w:vAlign w:val="center"/>
          </w:tcPr>
          <w:p w14:paraId="7833DF26"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7904ACFD" w14:textId="4F75F637"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Insect outbreak</w:t>
            </w:r>
          </w:p>
        </w:tc>
        <w:tc>
          <w:tcPr>
            <w:tcW w:w="414" w:type="pct"/>
            <w:vAlign w:val="center"/>
          </w:tcPr>
          <w:p w14:paraId="436D4D3D"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338E338" w14:textId="099CD5C7"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4871AED0"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8" w:type="pct"/>
            <w:vAlign w:val="center"/>
          </w:tcPr>
          <w:p w14:paraId="4C4C48BD"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72" w:type="pct"/>
            <w:vAlign w:val="center"/>
          </w:tcPr>
          <w:p w14:paraId="258F591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81" w:type="pct"/>
            <w:vAlign w:val="center"/>
          </w:tcPr>
          <w:p w14:paraId="0758DC49" w14:textId="2353865B" w:rsidR="00FE0CB0"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7707A0B4" w14:textId="232FE8BD"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http://dx.doi.org/10.1016/j.foreco.2014.10.031","author":[{"dropping-particle":"","family":"Thorn","given":"Simon","non-dropping-particle":"","parse-names":false,"suffix":""},{"dropping-particle":"","family":"Hacker","given":"Hermann H.","non-dropping-particle":"","parse-names":false,"suffix":""},{"dropping-particle":"","family":"Seibold","given":"Sebastian","non-dropping-particle":"","parse-names":false,"suffix":""},{"dropping-particle":"","family":"Jehl","given":"Hans","non-dropping-particle":"","parse-names":false,"suffix":""},{"dropping-particle":"","family":"Bässler","given":"Claus","non-dropping-particle":"","parse-names":false,"suffix":""},{"dropping-particle":"","family":"Müller","given":"Jörg","non-dropping-particle":"","parse-names":false,"suffix":""}],"container-title":"Forest Ecology and Management","id":"ITEM-1","issued":{"date-parts":[["2015"]]},"page":"41-47","title":"Guild-specific responses of forest Lepidoptera highlight conservation-oriented forest management – implications from conifer-dominated forests","type":"article-journal","volume":"337"},"uris":["http://www.mendeley.com/documents/?uuid=2d2510b0-a914-4b12-a4a3-f35394cef1e8"]}],"mendeley":{"formattedCitation":"&lt;sup&gt;17&lt;/sup&gt;","plainTextFormattedCitation":"17","previouslyFormattedCitation":"&lt;sup&gt;17&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17</w:t>
            </w:r>
            <w:r w:rsidRPr="00E87EEC">
              <w:rPr>
                <w:rFonts w:ascii="Times New Roman" w:hAnsi="Times New Roman"/>
                <w:sz w:val="14"/>
                <w:szCs w:val="18"/>
              </w:rPr>
              <w:fldChar w:fldCharType="end"/>
            </w:r>
          </w:p>
        </w:tc>
      </w:tr>
      <w:tr w:rsidR="00FE0CB0" w:rsidRPr="00AC23E6" w14:paraId="159D074F" w14:textId="77777777" w:rsidTr="00323099">
        <w:trPr>
          <w:trHeight w:val="288"/>
        </w:trPr>
        <w:tc>
          <w:tcPr>
            <w:tcW w:w="540" w:type="pct"/>
            <w:vAlign w:val="center"/>
          </w:tcPr>
          <w:p w14:paraId="59AB1CC8" w14:textId="77777777" w:rsidR="00FE0CB0" w:rsidRPr="00AC23E6" w:rsidRDefault="00FE0CB0"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147C00BF"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74355BED" w14:textId="3792833F"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3E148A4F"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350AD23D" w14:textId="2E673D02"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7B304A5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06A015AB" w14:textId="4C87DE0D"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23–</w:t>
            </w:r>
            <w:r w:rsidR="00FE0CB0" w:rsidRPr="00E87EEC">
              <w:rPr>
                <w:rFonts w:ascii="Times New Roman" w:hAnsi="Times New Roman"/>
                <w:sz w:val="14"/>
                <w:szCs w:val="18"/>
              </w:rPr>
              <w:t>24</w:t>
            </w:r>
          </w:p>
        </w:tc>
        <w:tc>
          <w:tcPr>
            <w:tcW w:w="472" w:type="pct"/>
            <w:vAlign w:val="center"/>
          </w:tcPr>
          <w:p w14:paraId="466BE78F" w14:textId="73E301AD"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r w:rsidR="00FE0CB0" w:rsidRPr="00E87EEC">
              <w:rPr>
                <w:rFonts w:ascii="Times New Roman" w:hAnsi="Times New Roman"/>
                <w:sz w:val="14"/>
                <w:szCs w:val="18"/>
              </w:rPr>
              <w:t>20</w:t>
            </w:r>
          </w:p>
        </w:tc>
        <w:tc>
          <w:tcPr>
            <w:tcW w:w="481" w:type="pct"/>
            <w:vAlign w:val="center"/>
          </w:tcPr>
          <w:p w14:paraId="349F39C2" w14:textId="3438B846" w:rsidR="00FE0CB0"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0.02</w:t>
            </w:r>
          </w:p>
        </w:tc>
        <w:tc>
          <w:tcPr>
            <w:tcW w:w="272" w:type="pct"/>
            <w:vAlign w:val="center"/>
          </w:tcPr>
          <w:p w14:paraId="5B779507" w14:textId="148891A4"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FE0CB0" w:rsidRPr="00AC23E6" w14:paraId="47897933" w14:textId="77777777" w:rsidTr="00323099">
        <w:trPr>
          <w:trHeight w:val="288"/>
        </w:trPr>
        <w:tc>
          <w:tcPr>
            <w:tcW w:w="540" w:type="pct"/>
            <w:vAlign w:val="center"/>
          </w:tcPr>
          <w:p w14:paraId="442E2C67" w14:textId="77777777" w:rsidR="00FE0CB0" w:rsidRPr="00AC23E6" w:rsidRDefault="00FE0CB0"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rPr>
              <w:t>Epigeic</w:t>
            </w:r>
            <w:proofErr w:type="spellEnd"/>
            <w:r w:rsidRPr="00AC23E6">
              <w:rPr>
                <w:rFonts w:ascii="Times New Roman" w:hAnsi="Times New Roman"/>
                <w:sz w:val="14"/>
                <w:szCs w:val="18"/>
              </w:rPr>
              <w:t xml:space="preserve"> bryophytes</w:t>
            </w:r>
          </w:p>
        </w:tc>
        <w:tc>
          <w:tcPr>
            <w:tcW w:w="944" w:type="pct"/>
            <w:vAlign w:val="center"/>
          </w:tcPr>
          <w:p w14:paraId="3A6A48EE" w14:textId="77777777" w:rsidR="00FE0CB0" w:rsidRPr="00AC23E6" w:rsidRDefault="00FE0CB0"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1A7CA050" w14:textId="4B7908AE" w:rsidR="00FE0CB0"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3A1EEC56"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4F5D7FD3" w14:textId="1FCFBC0A" w:rsidR="00FE0CB0" w:rsidRPr="00E87EEC" w:rsidRDefault="00887F1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0FDA0A9"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2D095986" w14:textId="62439DF7" w:rsidR="00FE0CB0"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24–</w:t>
            </w:r>
            <w:r w:rsidR="00FE0CB0" w:rsidRPr="00E87EEC">
              <w:rPr>
                <w:rFonts w:ascii="Times New Roman" w:hAnsi="Times New Roman"/>
                <w:sz w:val="14"/>
                <w:szCs w:val="18"/>
              </w:rPr>
              <w:t>25</w:t>
            </w:r>
          </w:p>
        </w:tc>
        <w:tc>
          <w:tcPr>
            <w:tcW w:w="472" w:type="pct"/>
            <w:vAlign w:val="center"/>
          </w:tcPr>
          <w:p w14:paraId="5ABC3342" w14:textId="77777777"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t>24</w:t>
            </w:r>
          </w:p>
        </w:tc>
        <w:tc>
          <w:tcPr>
            <w:tcW w:w="481" w:type="pct"/>
            <w:vAlign w:val="center"/>
          </w:tcPr>
          <w:p w14:paraId="0107530E" w14:textId="2E42BEB1" w:rsidR="00FE0CB0"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0.02</w:t>
            </w:r>
          </w:p>
        </w:tc>
        <w:tc>
          <w:tcPr>
            <w:tcW w:w="272" w:type="pct"/>
            <w:vAlign w:val="center"/>
          </w:tcPr>
          <w:p w14:paraId="1109FF07" w14:textId="2B32E7A8" w:rsidR="00FE0CB0" w:rsidRPr="00E87EEC" w:rsidRDefault="00FE0CB0"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2B35B47C" w14:textId="77777777" w:rsidTr="00323099">
        <w:trPr>
          <w:trHeight w:val="288"/>
        </w:trPr>
        <w:tc>
          <w:tcPr>
            <w:tcW w:w="540" w:type="pct"/>
            <w:vAlign w:val="center"/>
          </w:tcPr>
          <w:p w14:paraId="7FFB6DB5" w14:textId="77777777" w:rsidR="007A0836" w:rsidRPr="00AC23E6" w:rsidRDefault="007A0836"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t>S</w:t>
            </w:r>
            <w:r w:rsidRPr="00AC23E6">
              <w:rPr>
                <w:rFonts w:ascii="Times New Roman" w:hAnsi="Times New Roman"/>
                <w:sz w:val="14"/>
                <w:szCs w:val="18"/>
              </w:rPr>
              <w:t>Epixylic</w:t>
            </w:r>
            <w:proofErr w:type="spellEnd"/>
            <w:r w:rsidRPr="00AC23E6">
              <w:rPr>
                <w:rFonts w:ascii="Times New Roman" w:hAnsi="Times New Roman"/>
                <w:sz w:val="14"/>
                <w:szCs w:val="18"/>
              </w:rPr>
              <w:t xml:space="preserve"> bryophytes</w:t>
            </w:r>
          </w:p>
        </w:tc>
        <w:tc>
          <w:tcPr>
            <w:tcW w:w="944" w:type="pct"/>
            <w:vAlign w:val="center"/>
          </w:tcPr>
          <w:p w14:paraId="6BACA88B"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59CADCFF" w14:textId="566F6CF3"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568D1041"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7CB583D9" w14:textId="25584C0E"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A900DCC"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636E2F96"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2" w:type="pct"/>
            <w:vAlign w:val="center"/>
          </w:tcPr>
          <w:p w14:paraId="15247D96" w14:textId="0EF57D3A" w:rsidR="007A0836"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18–</w:t>
            </w:r>
            <w:r w:rsidR="007A0836" w:rsidRPr="00E87EEC">
              <w:rPr>
                <w:rFonts w:ascii="Times New Roman" w:hAnsi="Times New Roman"/>
                <w:sz w:val="14"/>
                <w:szCs w:val="18"/>
              </w:rPr>
              <w:t>19</w:t>
            </w:r>
          </w:p>
        </w:tc>
        <w:tc>
          <w:tcPr>
            <w:tcW w:w="481" w:type="pct"/>
            <w:vAlign w:val="center"/>
          </w:tcPr>
          <w:p w14:paraId="33F2B324" w14:textId="593536F5"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00CF4925" w14:textId="431D4122"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63459D6B" w14:textId="77777777" w:rsidTr="00323099">
        <w:trPr>
          <w:trHeight w:val="288"/>
        </w:trPr>
        <w:tc>
          <w:tcPr>
            <w:tcW w:w="540" w:type="pct"/>
            <w:vAlign w:val="center"/>
          </w:tcPr>
          <w:p w14:paraId="4659BAAF" w14:textId="77777777" w:rsidR="007A0836" w:rsidRPr="00AC23E6" w:rsidRDefault="007A0836"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t>S</w:t>
            </w:r>
            <w:r w:rsidRPr="00AC23E6">
              <w:rPr>
                <w:rFonts w:ascii="Times New Roman" w:hAnsi="Times New Roman"/>
                <w:sz w:val="14"/>
                <w:szCs w:val="18"/>
              </w:rPr>
              <w:t>Epigeic</w:t>
            </w:r>
            <w:proofErr w:type="spellEnd"/>
            <w:r w:rsidRPr="00AC23E6">
              <w:rPr>
                <w:rFonts w:ascii="Times New Roman" w:hAnsi="Times New Roman"/>
                <w:sz w:val="14"/>
                <w:szCs w:val="18"/>
              </w:rPr>
              <w:t xml:space="preserve"> lichens</w:t>
            </w:r>
          </w:p>
        </w:tc>
        <w:tc>
          <w:tcPr>
            <w:tcW w:w="944" w:type="pct"/>
            <w:vAlign w:val="center"/>
          </w:tcPr>
          <w:p w14:paraId="7B5BB568"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084B599C" w14:textId="043AA30D"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4DB96ED7"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5DDE1EA5" w14:textId="7A4B22BD"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2D4A9967"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21EBC8C1" w14:textId="22A4D2D9" w:rsidR="007A0836"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r w:rsidR="007A0836" w:rsidRPr="00E87EEC">
              <w:rPr>
                <w:rFonts w:ascii="Times New Roman" w:hAnsi="Times New Roman"/>
                <w:sz w:val="14"/>
                <w:szCs w:val="18"/>
              </w:rPr>
              <w:t>16</w:t>
            </w:r>
          </w:p>
        </w:tc>
        <w:tc>
          <w:tcPr>
            <w:tcW w:w="472" w:type="pct"/>
            <w:vAlign w:val="center"/>
          </w:tcPr>
          <w:p w14:paraId="6D8160C3" w14:textId="586CD103" w:rsidR="007A0836"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r w:rsidR="007A0836" w:rsidRPr="00E87EEC">
              <w:rPr>
                <w:rFonts w:ascii="Times New Roman" w:hAnsi="Times New Roman"/>
                <w:sz w:val="14"/>
                <w:szCs w:val="18"/>
              </w:rPr>
              <w:t>23</w:t>
            </w:r>
          </w:p>
        </w:tc>
        <w:tc>
          <w:tcPr>
            <w:tcW w:w="481" w:type="pct"/>
            <w:vAlign w:val="center"/>
          </w:tcPr>
          <w:p w14:paraId="176A1214" w14:textId="42EF1030"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0.02</w:t>
            </w:r>
          </w:p>
        </w:tc>
        <w:tc>
          <w:tcPr>
            <w:tcW w:w="272" w:type="pct"/>
            <w:vAlign w:val="center"/>
          </w:tcPr>
          <w:p w14:paraId="5B4438D8" w14:textId="1F57B2BF"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589D22E5" w14:textId="77777777" w:rsidTr="00323099">
        <w:trPr>
          <w:trHeight w:val="288"/>
        </w:trPr>
        <w:tc>
          <w:tcPr>
            <w:tcW w:w="540" w:type="pct"/>
            <w:vAlign w:val="center"/>
          </w:tcPr>
          <w:p w14:paraId="00B501BE" w14:textId="77777777" w:rsidR="007A0836" w:rsidRPr="00AC23E6" w:rsidRDefault="007A0836"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lastRenderedPageBreak/>
              <w:t>S</w:t>
            </w:r>
            <w:r w:rsidRPr="00AC23E6">
              <w:rPr>
                <w:rFonts w:ascii="Times New Roman" w:hAnsi="Times New Roman"/>
                <w:sz w:val="14"/>
                <w:szCs w:val="18"/>
              </w:rPr>
              <w:t>Epixylic</w:t>
            </w:r>
            <w:proofErr w:type="spellEnd"/>
            <w:r w:rsidRPr="00AC23E6">
              <w:rPr>
                <w:rFonts w:ascii="Times New Roman" w:hAnsi="Times New Roman"/>
                <w:sz w:val="14"/>
                <w:szCs w:val="18"/>
              </w:rPr>
              <w:t xml:space="preserve"> lichens</w:t>
            </w:r>
          </w:p>
        </w:tc>
        <w:tc>
          <w:tcPr>
            <w:tcW w:w="944" w:type="pct"/>
            <w:vAlign w:val="center"/>
          </w:tcPr>
          <w:p w14:paraId="3B1090C5"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058E98A2" w14:textId="566E738F"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4A822D3B"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7F0E1AFA" w14:textId="0D8DDAB9"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B2DF443"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0D008988"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2" w:type="pct"/>
            <w:vAlign w:val="center"/>
          </w:tcPr>
          <w:p w14:paraId="68A8DC0E" w14:textId="25BEB7C3" w:rsidR="007A0836" w:rsidRPr="00E87EEC" w:rsidRDefault="00905ECB" w:rsidP="00323099">
            <w:pPr>
              <w:spacing w:after="0" w:line="240" w:lineRule="auto"/>
              <w:jc w:val="center"/>
              <w:rPr>
                <w:rFonts w:ascii="Times New Roman" w:hAnsi="Times New Roman"/>
                <w:sz w:val="14"/>
                <w:szCs w:val="18"/>
              </w:rPr>
            </w:pPr>
            <w:r w:rsidRPr="00E87EEC">
              <w:rPr>
                <w:rFonts w:ascii="Times New Roman" w:hAnsi="Times New Roman"/>
                <w:sz w:val="14"/>
                <w:szCs w:val="18"/>
              </w:rPr>
              <w:t>18–</w:t>
            </w:r>
            <w:r w:rsidR="007A0836" w:rsidRPr="00E87EEC">
              <w:rPr>
                <w:rFonts w:ascii="Times New Roman" w:hAnsi="Times New Roman"/>
                <w:sz w:val="14"/>
                <w:szCs w:val="18"/>
              </w:rPr>
              <w:t>19</w:t>
            </w:r>
          </w:p>
        </w:tc>
        <w:tc>
          <w:tcPr>
            <w:tcW w:w="481" w:type="pct"/>
            <w:vAlign w:val="center"/>
          </w:tcPr>
          <w:p w14:paraId="310EE106" w14:textId="57419A5D"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22DB7827" w14:textId="1CA657BA"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1013FFEA" w14:textId="77777777" w:rsidTr="00323099">
        <w:trPr>
          <w:trHeight w:val="288"/>
        </w:trPr>
        <w:tc>
          <w:tcPr>
            <w:tcW w:w="540" w:type="pct"/>
            <w:vAlign w:val="center"/>
          </w:tcPr>
          <w:p w14:paraId="1F5083E9" w14:textId="77777777" w:rsidR="007A0836" w:rsidRPr="00AC23E6" w:rsidRDefault="007A0836"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t>S</w:t>
            </w:r>
            <w:r w:rsidRPr="00AC23E6">
              <w:rPr>
                <w:rFonts w:ascii="Times New Roman" w:hAnsi="Times New Roman"/>
                <w:sz w:val="14"/>
                <w:szCs w:val="18"/>
              </w:rPr>
              <w:t>Wood</w:t>
            </w:r>
            <w:proofErr w:type="spellEnd"/>
            <w:r w:rsidRPr="00AC23E6">
              <w:rPr>
                <w:rFonts w:ascii="Times New Roman" w:hAnsi="Times New Roman"/>
                <w:sz w:val="14"/>
                <w:szCs w:val="18"/>
              </w:rPr>
              <w:t>-inhabiting fungi</w:t>
            </w:r>
          </w:p>
        </w:tc>
        <w:tc>
          <w:tcPr>
            <w:tcW w:w="944" w:type="pct"/>
            <w:vAlign w:val="center"/>
          </w:tcPr>
          <w:p w14:paraId="6EE13784"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511BB3CB" w14:textId="439F97D8"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2ECD61DE"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18304370" w14:textId="53834770"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0E97E599"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744FE41D"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2" w:type="pct"/>
            <w:vAlign w:val="center"/>
          </w:tcPr>
          <w:p w14:paraId="37EF1BF4" w14:textId="5B8BE1B0" w:rsidR="007A0836" w:rsidRPr="00E87EEC" w:rsidRDefault="00A9341E"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r w:rsidR="007A0836" w:rsidRPr="00E87EEC">
              <w:rPr>
                <w:rFonts w:ascii="Times New Roman" w:hAnsi="Times New Roman"/>
                <w:sz w:val="14"/>
                <w:szCs w:val="18"/>
              </w:rPr>
              <w:t>19</w:t>
            </w:r>
          </w:p>
        </w:tc>
        <w:tc>
          <w:tcPr>
            <w:tcW w:w="481" w:type="pct"/>
            <w:vAlign w:val="center"/>
          </w:tcPr>
          <w:p w14:paraId="6B103D60" w14:textId="76819702"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690F6EA1" w14:textId="44013CAD"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0FB05DA4" w14:textId="77777777" w:rsidTr="00323099">
        <w:trPr>
          <w:trHeight w:val="288"/>
        </w:trPr>
        <w:tc>
          <w:tcPr>
            <w:tcW w:w="540" w:type="pct"/>
            <w:vAlign w:val="center"/>
          </w:tcPr>
          <w:p w14:paraId="6A4D7D49" w14:textId="77777777" w:rsidR="007A0836" w:rsidRPr="00AC23E6" w:rsidRDefault="007A0836" w:rsidP="00323099">
            <w:pPr>
              <w:spacing w:after="0" w:line="276" w:lineRule="auto"/>
              <w:jc w:val="center"/>
              <w:rPr>
                <w:rFonts w:ascii="Times New Roman" w:hAnsi="Times New Roman"/>
                <w:sz w:val="14"/>
                <w:szCs w:val="18"/>
              </w:rPr>
            </w:pPr>
            <w:proofErr w:type="spellStart"/>
            <w:r w:rsidRPr="00AC23E6">
              <w:rPr>
                <w:rFonts w:ascii="Times New Roman" w:hAnsi="Times New Roman"/>
                <w:sz w:val="14"/>
                <w:szCs w:val="18"/>
                <w:vertAlign w:val="superscript"/>
              </w:rPr>
              <w:t>S</w:t>
            </w:r>
            <w:r w:rsidRPr="00AC23E6">
              <w:rPr>
                <w:rFonts w:ascii="Times New Roman" w:hAnsi="Times New Roman"/>
                <w:sz w:val="14"/>
                <w:szCs w:val="18"/>
              </w:rPr>
              <w:t>Saproxylic</w:t>
            </w:r>
            <w:proofErr w:type="spellEnd"/>
            <w:r w:rsidRPr="00AC23E6">
              <w:rPr>
                <w:rFonts w:ascii="Times New Roman" w:hAnsi="Times New Roman"/>
                <w:sz w:val="14"/>
                <w:szCs w:val="18"/>
              </w:rPr>
              <w:t xml:space="preserve"> beetles</w:t>
            </w:r>
          </w:p>
        </w:tc>
        <w:tc>
          <w:tcPr>
            <w:tcW w:w="944" w:type="pct"/>
            <w:vAlign w:val="center"/>
          </w:tcPr>
          <w:p w14:paraId="39CC4C16"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6D8FB76A" w14:textId="46C0B6CD"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3D7C4C07"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647D7F62" w14:textId="59F4E1A1"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3D8CC072"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5BBFBA31"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72" w:type="pct"/>
            <w:vAlign w:val="center"/>
          </w:tcPr>
          <w:p w14:paraId="6556CF67"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81" w:type="pct"/>
            <w:vAlign w:val="center"/>
          </w:tcPr>
          <w:p w14:paraId="4E5F87F2" w14:textId="2D1E2733"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41EF2D79" w14:textId="7AB62D0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794B5A11" w14:textId="77777777" w:rsidTr="00323099">
        <w:trPr>
          <w:trHeight w:val="288"/>
        </w:trPr>
        <w:tc>
          <w:tcPr>
            <w:tcW w:w="540" w:type="pct"/>
            <w:vAlign w:val="center"/>
          </w:tcPr>
          <w:p w14:paraId="7C051884"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6A8A8C24"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602F3B96" w14:textId="0CD8DAAC"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0F0DC2A9"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64" w:type="pct"/>
            <w:vAlign w:val="center"/>
          </w:tcPr>
          <w:p w14:paraId="1DF186B8" w14:textId="49A5D130"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55C9F298"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3F6CA270" w14:textId="097FED81" w:rsidR="007A0836" w:rsidRPr="00E87EEC" w:rsidRDefault="00B91D81" w:rsidP="00323099">
            <w:pPr>
              <w:spacing w:after="0" w:line="240" w:lineRule="auto"/>
              <w:jc w:val="center"/>
              <w:rPr>
                <w:rFonts w:ascii="Times New Roman" w:hAnsi="Times New Roman"/>
                <w:sz w:val="14"/>
                <w:szCs w:val="18"/>
              </w:rPr>
            </w:pPr>
            <w:r w:rsidRPr="00E87EEC">
              <w:rPr>
                <w:rFonts w:ascii="Times New Roman" w:hAnsi="Times New Roman"/>
                <w:sz w:val="14"/>
                <w:szCs w:val="18"/>
              </w:rPr>
              <w:t>20–</w:t>
            </w:r>
            <w:r w:rsidR="005A4CE0">
              <w:rPr>
                <w:rFonts w:ascii="Times New Roman" w:hAnsi="Times New Roman"/>
                <w:sz w:val="14"/>
                <w:szCs w:val="18"/>
              </w:rPr>
              <w:t>21</w:t>
            </w:r>
          </w:p>
        </w:tc>
        <w:tc>
          <w:tcPr>
            <w:tcW w:w="472" w:type="pct"/>
            <w:vAlign w:val="center"/>
          </w:tcPr>
          <w:p w14:paraId="45A067C5" w14:textId="2BA1021D" w:rsidR="007A0836" w:rsidRPr="00E87EEC" w:rsidRDefault="000A5945" w:rsidP="00323099">
            <w:pPr>
              <w:spacing w:after="0" w:line="240" w:lineRule="auto"/>
              <w:jc w:val="center"/>
              <w:rPr>
                <w:rFonts w:ascii="Times New Roman" w:hAnsi="Times New Roman"/>
                <w:sz w:val="14"/>
                <w:szCs w:val="18"/>
              </w:rPr>
            </w:pPr>
            <w:r>
              <w:rPr>
                <w:rFonts w:ascii="Times New Roman" w:hAnsi="Times New Roman"/>
                <w:sz w:val="14"/>
                <w:szCs w:val="18"/>
              </w:rPr>
              <w:t>20–32</w:t>
            </w:r>
          </w:p>
        </w:tc>
        <w:tc>
          <w:tcPr>
            <w:tcW w:w="481" w:type="pct"/>
            <w:vAlign w:val="center"/>
          </w:tcPr>
          <w:p w14:paraId="35B9DC8A" w14:textId="5161258B"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0.785</w:t>
            </w:r>
          </w:p>
        </w:tc>
        <w:tc>
          <w:tcPr>
            <w:tcW w:w="272" w:type="pct"/>
            <w:vAlign w:val="center"/>
          </w:tcPr>
          <w:p w14:paraId="364E6A28" w14:textId="2A2DB8F0"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68D213EB" w14:textId="77777777" w:rsidTr="00323099">
        <w:trPr>
          <w:trHeight w:val="288"/>
        </w:trPr>
        <w:tc>
          <w:tcPr>
            <w:tcW w:w="540" w:type="pct"/>
            <w:vAlign w:val="center"/>
          </w:tcPr>
          <w:p w14:paraId="5ACB40B3"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Hymenoptera</w:t>
            </w:r>
          </w:p>
        </w:tc>
        <w:tc>
          <w:tcPr>
            <w:tcW w:w="944" w:type="pct"/>
            <w:vAlign w:val="center"/>
          </w:tcPr>
          <w:p w14:paraId="427DFD0D"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7661B662" w14:textId="0470815E"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1D9EC590"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6F0DF7CE" w14:textId="4038B7E3"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64" w:type="pct"/>
            <w:vAlign w:val="center"/>
          </w:tcPr>
          <w:p w14:paraId="05E89985"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47562436"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72" w:type="pct"/>
            <w:vAlign w:val="center"/>
          </w:tcPr>
          <w:p w14:paraId="4EB7FB7D"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81" w:type="pct"/>
            <w:vAlign w:val="center"/>
          </w:tcPr>
          <w:p w14:paraId="0337DC61" w14:textId="38D6BCE3"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110E3348" w14:textId="3E88AC4C"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553DA877" w14:textId="77777777" w:rsidTr="00323099">
        <w:trPr>
          <w:trHeight w:val="288"/>
        </w:trPr>
        <w:tc>
          <w:tcPr>
            <w:tcW w:w="540" w:type="pct"/>
            <w:vAlign w:val="center"/>
          </w:tcPr>
          <w:p w14:paraId="5E530924"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Non-saproxylic beetles</w:t>
            </w:r>
          </w:p>
        </w:tc>
        <w:tc>
          <w:tcPr>
            <w:tcW w:w="944" w:type="pct"/>
            <w:vAlign w:val="center"/>
          </w:tcPr>
          <w:p w14:paraId="3292A410"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Bavarian Forest National Park, Germany</w:t>
            </w:r>
          </w:p>
        </w:tc>
        <w:tc>
          <w:tcPr>
            <w:tcW w:w="471" w:type="pct"/>
            <w:vAlign w:val="center"/>
          </w:tcPr>
          <w:p w14:paraId="3EACC890" w14:textId="3AEE7B47"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0597127C"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0FACCE2E" w14:textId="0475BA66"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64" w:type="pct"/>
            <w:vAlign w:val="center"/>
          </w:tcPr>
          <w:p w14:paraId="736E77DA"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6FF8C86C"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72" w:type="pct"/>
            <w:vAlign w:val="center"/>
          </w:tcPr>
          <w:p w14:paraId="362DDC88"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22</w:t>
            </w:r>
          </w:p>
        </w:tc>
        <w:tc>
          <w:tcPr>
            <w:tcW w:w="481" w:type="pct"/>
            <w:vAlign w:val="center"/>
          </w:tcPr>
          <w:p w14:paraId="18722CA5" w14:textId="5807A127"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6F27643F" w14:textId="73913C86"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822CFE" w:rsidRPr="00E87EEC">
              <w:rPr>
                <w:rFonts w:ascii="Times New Roman" w:hAnsi="Times New Roman"/>
                <w:sz w:val="14"/>
                <w:szCs w:val="18"/>
              </w:rPr>
              <w:instrText>ADDIN CSL_CITATION {"citationItems":[{"id":"ITEM-1","itemData":{"DOI":"10.1111/ele.12548","ISSN":"1461023X","abstract":"The species–energy hypothesis predicts that more productive areas support higher species richness. Conversely, when resources are reduced, species richness is reduced. Empirical tests of whether extinctions are predominantly caused by environmental constraints or competitive exclusion are lacking. We experimentally reduced dead-wood to ~ 15% of the initial amount after a major windstorm and examined changes in assembly mechanisms by combining trait-based and evolutionary species dissimilarities of eight taxonomic groups, differing in their dependence on dead-wood (saproxylic/ non-saproxylic). Species richness and assembly mechanisms of non-saproxylic taxa remained largely unaffected by removal of dead-wood. By contrast, extinctions of saproxylic species were caused by reversing the predominant assembly mechanisms (e.g. increasing importance of competitive exclusion for communities assembled through environmental filtering or vice versa). We found no evidence for an intensification of the predominant assembly mechanism (e.g., competitive exclusion becoming stronger in a competitively structured community).","author":[{"dropping-particle":"","family":"Thorn","given":"Simon","non-dropping-particle":"","parse-names":false,"suffix":""},{"dropping-particle":"","family":"Bässler","given":"Claus","non-dropping-particle":"","parse-names":false,"suffix":""},{"dropping-particle":"","family":"Bernhardt-Römermann","given":"Markus","non-dropping-particle":"","parse-names":false,"suffix":""},{"dropping-particle":"","family":"Cadotte","given":"Marc","non-dropping-particle":"","parse-names":false,"suffix":""},{"dropping-particle":"","family":"Heibl","given":"Christoph","non-dropping-particle":"","parse-names":false,"suffix":""},{"dropping-particle":"","family":"Schäfer","given":"Hanno","non-dropping-particle":"","parse-names":false,"suffix":""},{"dropping-particle":"","family":"Seibold","given":"Sebastian","non-dropping-particle":"","parse-names":false,"suffix":""},{"dropping-particle":"","family":"Müller","given":"Jörg","non-dropping-particle":"","parse-names":false,"suffix":""}],"container-title":"Ecology Letters","editor":[{"dropping-particle":"","family":"Thrall","given":"Peter","non-dropping-particle":"","parse-names":false,"suffix":""}],"id":"ITEM-1","issue":"2","issued":{"date-parts":[["2016","2"]]},"page":"163-170","title":"Changes in the dominant assembly mechanism drive species loss caused by declining resources","type":"article-journal","volume":"19"},"uris":["http://www.mendeley.com/documents/?uuid=b1cb0f11-b4a7-4990-b606-6400576707e2"]}],"mendeley":{"formattedCitation":"&lt;sup&gt;18&lt;/sup&gt;","plainTextFormattedCitation":"18","previouslyFormattedCitation":"&lt;sup&gt;18&lt;/sup&gt;"},"properties":{"noteIndex":0},"schema":"https://github.com/citation-style-language/schema/raw/master/csl-citation.json"}</w:instrText>
            </w:r>
            <w:r w:rsidRPr="00E87EEC">
              <w:rPr>
                <w:rFonts w:ascii="Times New Roman" w:hAnsi="Times New Roman"/>
                <w:sz w:val="14"/>
                <w:szCs w:val="18"/>
              </w:rPr>
              <w:fldChar w:fldCharType="separate"/>
            </w:r>
            <w:r w:rsidR="00A578C2" w:rsidRPr="00E87EEC">
              <w:rPr>
                <w:rFonts w:ascii="Times New Roman" w:hAnsi="Times New Roman"/>
                <w:noProof/>
                <w:sz w:val="14"/>
                <w:szCs w:val="18"/>
                <w:vertAlign w:val="superscript"/>
              </w:rPr>
              <w:t>18</w:t>
            </w:r>
            <w:r w:rsidRPr="00E87EEC">
              <w:rPr>
                <w:rFonts w:ascii="Times New Roman" w:hAnsi="Times New Roman"/>
                <w:sz w:val="14"/>
                <w:szCs w:val="18"/>
              </w:rPr>
              <w:fldChar w:fldCharType="end"/>
            </w:r>
            <w:r w:rsidRPr="00E87EEC">
              <w:rPr>
                <w:rFonts w:ascii="Times New Roman" w:hAnsi="Times New Roman"/>
                <w:sz w:val="14"/>
                <w:szCs w:val="18"/>
              </w:rPr>
              <w:t>*</w:t>
            </w:r>
          </w:p>
        </w:tc>
      </w:tr>
      <w:tr w:rsidR="00725205" w:rsidRPr="00AC23E6" w14:paraId="4914BF65" w14:textId="77777777" w:rsidTr="00323099">
        <w:trPr>
          <w:trHeight w:val="288"/>
        </w:trPr>
        <w:tc>
          <w:tcPr>
            <w:tcW w:w="540" w:type="pct"/>
            <w:vAlign w:val="center"/>
          </w:tcPr>
          <w:p w14:paraId="35864442" w14:textId="38AE328C" w:rsidR="00725205" w:rsidRPr="00AC23E6" w:rsidRDefault="00725205" w:rsidP="00323099">
            <w:pPr>
              <w:spacing w:after="0" w:line="276" w:lineRule="auto"/>
              <w:jc w:val="center"/>
              <w:rPr>
                <w:rFonts w:ascii="Times New Roman" w:hAnsi="Times New Roman"/>
                <w:sz w:val="14"/>
                <w:szCs w:val="18"/>
              </w:rPr>
            </w:pPr>
            <w:r>
              <w:rPr>
                <w:rFonts w:ascii="Times New Roman" w:hAnsi="Times New Roman"/>
                <w:sz w:val="14"/>
                <w:szCs w:val="18"/>
              </w:rPr>
              <w:t>Birds</w:t>
            </w:r>
          </w:p>
        </w:tc>
        <w:tc>
          <w:tcPr>
            <w:tcW w:w="944" w:type="pct"/>
            <w:vAlign w:val="center"/>
          </w:tcPr>
          <w:p w14:paraId="7AF555DD" w14:textId="1D28842E" w:rsidR="00725205" w:rsidRPr="00AC23E6" w:rsidRDefault="00B91D81" w:rsidP="00323099">
            <w:pPr>
              <w:spacing w:after="0" w:line="240" w:lineRule="auto"/>
              <w:jc w:val="center"/>
              <w:rPr>
                <w:rFonts w:ascii="Times New Roman" w:hAnsi="Times New Roman"/>
                <w:sz w:val="14"/>
                <w:szCs w:val="18"/>
              </w:rPr>
            </w:pPr>
            <w:r>
              <w:rPr>
                <w:rFonts w:ascii="Times New Roman" w:hAnsi="Times New Roman"/>
                <w:sz w:val="14"/>
                <w:szCs w:val="18"/>
              </w:rPr>
              <w:t>S</w:t>
            </w:r>
            <w:r w:rsidR="00725205">
              <w:rPr>
                <w:rFonts w:ascii="Times New Roman" w:hAnsi="Times New Roman"/>
                <w:sz w:val="14"/>
                <w:szCs w:val="18"/>
              </w:rPr>
              <w:t>weden</w:t>
            </w:r>
          </w:p>
        </w:tc>
        <w:tc>
          <w:tcPr>
            <w:tcW w:w="471" w:type="pct"/>
            <w:vAlign w:val="center"/>
          </w:tcPr>
          <w:p w14:paraId="30EC00D6" w14:textId="736F96B9" w:rsidR="00725205" w:rsidRDefault="00725205"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68E8EDD4" w14:textId="1138BB23" w:rsidR="00725205" w:rsidRPr="00E87EEC" w:rsidRDefault="00536E04" w:rsidP="00323099">
            <w:pPr>
              <w:spacing w:after="0" w:line="240" w:lineRule="auto"/>
              <w:jc w:val="center"/>
              <w:rPr>
                <w:rFonts w:ascii="Times New Roman" w:hAnsi="Times New Roman"/>
                <w:sz w:val="14"/>
                <w:szCs w:val="18"/>
              </w:rPr>
            </w:pPr>
            <w:r>
              <w:rPr>
                <w:rFonts w:ascii="Times New Roman" w:hAnsi="Times New Roman"/>
                <w:sz w:val="14"/>
                <w:szCs w:val="18"/>
              </w:rPr>
              <w:t>4</w:t>
            </w:r>
          </w:p>
        </w:tc>
        <w:tc>
          <w:tcPr>
            <w:tcW w:w="464" w:type="pct"/>
            <w:vAlign w:val="center"/>
          </w:tcPr>
          <w:p w14:paraId="4AF8C0EC" w14:textId="03D11E3F" w:rsidR="00725205" w:rsidRPr="00E87EEC" w:rsidRDefault="00536E04" w:rsidP="00323099">
            <w:pPr>
              <w:spacing w:after="0" w:line="240" w:lineRule="auto"/>
              <w:jc w:val="center"/>
              <w:rPr>
                <w:rFonts w:ascii="Times New Roman" w:hAnsi="Times New Roman"/>
                <w:sz w:val="14"/>
                <w:szCs w:val="18"/>
              </w:rPr>
            </w:pPr>
            <w:r>
              <w:rPr>
                <w:rFonts w:ascii="Times New Roman" w:hAnsi="Times New Roman"/>
                <w:sz w:val="14"/>
                <w:szCs w:val="18"/>
              </w:rPr>
              <w:t>1</w:t>
            </w:r>
          </w:p>
        </w:tc>
        <w:tc>
          <w:tcPr>
            <w:tcW w:w="464" w:type="pct"/>
            <w:vAlign w:val="center"/>
          </w:tcPr>
          <w:p w14:paraId="440DEE95" w14:textId="32FF4AFE" w:rsidR="00725205" w:rsidRPr="00E87EEC" w:rsidRDefault="00725205" w:rsidP="00323099">
            <w:pPr>
              <w:spacing w:after="0" w:line="240" w:lineRule="auto"/>
              <w:jc w:val="center"/>
              <w:rPr>
                <w:rFonts w:ascii="Times New Roman" w:hAnsi="Times New Roman"/>
                <w:sz w:val="14"/>
                <w:szCs w:val="18"/>
              </w:rPr>
            </w:pPr>
            <w:r w:rsidRPr="00E87EEC">
              <w:rPr>
                <w:rFonts w:ascii="Times New Roman" w:hAnsi="Times New Roman"/>
                <w:sz w:val="14"/>
                <w:szCs w:val="18"/>
              </w:rPr>
              <w:t>4</w:t>
            </w:r>
          </w:p>
        </w:tc>
        <w:tc>
          <w:tcPr>
            <w:tcW w:w="478" w:type="pct"/>
            <w:vAlign w:val="center"/>
          </w:tcPr>
          <w:p w14:paraId="6586A397" w14:textId="59DA57D4" w:rsidR="00725205" w:rsidRPr="00E87EEC" w:rsidRDefault="00725205" w:rsidP="00323099">
            <w:pPr>
              <w:spacing w:after="0" w:line="240" w:lineRule="auto"/>
              <w:jc w:val="center"/>
              <w:rPr>
                <w:rFonts w:ascii="Times New Roman" w:hAnsi="Times New Roman"/>
                <w:sz w:val="14"/>
                <w:szCs w:val="18"/>
              </w:rPr>
            </w:pPr>
            <w:r w:rsidRPr="00E87EEC">
              <w:rPr>
                <w:rFonts w:ascii="Times New Roman" w:hAnsi="Times New Roman"/>
                <w:sz w:val="14"/>
                <w:szCs w:val="18"/>
              </w:rPr>
              <w:t>69</w:t>
            </w:r>
          </w:p>
        </w:tc>
        <w:tc>
          <w:tcPr>
            <w:tcW w:w="472" w:type="pct"/>
            <w:vAlign w:val="center"/>
          </w:tcPr>
          <w:p w14:paraId="793ED369" w14:textId="579BDCE5" w:rsidR="00725205" w:rsidRPr="00E87EEC" w:rsidRDefault="00725205" w:rsidP="00323099">
            <w:pPr>
              <w:spacing w:after="0" w:line="240" w:lineRule="auto"/>
              <w:jc w:val="center"/>
              <w:rPr>
                <w:rFonts w:ascii="Times New Roman" w:hAnsi="Times New Roman"/>
                <w:sz w:val="14"/>
                <w:szCs w:val="18"/>
              </w:rPr>
            </w:pPr>
            <w:r w:rsidRPr="00E87EEC">
              <w:rPr>
                <w:rFonts w:ascii="Times New Roman" w:hAnsi="Times New Roman"/>
                <w:sz w:val="14"/>
                <w:szCs w:val="18"/>
              </w:rPr>
              <w:t>40</w:t>
            </w:r>
          </w:p>
        </w:tc>
        <w:tc>
          <w:tcPr>
            <w:tcW w:w="481" w:type="pct"/>
            <w:vAlign w:val="center"/>
          </w:tcPr>
          <w:p w14:paraId="7A415123" w14:textId="61B230E0" w:rsidR="00725205" w:rsidRPr="00E87EEC" w:rsidRDefault="00725205" w:rsidP="00323099">
            <w:pPr>
              <w:spacing w:after="0" w:line="240" w:lineRule="auto"/>
              <w:jc w:val="center"/>
              <w:rPr>
                <w:rFonts w:ascii="Times New Roman" w:hAnsi="Times New Roman"/>
                <w:sz w:val="14"/>
                <w:szCs w:val="18"/>
              </w:rPr>
            </w:pPr>
            <w:r w:rsidRPr="00E87EEC">
              <w:rPr>
                <w:rFonts w:ascii="Times New Roman" w:hAnsi="Times New Roman"/>
                <w:sz w:val="14"/>
                <w:szCs w:val="18"/>
              </w:rPr>
              <w:t>0.785</w:t>
            </w:r>
          </w:p>
        </w:tc>
        <w:tc>
          <w:tcPr>
            <w:tcW w:w="272" w:type="pct"/>
            <w:vAlign w:val="center"/>
          </w:tcPr>
          <w:p w14:paraId="36D29E6E" w14:textId="7FA56888" w:rsidR="00725205" w:rsidRPr="00E87EEC" w:rsidRDefault="00725205"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4EDD">
              <w:rPr>
                <w:rFonts w:ascii="Times New Roman" w:hAnsi="Times New Roman"/>
                <w:sz w:val="14"/>
                <w:szCs w:val="18"/>
              </w:rPr>
              <w:instrText>ADDIN CSL_CITATION {"citationItems":[{"id":"ITEM-1","itemData":{"DOI":"10.1016/j.gecco.2019.e00636","ISSN":"23519894","abstract":"Salvage logging after disturbances in forests substantially modifies vegetation structure and dead wood availability, but empirical evidence on its impact on biodiversity, especially in European boreal forest, is sparse. In this study we investigated the short-term effect of post-fire salvage logging on species richness and abundance of birds in recently burned mixed coniferous forest. Using point counts we estimated local species composition at 49 salvaged sites and 55 non-intervention sites (burnt forest left for natural regeneration) that were not logged after a fire in south-central Sweden. Local species richness, abundance and Simpson's species diversity index were significantly higher at non-intervention sites compared to salvaged sites. Forest birds that rely on structurally complex forest stands, such as tits (Parus major, Lophophanes cristatus, Poecile montanus), robin (Erithacus rubecula), mistle trush (Turdus viscivorus) and tree-toed woodpecker (Picoides tridactylus) were mainly associated with non-intervention sites, while species that are typically linked to farm- or shrublands, such as whinchat (Saxicola rubetra), white wagtail (Motacilla alba), red-backed shrike (Lanius collurio), and meadow pipit (Anthus pratensis) were more common at salvaged sites. These results are consistent with the idea that post-fire salvage logging has an immediate impact on the bird species composition and abundance in boreal forest. We conclude that although post-fire salvage logging may be beneficial for birds occurring in open landscapes, it has negative effects for forest bird species richness and abundance, at least over the short term. To protect typical forest communities with many forest specialists of high conservation concern, we recommend reducing the extent of post-disturbance salvaging in forests of high conservation value and updating the existing management policy to restore the amount of woody debris and facilitate long-term structural complexity and biodiversity in densely stocked conifer stands.","author":[{"dropping-particle":"","family":"Zmihorski","given":"Michał","non-dropping-particle":"","parse-names":false,"suffix":""},{"dropping-particle":"","family":"Hebda","given":"Grzegorz","non-dropping-particle":"","parse-names":false,"suffix":""},{"dropping-particle":"","family":"Eggers","given":"Sönke","non-dropping-particle":"","parse-names":false,"suffix":""},{"dropping-particle":"","family":"Månsson","given":"Johan","non-dropping-particle":"","parse-names":false,"suffix":""},{"dropping-particle":"","family":"Abrahamsson","given":"Tommy","non-dropping-particle":"","parse-names":false,"suffix":""},{"dropping-particle":"","family":"Czeszczewik","given":"Dorota","non-dropping-particle":"","parse-names":false,"suffix":""},{"dropping-particle":"","family":"Walankiewicz","given":"Wiesław","non-dropping-particle":"","parse-names":false,"suffix":""},{"dropping-particle":"","family":"Mikusiński","given":"Grzegorz","non-dropping-particle":"","parse-names":false,"suffix":""}],"container-title":"Global Ecology and Conservation","id":"ITEM-1","issued":{"date-parts":[["2019","4"]]},"page":"e00636","title":"Early post-fire bird community in European boreal forest: Comparing salvage-logged with non-intervention areas","type":"article-journal","volume":"18"},"uris":["http://www.mendeley.com/documents/?uuid=7ad7a3e6-5007-439f-b729-aab978140961"]}],"mendeley":{"formattedCitation":"&lt;sup&gt;19&lt;/sup&gt;","plainTextFormattedCitation":"19","previouslyFormattedCitation":"&lt;sup&gt;19&lt;/sup&gt;"},"properties":{"noteIndex":0},"schema":"https://github.com/citation-style-language/schema/raw/master/csl-citation.json"}</w:instrText>
            </w:r>
            <w:r w:rsidRPr="00E87EEC">
              <w:rPr>
                <w:rFonts w:ascii="Times New Roman" w:hAnsi="Times New Roman"/>
                <w:sz w:val="14"/>
                <w:szCs w:val="18"/>
              </w:rPr>
              <w:fldChar w:fldCharType="separate"/>
            </w:r>
            <w:r w:rsidRPr="00E87EEC">
              <w:rPr>
                <w:rFonts w:ascii="Times New Roman" w:hAnsi="Times New Roman"/>
                <w:noProof/>
                <w:sz w:val="14"/>
                <w:szCs w:val="18"/>
                <w:vertAlign w:val="superscript"/>
              </w:rPr>
              <w:t>19</w:t>
            </w:r>
            <w:r w:rsidRPr="00E87EEC">
              <w:rPr>
                <w:rFonts w:ascii="Times New Roman" w:hAnsi="Times New Roman"/>
                <w:sz w:val="14"/>
                <w:szCs w:val="18"/>
              </w:rPr>
              <w:fldChar w:fldCharType="end"/>
            </w:r>
            <w:r w:rsidR="003F7BE1" w:rsidRPr="00E87EEC">
              <w:rPr>
                <w:rFonts w:ascii="Times New Roman" w:hAnsi="Times New Roman"/>
                <w:sz w:val="14"/>
                <w:szCs w:val="18"/>
              </w:rPr>
              <w:t>*</w:t>
            </w:r>
          </w:p>
        </w:tc>
      </w:tr>
      <w:tr w:rsidR="007A0836" w:rsidRPr="00AC23E6" w14:paraId="534A167C" w14:textId="77777777" w:rsidTr="00323099">
        <w:trPr>
          <w:trHeight w:val="288"/>
        </w:trPr>
        <w:tc>
          <w:tcPr>
            <w:tcW w:w="540" w:type="pct"/>
            <w:vAlign w:val="center"/>
          </w:tcPr>
          <w:p w14:paraId="3974C681"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Scuttle flies</w:t>
            </w:r>
          </w:p>
        </w:tc>
        <w:tc>
          <w:tcPr>
            <w:tcW w:w="944" w:type="pct"/>
            <w:vAlign w:val="center"/>
          </w:tcPr>
          <w:p w14:paraId="4FF02492" w14:textId="522C1131"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Poland</w:t>
            </w:r>
          </w:p>
        </w:tc>
        <w:tc>
          <w:tcPr>
            <w:tcW w:w="471" w:type="pct"/>
            <w:vAlign w:val="center"/>
          </w:tcPr>
          <w:p w14:paraId="4AB7C97C" w14:textId="08382C53"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07B968BA"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6EF35067" w14:textId="0DEDFBF9"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p>
        </w:tc>
        <w:tc>
          <w:tcPr>
            <w:tcW w:w="464" w:type="pct"/>
            <w:vAlign w:val="center"/>
          </w:tcPr>
          <w:p w14:paraId="07607F66"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p>
        </w:tc>
        <w:tc>
          <w:tcPr>
            <w:tcW w:w="478" w:type="pct"/>
            <w:vAlign w:val="center"/>
          </w:tcPr>
          <w:p w14:paraId="1C0428D3"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72" w:type="pct"/>
            <w:vAlign w:val="center"/>
          </w:tcPr>
          <w:p w14:paraId="669EE60A"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81" w:type="pct"/>
            <w:vAlign w:val="center"/>
          </w:tcPr>
          <w:p w14:paraId="78EC0118" w14:textId="48438DA4" w:rsidR="007A0836" w:rsidRPr="00E87EEC" w:rsidRDefault="005F7DB6" w:rsidP="00323099">
            <w:pPr>
              <w:spacing w:after="0" w:line="240" w:lineRule="auto"/>
              <w:jc w:val="center"/>
              <w:rPr>
                <w:rFonts w:ascii="Times New Roman" w:hAnsi="Times New Roman"/>
                <w:sz w:val="14"/>
                <w:szCs w:val="18"/>
              </w:rPr>
            </w:pPr>
            <w:proofErr w:type="spellStart"/>
            <w:r>
              <w:rPr>
                <w:rFonts w:ascii="Times New Roman" w:hAnsi="Times New Roman"/>
                <w:sz w:val="14"/>
                <w:szCs w:val="18"/>
              </w:rPr>
              <w:t>n.a.</w:t>
            </w:r>
            <w:proofErr w:type="spellEnd"/>
          </w:p>
        </w:tc>
        <w:tc>
          <w:tcPr>
            <w:tcW w:w="272" w:type="pct"/>
            <w:vAlign w:val="center"/>
          </w:tcPr>
          <w:p w14:paraId="10F2F267" w14:textId="34F45046"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5205" w:rsidRPr="00E87EEC">
              <w:rPr>
                <w:rFonts w:ascii="Times New Roman" w:hAnsi="Times New Roman"/>
                <w:sz w:val="14"/>
                <w:szCs w:val="18"/>
              </w:rPr>
              <w:instrText>ADDIN CSL_CITATION {"citationItems":[{"id":"ITEM-1","itemData":{"DOI":"10.1007/s10531-013-0522-4","ISBN":"0960-3115","author":[{"dropping-particle":"","family":"Durska","given":"Ewa","non-dropping-particle":"","parse-names":false,"suffix":""}],"container-title":"Biodiversity and Conservation","id":"ITEM-1","issue":"9","issued":{"date-parts":[["2013"]]},"note":"Biodivers Conserv","page":"1991-2021","publisher":"Springer Netherlands","title":"Effects of disturbances on scuttle flies (Diptera: Phoridae) in Pine Forests","type":"article-journal","volume":"22"},"uris":["http://www.mendeley.com/documents/?uuid=8752862b-5f82-43a9-b72f-41c0f2b68b8c"]}],"mendeley":{"formattedCitation":"&lt;sup&gt;20&lt;/sup&gt;","plainTextFormattedCitation":"20","previouslyFormattedCitation":"&lt;sup&gt;20&lt;/sup&gt;"},"properties":{"noteIndex":0},"schema":"https://github.com/citation-style-language/schema/raw/master/csl-citation.json"}</w:instrText>
            </w:r>
            <w:r w:rsidRPr="00E87EEC">
              <w:rPr>
                <w:rFonts w:ascii="Times New Roman" w:hAnsi="Times New Roman"/>
                <w:sz w:val="14"/>
                <w:szCs w:val="18"/>
              </w:rPr>
              <w:fldChar w:fldCharType="separate"/>
            </w:r>
            <w:r w:rsidR="00725205" w:rsidRPr="00E87EEC">
              <w:rPr>
                <w:rFonts w:ascii="Times New Roman" w:hAnsi="Times New Roman"/>
                <w:noProof/>
                <w:sz w:val="14"/>
                <w:szCs w:val="18"/>
                <w:vertAlign w:val="superscript"/>
              </w:rPr>
              <w:t>20</w:t>
            </w:r>
            <w:r w:rsidRPr="00E87EEC">
              <w:rPr>
                <w:rFonts w:ascii="Times New Roman" w:hAnsi="Times New Roman"/>
                <w:sz w:val="14"/>
                <w:szCs w:val="18"/>
              </w:rPr>
              <w:fldChar w:fldCharType="end"/>
            </w:r>
          </w:p>
        </w:tc>
      </w:tr>
      <w:tr w:rsidR="007A0836" w:rsidRPr="00AC23E6" w14:paraId="11F8DF6E" w14:textId="77777777" w:rsidTr="00323099">
        <w:trPr>
          <w:trHeight w:val="288"/>
        </w:trPr>
        <w:tc>
          <w:tcPr>
            <w:tcW w:w="540" w:type="pct"/>
            <w:vAlign w:val="center"/>
          </w:tcPr>
          <w:p w14:paraId="5C4D6E4F"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218DAFAF" w14:textId="2962E65C"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P</w:t>
            </w:r>
            <w:r w:rsidR="007A0836" w:rsidRPr="00AC23E6">
              <w:rPr>
                <w:rFonts w:ascii="Times New Roman" w:hAnsi="Times New Roman"/>
                <w:sz w:val="14"/>
                <w:szCs w:val="18"/>
              </w:rPr>
              <w:t>oland</w:t>
            </w:r>
          </w:p>
        </w:tc>
        <w:tc>
          <w:tcPr>
            <w:tcW w:w="471" w:type="pct"/>
            <w:vAlign w:val="center"/>
          </w:tcPr>
          <w:p w14:paraId="53997E07" w14:textId="6DA50574"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Wind</w:t>
            </w:r>
          </w:p>
        </w:tc>
        <w:tc>
          <w:tcPr>
            <w:tcW w:w="414" w:type="pct"/>
            <w:vAlign w:val="center"/>
          </w:tcPr>
          <w:p w14:paraId="4284A7E3"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3</w:t>
            </w:r>
          </w:p>
        </w:tc>
        <w:tc>
          <w:tcPr>
            <w:tcW w:w="464" w:type="pct"/>
            <w:vAlign w:val="center"/>
          </w:tcPr>
          <w:p w14:paraId="76298508" w14:textId="38B755E8"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31E16E61"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11</w:t>
            </w:r>
          </w:p>
        </w:tc>
        <w:tc>
          <w:tcPr>
            <w:tcW w:w="478" w:type="pct"/>
            <w:vAlign w:val="center"/>
          </w:tcPr>
          <w:p w14:paraId="30545D6D" w14:textId="36911185" w:rsidR="007A0836" w:rsidRPr="00E87EEC" w:rsidRDefault="00E87EEC" w:rsidP="00323099">
            <w:pPr>
              <w:spacing w:after="0" w:line="240" w:lineRule="auto"/>
              <w:jc w:val="center"/>
              <w:rPr>
                <w:rFonts w:ascii="Times New Roman" w:hAnsi="Times New Roman"/>
                <w:sz w:val="14"/>
                <w:szCs w:val="18"/>
              </w:rPr>
            </w:pPr>
            <w:r w:rsidRPr="00E87EEC">
              <w:rPr>
                <w:rFonts w:ascii="Times New Roman" w:hAnsi="Times New Roman"/>
                <w:sz w:val="14"/>
                <w:szCs w:val="18"/>
              </w:rPr>
              <w:t>38–</w:t>
            </w:r>
            <w:r w:rsidR="007A0836" w:rsidRPr="00E87EEC">
              <w:rPr>
                <w:rFonts w:ascii="Times New Roman" w:hAnsi="Times New Roman"/>
                <w:sz w:val="14"/>
                <w:szCs w:val="18"/>
              </w:rPr>
              <w:t>49</w:t>
            </w:r>
          </w:p>
        </w:tc>
        <w:tc>
          <w:tcPr>
            <w:tcW w:w="472" w:type="pct"/>
            <w:vAlign w:val="center"/>
          </w:tcPr>
          <w:p w14:paraId="2F90DE70" w14:textId="5F239506" w:rsidR="007A0836" w:rsidRPr="00E87EEC" w:rsidRDefault="00E87EEC" w:rsidP="00323099">
            <w:pPr>
              <w:spacing w:after="0" w:line="240" w:lineRule="auto"/>
              <w:jc w:val="center"/>
              <w:rPr>
                <w:rFonts w:ascii="Times New Roman" w:hAnsi="Times New Roman"/>
                <w:sz w:val="14"/>
                <w:szCs w:val="18"/>
              </w:rPr>
            </w:pPr>
            <w:r w:rsidRPr="00E87EEC">
              <w:rPr>
                <w:rFonts w:ascii="Times New Roman" w:hAnsi="Times New Roman"/>
                <w:sz w:val="14"/>
                <w:szCs w:val="18"/>
              </w:rPr>
              <w:t>54–</w:t>
            </w:r>
            <w:r w:rsidR="007A0836" w:rsidRPr="00E87EEC">
              <w:rPr>
                <w:rFonts w:ascii="Times New Roman" w:hAnsi="Times New Roman"/>
                <w:sz w:val="14"/>
                <w:szCs w:val="18"/>
              </w:rPr>
              <w:t>57</w:t>
            </w:r>
          </w:p>
        </w:tc>
        <w:tc>
          <w:tcPr>
            <w:tcW w:w="481" w:type="pct"/>
            <w:vAlign w:val="center"/>
          </w:tcPr>
          <w:p w14:paraId="63B23F3C" w14:textId="3387C025"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3.14</w:t>
            </w:r>
          </w:p>
        </w:tc>
        <w:tc>
          <w:tcPr>
            <w:tcW w:w="272" w:type="pct"/>
            <w:vAlign w:val="center"/>
          </w:tcPr>
          <w:p w14:paraId="4830C4C0" w14:textId="1B823A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5205" w:rsidRPr="00E87EEC">
              <w:rPr>
                <w:rFonts w:ascii="Times New Roman" w:hAnsi="Times New Roman"/>
                <w:sz w:val="14"/>
                <w:szCs w:val="18"/>
              </w:rPr>
              <w:instrText>ADDIN CSL_CITATION {"citationItems":[{"id":"ITEM-1","itemData":{"DOI":"10.1007/s10531-010-9809-x","ISBN":"0960-3115","ISSN":"0960-3115","abstract":"This study aimed to evaluate the impact of windthrow and two types of its management on the bird community of a managed, pine-dominated forest (NE Poland), where a windstorm event occurred in 2002. In 2007, the bird species composition was assessed using the point count method in three types of habitat: windthrow left undisturbed for natural regeneration, managed windthrow (all fallen trees removed), and intact forest (undisturbed by the windstorm, used as the control). In total, 2,365 individual birds of 70 species were recorded in the three analyzed habitats. The mean number of individuals per point and species per point was significantly higher in the natural windthrow than in the two other habitats. The diversity of the bird community was higher in the natural and managed windthrow, as compared to the control. The bird community of the control was significantly more similar to that of the natural windthrow than to the one in the managed windthrow. These results lead to a conclusion that the bird community was affected more by the clearing and artificial replanting following the windthrow than by the windthrow itself.","author":[{"dropping-particle":"","family":"Zmihorski","given":"Michal‚","non-dropping-particle":"","parse-names":false,"suffix":""}],"container-title":"Biodiversity and Conservation","id":"ITEM-1","issue":"7","issued":{"date-parts":[["2010","6"]]},"language":"English","note":"From Duplicate 2 (The effect of windthrow and its management on breeding bird communities in a managed forest - Zmihorski, Michal‚)\n\nFrom Duplicate 2 ( \n\n\nThe effect of windthrow and its management on breeding bird communities in a managed forest\n\n\n- Zmihorski, M )\n\n\n\nISI Document Delivery No.: 602AQ\nTimes Cited: 2\nCited Reference Count: 47\nZmihorski, Michal\nSPRINGER","page":"1871-1882","title":"The effect of windthrow and its management on breeding bird communities in a managed forest","type":"article-journal","volume":"19"},"uris":["http://www.mendeley.com/documents/?uuid=761b059c-734c-4bff-9588-3a707dfba031"]}],"mendeley":{"formattedCitation":"&lt;sup&gt;21&lt;/sup&gt;","plainTextFormattedCitation":"21","previouslyFormattedCitation":"&lt;sup&gt;21&lt;/sup&gt;"},"properties":{"noteIndex":0},"schema":"https://github.com/citation-style-language/schema/raw/master/csl-citation.json"}</w:instrText>
            </w:r>
            <w:r w:rsidRPr="00E87EEC">
              <w:rPr>
                <w:rFonts w:ascii="Times New Roman" w:hAnsi="Times New Roman"/>
                <w:sz w:val="14"/>
                <w:szCs w:val="18"/>
              </w:rPr>
              <w:fldChar w:fldCharType="separate"/>
            </w:r>
            <w:r w:rsidR="00725205" w:rsidRPr="00E87EEC">
              <w:rPr>
                <w:rFonts w:ascii="Times New Roman" w:hAnsi="Times New Roman"/>
                <w:noProof/>
                <w:sz w:val="14"/>
                <w:szCs w:val="18"/>
                <w:vertAlign w:val="superscript"/>
              </w:rPr>
              <w:t>21</w:t>
            </w:r>
            <w:r w:rsidRPr="00E87EEC">
              <w:rPr>
                <w:rFonts w:ascii="Times New Roman" w:hAnsi="Times New Roman"/>
                <w:sz w:val="14"/>
                <w:szCs w:val="18"/>
              </w:rPr>
              <w:fldChar w:fldCharType="end"/>
            </w:r>
            <w:r w:rsidRPr="00E87EEC">
              <w:rPr>
                <w:rFonts w:ascii="Times New Roman" w:hAnsi="Times New Roman"/>
                <w:sz w:val="14"/>
                <w:szCs w:val="18"/>
              </w:rPr>
              <w:t>*</w:t>
            </w:r>
          </w:p>
        </w:tc>
      </w:tr>
      <w:tr w:rsidR="007A0836" w:rsidRPr="00AC23E6" w14:paraId="0AF04733" w14:textId="77777777" w:rsidTr="00323099">
        <w:trPr>
          <w:trHeight w:val="288"/>
        </w:trPr>
        <w:tc>
          <w:tcPr>
            <w:tcW w:w="540" w:type="pct"/>
            <w:vAlign w:val="center"/>
          </w:tcPr>
          <w:p w14:paraId="13A04519"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06878429"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South Korea</w:t>
            </w:r>
          </w:p>
        </w:tc>
        <w:tc>
          <w:tcPr>
            <w:tcW w:w="471" w:type="pct"/>
            <w:vAlign w:val="center"/>
          </w:tcPr>
          <w:p w14:paraId="17E5D597" w14:textId="699BD086"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673FBA46"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12DA0705" w14:textId="40D7C3D4"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64" w:type="pct"/>
            <w:vAlign w:val="center"/>
          </w:tcPr>
          <w:p w14:paraId="514BFA65"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5</w:t>
            </w:r>
          </w:p>
        </w:tc>
        <w:tc>
          <w:tcPr>
            <w:tcW w:w="478" w:type="pct"/>
            <w:vAlign w:val="center"/>
          </w:tcPr>
          <w:p w14:paraId="6AD1DBA4"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72" w:type="pct"/>
            <w:vAlign w:val="center"/>
          </w:tcPr>
          <w:p w14:paraId="0FE41273"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19</w:t>
            </w:r>
          </w:p>
        </w:tc>
        <w:tc>
          <w:tcPr>
            <w:tcW w:w="481" w:type="pct"/>
            <w:vAlign w:val="center"/>
          </w:tcPr>
          <w:p w14:paraId="3BA48099" w14:textId="7F3BCCDF"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272" w:type="pct"/>
            <w:vAlign w:val="center"/>
          </w:tcPr>
          <w:p w14:paraId="30E6379D" w14:textId="1E3A82FB"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5205" w:rsidRPr="00E87EEC">
              <w:rPr>
                <w:rFonts w:ascii="Times New Roman" w:hAnsi="Times New Roman"/>
                <w:sz w:val="14"/>
                <w:szCs w:val="18"/>
              </w:rPr>
              <w:instrText>ADDIN CSL_CITATION {"citationItems":[{"id":"ITEM-1","itemData":{"author":[{"dropping-particle":"","family":"Choi","given":"Chang-yong Yong","non-dropping-particle":"","parse-names":false,"suffix":""},{"dropping-particle":"","family":"Lee","given":"Eun Jae","non-dropping-particle":"","parse-names":false,"suffix":""},{"dropping-particle":"","family":"Nam","given":"Hyun Young","non-dropping-particle":"","parse-names":false,"suffix":""},{"dropping-particle":"","family":"Lee","given":"Woo Shin","non-dropping-particle":"","parse-names":false,"suffix":""}],"container-title":"Jorunal of Korean Forest Society","id":"ITEM-1","issue":"1","issued":{"date-parts":[["2007"]]},"page":"115-123","title":"Effects of postfire logging on bird populations and communities in burned forests","type":"article-journal","volume":"96"},"uris":["http://www.mendeley.com/documents/?uuid=52ba0416-dabe-4eff-8290-6ab508dd5e48"]}],"mendeley":{"formattedCitation":"&lt;sup&gt;22&lt;/sup&gt;","plainTextFormattedCitation":"22","previouslyFormattedCitation":"&lt;sup&gt;22&lt;/sup&gt;"},"properties":{"noteIndex":0},"schema":"https://github.com/citation-style-language/schema/raw/master/csl-citation.json"}</w:instrText>
            </w:r>
            <w:r w:rsidRPr="00E87EEC">
              <w:rPr>
                <w:rFonts w:ascii="Times New Roman" w:hAnsi="Times New Roman"/>
                <w:sz w:val="14"/>
                <w:szCs w:val="18"/>
              </w:rPr>
              <w:fldChar w:fldCharType="separate"/>
            </w:r>
            <w:r w:rsidR="00725205" w:rsidRPr="00E87EEC">
              <w:rPr>
                <w:rFonts w:ascii="Times New Roman" w:hAnsi="Times New Roman"/>
                <w:noProof/>
                <w:sz w:val="14"/>
                <w:szCs w:val="18"/>
                <w:vertAlign w:val="superscript"/>
              </w:rPr>
              <w:t>22</w:t>
            </w:r>
            <w:r w:rsidRPr="00E87EEC">
              <w:rPr>
                <w:rFonts w:ascii="Times New Roman" w:hAnsi="Times New Roman"/>
                <w:sz w:val="14"/>
                <w:szCs w:val="18"/>
              </w:rPr>
              <w:fldChar w:fldCharType="end"/>
            </w:r>
          </w:p>
        </w:tc>
      </w:tr>
      <w:tr w:rsidR="007A0836" w:rsidRPr="00AC23E6" w14:paraId="6342AF2F" w14:textId="77777777" w:rsidTr="00323099">
        <w:trPr>
          <w:trHeight w:val="300"/>
        </w:trPr>
        <w:tc>
          <w:tcPr>
            <w:tcW w:w="540" w:type="pct"/>
            <w:vAlign w:val="center"/>
          </w:tcPr>
          <w:p w14:paraId="3EE815BE" w14:textId="77777777" w:rsidR="007A0836" w:rsidRPr="00AC23E6" w:rsidRDefault="007A0836" w:rsidP="00323099">
            <w:pPr>
              <w:spacing w:after="0" w:line="276" w:lineRule="auto"/>
              <w:jc w:val="center"/>
              <w:rPr>
                <w:rFonts w:ascii="Times New Roman" w:hAnsi="Times New Roman"/>
                <w:sz w:val="14"/>
                <w:szCs w:val="18"/>
              </w:rPr>
            </w:pPr>
            <w:r w:rsidRPr="00AC23E6">
              <w:rPr>
                <w:rFonts w:ascii="Times New Roman" w:hAnsi="Times New Roman"/>
                <w:sz w:val="14"/>
                <w:szCs w:val="18"/>
              </w:rPr>
              <w:t>Birds</w:t>
            </w:r>
          </w:p>
        </w:tc>
        <w:tc>
          <w:tcPr>
            <w:tcW w:w="944" w:type="pct"/>
            <w:vAlign w:val="center"/>
          </w:tcPr>
          <w:p w14:paraId="6896E5EC" w14:textId="77777777" w:rsidR="007A0836" w:rsidRPr="00AC23E6" w:rsidRDefault="007A0836" w:rsidP="00323099">
            <w:pPr>
              <w:spacing w:after="0" w:line="240" w:lineRule="auto"/>
              <w:jc w:val="center"/>
              <w:rPr>
                <w:rFonts w:ascii="Times New Roman" w:hAnsi="Times New Roman"/>
                <w:sz w:val="14"/>
                <w:szCs w:val="18"/>
              </w:rPr>
            </w:pPr>
            <w:r w:rsidRPr="00AC23E6">
              <w:rPr>
                <w:rFonts w:ascii="Times New Roman" w:hAnsi="Times New Roman"/>
                <w:sz w:val="14"/>
                <w:szCs w:val="18"/>
              </w:rPr>
              <w:t>South Korea</w:t>
            </w:r>
          </w:p>
        </w:tc>
        <w:tc>
          <w:tcPr>
            <w:tcW w:w="471" w:type="pct"/>
            <w:vAlign w:val="center"/>
          </w:tcPr>
          <w:p w14:paraId="7FFF8F02" w14:textId="0264CB89" w:rsidR="007A0836"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0A1E3EBC"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2</w:t>
            </w:r>
          </w:p>
        </w:tc>
        <w:tc>
          <w:tcPr>
            <w:tcW w:w="464" w:type="pct"/>
            <w:vAlign w:val="center"/>
          </w:tcPr>
          <w:p w14:paraId="45596147" w14:textId="436AA21F"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64" w:type="pct"/>
            <w:vAlign w:val="center"/>
          </w:tcPr>
          <w:p w14:paraId="10F5B65D" w14:textId="77777777"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8</w:t>
            </w:r>
          </w:p>
        </w:tc>
        <w:tc>
          <w:tcPr>
            <w:tcW w:w="478" w:type="pct"/>
            <w:vAlign w:val="center"/>
          </w:tcPr>
          <w:p w14:paraId="3D61D1E5" w14:textId="6183E2C3" w:rsidR="007A0836" w:rsidRPr="00E87EEC" w:rsidRDefault="00747C16" w:rsidP="00323099">
            <w:pPr>
              <w:spacing w:after="0" w:line="240" w:lineRule="auto"/>
              <w:jc w:val="center"/>
              <w:rPr>
                <w:rFonts w:ascii="Times New Roman" w:hAnsi="Times New Roman"/>
                <w:sz w:val="14"/>
                <w:szCs w:val="18"/>
              </w:rPr>
            </w:pPr>
            <w:r w:rsidRPr="00E87EEC">
              <w:rPr>
                <w:rFonts w:ascii="Times New Roman" w:hAnsi="Times New Roman"/>
                <w:sz w:val="14"/>
                <w:szCs w:val="18"/>
              </w:rPr>
              <w:t>10–</w:t>
            </w:r>
            <w:r w:rsidR="007A0836" w:rsidRPr="00E87EEC">
              <w:rPr>
                <w:rFonts w:ascii="Times New Roman" w:hAnsi="Times New Roman"/>
                <w:sz w:val="14"/>
                <w:szCs w:val="18"/>
              </w:rPr>
              <w:t>14</w:t>
            </w:r>
          </w:p>
        </w:tc>
        <w:tc>
          <w:tcPr>
            <w:tcW w:w="472" w:type="pct"/>
            <w:vAlign w:val="center"/>
          </w:tcPr>
          <w:p w14:paraId="6CBE1C4D" w14:textId="1F8686D8" w:rsidR="007A0836" w:rsidRPr="00E87EEC" w:rsidRDefault="00747C16" w:rsidP="00323099">
            <w:pPr>
              <w:spacing w:after="0" w:line="240" w:lineRule="auto"/>
              <w:jc w:val="center"/>
              <w:rPr>
                <w:rFonts w:ascii="Times New Roman" w:hAnsi="Times New Roman"/>
                <w:sz w:val="14"/>
                <w:szCs w:val="18"/>
              </w:rPr>
            </w:pPr>
            <w:r w:rsidRPr="00E87EEC">
              <w:rPr>
                <w:rFonts w:ascii="Times New Roman" w:hAnsi="Times New Roman"/>
                <w:sz w:val="14"/>
                <w:szCs w:val="18"/>
              </w:rPr>
              <w:t>10–</w:t>
            </w:r>
            <w:r w:rsidR="007A0836" w:rsidRPr="00E87EEC">
              <w:rPr>
                <w:rFonts w:ascii="Times New Roman" w:hAnsi="Times New Roman"/>
                <w:sz w:val="14"/>
                <w:szCs w:val="18"/>
              </w:rPr>
              <w:t>14</w:t>
            </w:r>
          </w:p>
        </w:tc>
        <w:tc>
          <w:tcPr>
            <w:tcW w:w="481" w:type="pct"/>
            <w:vAlign w:val="center"/>
          </w:tcPr>
          <w:p w14:paraId="54509535" w14:textId="39E593BA"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t>10</w:t>
            </w:r>
          </w:p>
        </w:tc>
        <w:tc>
          <w:tcPr>
            <w:tcW w:w="272" w:type="pct"/>
            <w:vAlign w:val="center"/>
          </w:tcPr>
          <w:p w14:paraId="3278E700" w14:textId="732682B2" w:rsidR="007A0836" w:rsidRPr="00E87EEC" w:rsidRDefault="007A0836"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5205" w:rsidRPr="00E87EEC">
              <w:rPr>
                <w:rFonts w:ascii="Times New Roman" w:hAnsi="Times New Roman"/>
                <w:sz w:val="14"/>
                <w:szCs w:val="18"/>
              </w:rPr>
              <w:instrText>ADDIN CSL_CITATION {"citationItems":[{"id":"ITEM-1","itemData":{"DOI":"10.1007/s11355-010-0111-6","ISSN":"1860-1871","author":[{"dropping-particle":"","family":"Lee","given":"Eun-Jae","non-dropping-particle":"","parse-names":false,"suffix":""},{"dropping-particle":"","family":"Lee","given":"Woo-Shin","non-dropping-particle":"","parse-names":false,"suffix":""},{"dropping-particle":"","family":"Son","given":"Seung Hun","non-dropping-particle":"","parse-names":false,"suffix":""},{"dropping-particle":"","family":"Rhim","given":"Shin-Jae","non-dropping-particle":"","parse-names":false,"suffix":""}],"container-title":"Landscape and Ecological Engineering","id":"ITEM-1","issue":"1","issued":{"date-parts":[["2011","1","25"]]},"page":"137-143","publisher":"Springer Japan","title":"Differences in bird communities in postfire silvicultural practices stands within pine forest of South Korea","type":"article-journal","volume":"7"},"uris":["http://www.mendeley.com/documents/?uuid=145d5d7f-527a-478b-989d-54074dc42ad0"]}],"mendeley":{"formattedCitation":"&lt;sup&gt;23&lt;/sup&gt;","plainTextFormattedCitation":"23","previouslyFormattedCitation":"&lt;sup&gt;23&lt;/sup&gt;"},"properties":{"noteIndex":0},"schema":"https://github.com/citation-style-language/schema/raw/master/csl-citation.json"}</w:instrText>
            </w:r>
            <w:r w:rsidRPr="00E87EEC">
              <w:rPr>
                <w:rFonts w:ascii="Times New Roman" w:hAnsi="Times New Roman"/>
                <w:sz w:val="14"/>
                <w:szCs w:val="18"/>
              </w:rPr>
              <w:fldChar w:fldCharType="separate"/>
            </w:r>
            <w:r w:rsidR="00725205" w:rsidRPr="00E87EEC">
              <w:rPr>
                <w:rFonts w:ascii="Times New Roman" w:hAnsi="Times New Roman"/>
                <w:noProof/>
                <w:sz w:val="14"/>
                <w:szCs w:val="18"/>
                <w:vertAlign w:val="superscript"/>
              </w:rPr>
              <w:t>23</w:t>
            </w:r>
            <w:r w:rsidRPr="00E87EEC">
              <w:rPr>
                <w:rFonts w:ascii="Times New Roman" w:hAnsi="Times New Roman"/>
                <w:sz w:val="14"/>
                <w:szCs w:val="18"/>
              </w:rPr>
              <w:fldChar w:fldCharType="end"/>
            </w:r>
          </w:p>
        </w:tc>
      </w:tr>
      <w:tr w:rsidR="00822CFE" w:rsidRPr="00AC23E6" w14:paraId="19EFBDFD" w14:textId="77777777" w:rsidTr="00323099">
        <w:trPr>
          <w:trHeight w:val="300"/>
        </w:trPr>
        <w:tc>
          <w:tcPr>
            <w:tcW w:w="540" w:type="pct"/>
            <w:vAlign w:val="center"/>
          </w:tcPr>
          <w:p w14:paraId="5F03DB67" w14:textId="1BCBB7FE" w:rsidR="00822CFE" w:rsidRPr="00AC23E6" w:rsidRDefault="00822CFE" w:rsidP="00323099">
            <w:pPr>
              <w:spacing w:after="0" w:line="276" w:lineRule="auto"/>
              <w:jc w:val="center"/>
              <w:rPr>
                <w:rFonts w:ascii="Times New Roman" w:hAnsi="Times New Roman"/>
                <w:sz w:val="14"/>
                <w:szCs w:val="18"/>
              </w:rPr>
            </w:pPr>
            <w:r>
              <w:rPr>
                <w:rFonts w:ascii="Times New Roman" w:hAnsi="Times New Roman"/>
                <w:sz w:val="14"/>
                <w:szCs w:val="18"/>
              </w:rPr>
              <w:t>Birds</w:t>
            </w:r>
          </w:p>
        </w:tc>
        <w:tc>
          <w:tcPr>
            <w:tcW w:w="944" w:type="pct"/>
            <w:vAlign w:val="center"/>
          </w:tcPr>
          <w:p w14:paraId="3204E61F" w14:textId="3C324F49" w:rsidR="00822CFE"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Victoria, Australia</w:t>
            </w:r>
          </w:p>
        </w:tc>
        <w:tc>
          <w:tcPr>
            <w:tcW w:w="471" w:type="pct"/>
            <w:vAlign w:val="center"/>
          </w:tcPr>
          <w:p w14:paraId="00FCF5BA" w14:textId="276B37DA" w:rsidR="00822CFE" w:rsidRPr="00AC23E6" w:rsidRDefault="00822CFE"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036B9879" w14:textId="103500B4"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6</w:t>
            </w:r>
          </w:p>
        </w:tc>
        <w:tc>
          <w:tcPr>
            <w:tcW w:w="464" w:type="pct"/>
            <w:vAlign w:val="center"/>
          </w:tcPr>
          <w:p w14:paraId="51C4FA67" w14:textId="68016FC9"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1</w:t>
            </w:r>
          </w:p>
        </w:tc>
        <w:tc>
          <w:tcPr>
            <w:tcW w:w="464" w:type="pct"/>
            <w:vAlign w:val="center"/>
          </w:tcPr>
          <w:p w14:paraId="0CC71958" w14:textId="67140168"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7</w:t>
            </w:r>
          </w:p>
        </w:tc>
        <w:tc>
          <w:tcPr>
            <w:tcW w:w="478" w:type="pct"/>
            <w:vAlign w:val="center"/>
          </w:tcPr>
          <w:p w14:paraId="4D2409FA" w14:textId="7330DF6C"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18-42</w:t>
            </w:r>
          </w:p>
        </w:tc>
        <w:tc>
          <w:tcPr>
            <w:tcW w:w="472" w:type="pct"/>
            <w:vAlign w:val="center"/>
          </w:tcPr>
          <w:p w14:paraId="7A9FA0D2" w14:textId="6DEA479A"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24-42</w:t>
            </w:r>
          </w:p>
        </w:tc>
        <w:tc>
          <w:tcPr>
            <w:tcW w:w="481" w:type="pct"/>
            <w:vAlign w:val="center"/>
          </w:tcPr>
          <w:p w14:paraId="58E992CC" w14:textId="1A381323"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t>0.785</w:t>
            </w:r>
          </w:p>
        </w:tc>
        <w:tc>
          <w:tcPr>
            <w:tcW w:w="272" w:type="pct"/>
            <w:vAlign w:val="center"/>
          </w:tcPr>
          <w:p w14:paraId="13B1755A" w14:textId="7EA8DA1A" w:rsidR="00822CFE" w:rsidRPr="00E87EEC" w:rsidRDefault="00822CFE" w:rsidP="00323099">
            <w:pPr>
              <w:spacing w:after="0" w:line="240" w:lineRule="auto"/>
              <w:jc w:val="center"/>
              <w:rPr>
                <w:rFonts w:ascii="Times New Roman" w:hAnsi="Times New Roman"/>
                <w:sz w:val="14"/>
                <w:szCs w:val="18"/>
              </w:rPr>
            </w:pPr>
            <w:r w:rsidRPr="00E87EEC">
              <w:rPr>
                <w:rFonts w:ascii="Times New Roman" w:hAnsi="Times New Roman"/>
                <w:sz w:val="14"/>
                <w:szCs w:val="18"/>
              </w:rPr>
              <w:fldChar w:fldCharType="begin" w:fldLock="1"/>
            </w:r>
            <w:r w:rsidR="00725205" w:rsidRPr="00E87EEC">
              <w:rPr>
                <w:rFonts w:ascii="Times New Roman" w:hAnsi="Times New Roman"/>
                <w:sz w:val="14"/>
                <w:szCs w:val="18"/>
              </w:rPr>
              <w:instrText>ADDIN CSL_CITATION {"citationItems":[{"id":"ITEM-1","itemData":{"DOI":"10.1111/1365-2664.13137","ISSN":"13652664","abstract":"© 2018 British Ecological Society. Forests world-wide are increasingly subject to natural and human disturbances, including wildfires and logging of varying intensity and frequency. Understanding how biodiversity responds to different kinds and combinations of natural and human disturbance is critical to enhanced forest management. We completed an 8-year study of bird responses across a spectrum of disturbance types in Australian mountain ash (Eucalyptus regnans) forests following wildfires in 2009. We found evidence of a gradient in bird species richness over the study duration. It was highest in unlogged and unburned (least disturbed) sites, decreasing through burnt unlogged forest (subject to high or low intensity fire), lower still in logged forest, and lowest in the most disturbed sites (subject to salvage logging without island retention). Retention of uncut islands within logged areas increased bird species richness above that found in areas that had been clearcut. The greatest rate of increase per year after disturbance in bird species richness was on sites burnt by high-severity fire but which were not subject to any form of logging. The level of disturbance affected the composition of the bird assemblage. Sites that were unlogged and unburned were more likely to support species that were larger, more mobile, and nested at greater heights above the ground. Synthesis and applications. All forms of logging on burned sites impaired recovery in bird species richness relative to sites subject to high-severity fire. Alterations in stand structure and plant species composition (and hence modification in bird habitat suitability) due to logging are the most likely reasons for reduced bird species richness and delayed patterns of recovery. This study highlights the importance for native bird species of retaining patches of unlogged forest not only within otherwise clearcut forest, but also in areas that are burned and subject to salvage logging. We therefore suggest that the adoption of retention harvesting be expanded to include stands disturbed by wildfires.","author":[{"dropping-particle":"","family":"Lindenmayer","given":"David B.","non-dropping-particle":"","parse-names":false,"suffix":""},{"dropping-particle":"","family":"Mcburney","given":"Lachlan","non-dropping-particle":"","parse-names":false,"suffix":""},{"dropping-particle":"","family":"Blair","given":"David","non-dropping-particle":"","parse-names":false,"suffix":""},{"dropping-particle":"","family":"Wood","given":"Jeff","non-dropping-particle":"","parse-names":false,"suffix":""},{"dropping-particle":"","family":"Banks","given":"Sam C.","non-dropping-particle":"","parse-names":false,"suffix":""}],"container-title":"Journal of Applied Ecology","id":"ITEM-1","issue":"July 2017","issued":{"date-parts":[["2018"]]},"page":"1626-1636","title":"From unburnt to salvage logged: Quantifying bird responses to different levels of disturbance severity","type":"article-journal"},"uris":["http://www.mendeley.com/documents/?uuid=71964ee9-84cd-478d-9884-c1e790852770"]}],"mendeley":{"formattedCitation":"&lt;sup&gt;24&lt;/sup&gt;","plainTextFormattedCitation":"24","previouslyFormattedCitation":"&lt;sup&gt;24&lt;/sup&gt;"},"properties":{"noteIndex":0},"schema":"https://github.com/citation-style-language/schema/raw/master/csl-citation.json"}</w:instrText>
            </w:r>
            <w:r w:rsidRPr="00E87EEC">
              <w:rPr>
                <w:rFonts w:ascii="Times New Roman" w:hAnsi="Times New Roman"/>
                <w:sz w:val="14"/>
                <w:szCs w:val="18"/>
              </w:rPr>
              <w:fldChar w:fldCharType="separate"/>
            </w:r>
            <w:r w:rsidR="00725205" w:rsidRPr="00E87EEC">
              <w:rPr>
                <w:rFonts w:ascii="Times New Roman" w:hAnsi="Times New Roman"/>
                <w:noProof/>
                <w:sz w:val="14"/>
                <w:szCs w:val="18"/>
                <w:vertAlign w:val="superscript"/>
              </w:rPr>
              <w:t>24</w:t>
            </w:r>
            <w:r w:rsidRPr="00E87EEC">
              <w:rPr>
                <w:rFonts w:ascii="Times New Roman" w:hAnsi="Times New Roman"/>
                <w:sz w:val="14"/>
                <w:szCs w:val="18"/>
              </w:rPr>
              <w:fldChar w:fldCharType="end"/>
            </w:r>
          </w:p>
        </w:tc>
      </w:tr>
      <w:tr w:rsidR="005A5652" w:rsidRPr="00AC23E6" w14:paraId="6EBEF863" w14:textId="77777777" w:rsidTr="00323099">
        <w:trPr>
          <w:trHeight w:val="300"/>
        </w:trPr>
        <w:tc>
          <w:tcPr>
            <w:tcW w:w="540" w:type="pct"/>
            <w:vAlign w:val="center"/>
          </w:tcPr>
          <w:p w14:paraId="560B7873" w14:textId="2020D464" w:rsidR="005A5652" w:rsidRDefault="005A5652" w:rsidP="00323099">
            <w:pPr>
              <w:spacing w:after="0" w:line="276" w:lineRule="auto"/>
              <w:jc w:val="center"/>
              <w:rPr>
                <w:rFonts w:ascii="Times New Roman" w:hAnsi="Times New Roman"/>
                <w:sz w:val="14"/>
                <w:szCs w:val="18"/>
              </w:rPr>
            </w:pPr>
            <w:r w:rsidRPr="00AC23E6">
              <w:rPr>
                <w:rFonts w:ascii="Times New Roman" w:hAnsi="Times New Roman"/>
                <w:sz w:val="14"/>
                <w:szCs w:val="18"/>
              </w:rPr>
              <w:t>Vascular plants</w:t>
            </w:r>
          </w:p>
        </w:tc>
        <w:tc>
          <w:tcPr>
            <w:tcW w:w="944" w:type="pct"/>
            <w:vAlign w:val="center"/>
          </w:tcPr>
          <w:p w14:paraId="1118ABF9" w14:textId="2911D5A5" w:rsidR="005A5652"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Victoria, Australia</w:t>
            </w:r>
          </w:p>
        </w:tc>
        <w:tc>
          <w:tcPr>
            <w:tcW w:w="471" w:type="pct"/>
            <w:vAlign w:val="center"/>
          </w:tcPr>
          <w:p w14:paraId="7A8A1AEA" w14:textId="2C3DF5E8" w:rsidR="005A5652"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Fire</w:t>
            </w:r>
          </w:p>
        </w:tc>
        <w:tc>
          <w:tcPr>
            <w:tcW w:w="414" w:type="pct"/>
            <w:vAlign w:val="center"/>
          </w:tcPr>
          <w:p w14:paraId="1F376A56" w14:textId="3D067E4C"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1</w:t>
            </w:r>
          </w:p>
        </w:tc>
        <w:tc>
          <w:tcPr>
            <w:tcW w:w="464" w:type="pct"/>
            <w:vAlign w:val="center"/>
          </w:tcPr>
          <w:p w14:paraId="2BF72B4D" w14:textId="3D280F70"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2</w:t>
            </w:r>
          </w:p>
        </w:tc>
        <w:tc>
          <w:tcPr>
            <w:tcW w:w="464" w:type="pct"/>
            <w:vAlign w:val="center"/>
          </w:tcPr>
          <w:p w14:paraId="4444FC71" w14:textId="229A57AD"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2</w:t>
            </w:r>
          </w:p>
        </w:tc>
        <w:tc>
          <w:tcPr>
            <w:tcW w:w="478" w:type="pct"/>
            <w:vAlign w:val="center"/>
          </w:tcPr>
          <w:p w14:paraId="2595623B" w14:textId="6CE454A0"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28</w:t>
            </w:r>
          </w:p>
        </w:tc>
        <w:tc>
          <w:tcPr>
            <w:tcW w:w="472" w:type="pct"/>
            <w:vAlign w:val="center"/>
          </w:tcPr>
          <w:p w14:paraId="6EE6297A" w14:textId="70660585"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28</w:t>
            </w:r>
          </w:p>
        </w:tc>
        <w:tc>
          <w:tcPr>
            <w:tcW w:w="481" w:type="pct"/>
            <w:vAlign w:val="center"/>
          </w:tcPr>
          <w:p w14:paraId="0ED2286E" w14:textId="518544A6"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t>0.03</w:t>
            </w:r>
          </w:p>
        </w:tc>
        <w:tc>
          <w:tcPr>
            <w:tcW w:w="272" w:type="pct"/>
            <w:vAlign w:val="center"/>
          </w:tcPr>
          <w:p w14:paraId="2F65C839" w14:textId="2B663E4E" w:rsidR="005A5652" w:rsidRPr="00E87EEC" w:rsidRDefault="005A5652" w:rsidP="00323099">
            <w:pPr>
              <w:spacing w:after="0" w:line="240" w:lineRule="auto"/>
              <w:jc w:val="center"/>
              <w:rPr>
                <w:rFonts w:ascii="Times New Roman" w:hAnsi="Times New Roman"/>
                <w:sz w:val="14"/>
                <w:szCs w:val="18"/>
              </w:rPr>
            </w:pPr>
            <w:r>
              <w:rPr>
                <w:rFonts w:ascii="Times New Roman" w:hAnsi="Times New Roman"/>
                <w:sz w:val="14"/>
                <w:szCs w:val="18"/>
              </w:rPr>
              <w:fldChar w:fldCharType="begin" w:fldLock="1"/>
            </w:r>
            <w:r w:rsidR="00060454">
              <w:rPr>
                <w:rFonts w:ascii="Times New Roman" w:hAnsi="Times New Roman"/>
                <w:sz w:val="14"/>
                <w:szCs w:val="18"/>
              </w:rPr>
              <w:instrText>ADDIN CSL_CITATION {"citationItems":[{"id":"ITEM-1","itemData":{"DOI":"10.1002/eap.1369","ISBN":"1939-5582","ISSN":"1939-5582","abstract":"Understanding the impacts of natural and human disturbances on forest biota is critical for improving forest management. Many studies have examined the separate impacts on fauna and flora of wildfire, conventional logging and salvage logging, but empirical comparisons across a broad gradient of simultaneous disturbances are lacking. We quantified species richness and frequency of occurrence of vascular plants, and functional group responses, across a gradient of disturbances that occurred concurrently in 2009 in the Mountain Ash forests of southeastern Australia. Our study encompassed replicated sites in undisturbed forest (~70 years post-fire), forest burned at low severity, forest burned at high severity, unburned forest that was clearcut logged, and forest burned at high severity that was clearcut salvage logged post-fire. All sites were sampled two and three years post-fire. Mean species richness decreased across the disturbance gradient from 30.1 spp/site on low severity burned sites and 28.9 spp/site on high severity burned sites, to 25.1 spp/site on clearcut sites and 21.7 spp/site on salvage logged sites. Low severity burned sites were significantly more species-rich than clearcut sites and salvage logged sites; high severity burned sites supported greater species richness than salvage logged sites. Specific traits influenced species’ sensitivity to disturbance. Resprouting species dominated undisturbed Mountain Ash forests, but declined significantly across the gradient. Fern and midstory trees decreased significantly in frequency of occurrence across the gradient. Ferns (excluding Bracken) decreased from 34% of plants in undisturbed forest to 3% on salvage logged sites. High severity burned sites supported a greater frequency of occurrence and species richness of midstory trees compared to clearcut and salvage logged sites. Salvage logging supported fewer midstory trees than any other disturbance category, and were distinctly different from clearcut sites. Plant life form groups, including midstory trees, shrubs and ferns, were dominated by very few species on logged sites. The differences in biotic response across the gradient of natural and human disturbances have significant management implications, particularly the need to reduce mechanical disturbance overall and to leave specific areas with no mechanical disturbance across the cut area during logging operations, to ensure the persistence of resprouting taxa. This article is protected by …","author":[{"dropping-particle":"","family":"Blair","given":"David P","non-dropping-particle":"","parse-names":false,"suffix":""},{"dropping-particle":"","family":"McBurney","given":"Lachlan M","non-dropping-particle":"","parse-names":false,"suffix":""},{"dropping-particle":"","family":"Blanchard","given":"Wade","non-dropping-particle":"","parse-names":false,"suffix":""},{"dropping-particle":"","family":"Banks","given":"Sam C","non-dropping-particle":"","parse-names":false,"suffix":""},{"dropping-particle":"","family":"Lindenmayer","given":"David B","non-dropping-particle":"","parse-names":false,"suffix":""}],"container-title":"Ecological Applications","id":"ITEM-1","issue":"7","issued":{"date-parts":[["2016"]]},"page":"2280–2301","title":"Disturbance gradient shows logging affects plant functional groups more than fire","type":"article-journal","volume":"26"},"uris":["http://www.mendeley.com/documents/?uuid=0e3cdc53-8415-492a-9e91-a6a11e955f4f"]}],"mendeley":{"formattedCitation":"&lt;sup&gt;25&lt;/sup&gt;","plainTextFormattedCitation":"25","previouslyFormattedCitation":"&lt;sup&gt;25&lt;/sup&gt;"},"properties":{"noteIndex":0},"schema":"https://github.com/citation-style-language/schema/raw/master/csl-citation.json"}</w:instrText>
            </w:r>
            <w:r>
              <w:rPr>
                <w:rFonts w:ascii="Times New Roman" w:hAnsi="Times New Roman"/>
                <w:sz w:val="14"/>
                <w:szCs w:val="18"/>
              </w:rPr>
              <w:fldChar w:fldCharType="separate"/>
            </w:r>
            <w:r w:rsidRPr="005A5652">
              <w:rPr>
                <w:rFonts w:ascii="Times New Roman" w:hAnsi="Times New Roman"/>
                <w:noProof/>
                <w:sz w:val="14"/>
                <w:szCs w:val="18"/>
                <w:vertAlign w:val="superscript"/>
              </w:rPr>
              <w:t>25</w:t>
            </w:r>
            <w:r>
              <w:rPr>
                <w:rFonts w:ascii="Times New Roman" w:hAnsi="Times New Roman"/>
                <w:sz w:val="14"/>
                <w:szCs w:val="18"/>
              </w:rPr>
              <w:fldChar w:fldCharType="end"/>
            </w:r>
          </w:p>
        </w:tc>
      </w:tr>
    </w:tbl>
    <w:p w14:paraId="10478328" w14:textId="5709FA2D" w:rsidR="004B4AB3" w:rsidRDefault="00B15B87" w:rsidP="00A578C2">
      <w:pPr>
        <w:spacing w:before="120" w:after="0" w:line="276" w:lineRule="auto"/>
        <w:jc w:val="both"/>
        <w:rPr>
          <w:rFonts w:ascii="Times New Roman" w:hAnsi="Times New Roman"/>
          <w:sz w:val="18"/>
        </w:rPr>
      </w:pPr>
      <w:r w:rsidRPr="007E03DC">
        <w:rPr>
          <w:rFonts w:ascii="Times New Roman" w:hAnsi="Times New Roman"/>
          <w:sz w:val="18"/>
          <w:vertAlign w:val="superscript"/>
        </w:rPr>
        <w:t>S</w:t>
      </w:r>
      <w:r>
        <w:rPr>
          <w:rFonts w:ascii="Times New Roman" w:hAnsi="Times New Roman"/>
          <w:sz w:val="18"/>
          <w:vertAlign w:val="superscript"/>
        </w:rPr>
        <w:t xml:space="preserve"> </w:t>
      </w:r>
      <w:r w:rsidR="00A578C2">
        <w:rPr>
          <w:rFonts w:ascii="Times New Roman" w:hAnsi="Times New Roman"/>
          <w:sz w:val="18"/>
        </w:rPr>
        <w:t>indicates</w:t>
      </w:r>
      <w:r w:rsidRPr="007E03DC">
        <w:rPr>
          <w:rFonts w:ascii="Times New Roman" w:hAnsi="Times New Roman"/>
          <w:sz w:val="18"/>
        </w:rPr>
        <w:t xml:space="preserve"> saproxylic </w:t>
      </w:r>
      <w:r w:rsidR="00A578C2">
        <w:rPr>
          <w:rFonts w:ascii="Times New Roman" w:hAnsi="Times New Roman"/>
          <w:sz w:val="18"/>
        </w:rPr>
        <w:t>species</w:t>
      </w:r>
      <w:r w:rsidRPr="007E03DC">
        <w:rPr>
          <w:rFonts w:ascii="Times New Roman" w:hAnsi="Times New Roman"/>
          <w:sz w:val="18"/>
        </w:rPr>
        <w:t xml:space="preserve"> group</w:t>
      </w:r>
      <w:r w:rsidR="00A578C2">
        <w:rPr>
          <w:rFonts w:ascii="Times New Roman" w:hAnsi="Times New Roman"/>
          <w:sz w:val="18"/>
        </w:rPr>
        <w:t>s</w:t>
      </w:r>
    </w:p>
    <w:p w14:paraId="34CF8636" w14:textId="10E6DB51" w:rsidR="00740482" w:rsidRDefault="00740482" w:rsidP="00A578C2">
      <w:pPr>
        <w:spacing w:before="120" w:after="0" w:line="276" w:lineRule="auto"/>
        <w:jc w:val="both"/>
        <w:rPr>
          <w:rFonts w:ascii="Times New Roman" w:hAnsi="Times New Roman"/>
          <w:sz w:val="18"/>
        </w:rPr>
      </w:pPr>
      <w:r w:rsidRPr="00740482">
        <w:rPr>
          <w:rFonts w:ascii="Times New Roman" w:hAnsi="Times New Roman"/>
          <w:sz w:val="14"/>
          <w:szCs w:val="18"/>
          <w:vertAlign w:val="superscript"/>
        </w:rPr>
        <w:t>m</w:t>
      </w:r>
      <w:r>
        <w:rPr>
          <w:rFonts w:ascii="Times New Roman" w:hAnsi="Times New Roman"/>
          <w:sz w:val="14"/>
          <w:szCs w:val="18"/>
          <w:vertAlign w:val="superscript"/>
        </w:rPr>
        <w:t xml:space="preserve"> </w:t>
      </w:r>
      <w:r w:rsidRPr="00740482">
        <w:rPr>
          <w:rFonts w:ascii="Times New Roman" w:hAnsi="Times New Roman"/>
          <w:sz w:val="18"/>
          <w:szCs w:val="18"/>
        </w:rPr>
        <w:t>indicates that microplots where used for the analyses</w:t>
      </w:r>
      <w:bookmarkStart w:id="0" w:name="_GoBack"/>
      <w:bookmarkEnd w:id="0"/>
    </w:p>
    <w:p w14:paraId="227F4A48" w14:textId="77777777" w:rsidR="00B15B87" w:rsidRPr="002B3AD0" w:rsidRDefault="00B15B87" w:rsidP="00A578C2">
      <w:pPr>
        <w:spacing w:after="0" w:line="276" w:lineRule="auto"/>
        <w:jc w:val="both"/>
        <w:rPr>
          <w:rFonts w:ascii="Times New Roman" w:hAnsi="Times New Roman"/>
          <w:sz w:val="24"/>
          <w:szCs w:val="24"/>
        </w:rPr>
      </w:pPr>
      <w:r>
        <w:rPr>
          <w:rFonts w:ascii="Times New Roman" w:hAnsi="Times New Roman"/>
          <w:sz w:val="24"/>
          <w:szCs w:val="24"/>
        </w:rPr>
        <w:t xml:space="preserve">* </w:t>
      </w:r>
      <w:r w:rsidRPr="004B4AB3">
        <w:rPr>
          <w:rFonts w:ascii="Times New Roman" w:hAnsi="Times New Roman"/>
          <w:sz w:val="18"/>
          <w:szCs w:val="24"/>
        </w:rPr>
        <w:t>The study dataset was expanded by adding unpublished data</w:t>
      </w:r>
    </w:p>
    <w:p w14:paraId="08518134" w14:textId="77777777" w:rsidR="00B15B87" w:rsidRPr="00BC47FB" w:rsidRDefault="00B15B87">
      <w:pPr>
        <w:rPr>
          <w:rFonts w:ascii="Times New Roman" w:hAnsi="Times New Roman"/>
          <w:sz w:val="24"/>
          <w:szCs w:val="24"/>
        </w:rPr>
      </w:pPr>
    </w:p>
    <w:p w14:paraId="39D66196" w14:textId="77777777" w:rsidR="00B15B87" w:rsidRPr="00BC47FB" w:rsidRDefault="00B15B87">
      <w:pPr>
        <w:rPr>
          <w:rFonts w:ascii="Times New Roman" w:hAnsi="Times New Roman"/>
          <w:b/>
          <w:bCs/>
          <w:sz w:val="24"/>
          <w:szCs w:val="24"/>
        </w:rPr>
      </w:pPr>
      <w:r w:rsidRPr="00BC47FB">
        <w:rPr>
          <w:rFonts w:ascii="Times New Roman" w:hAnsi="Times New Roman"/>
          <w:b/>
          <w:bCs/>
          <w:sz w:val="24"/>
          <w:szCs w:val="24"/>
        </w:rPr>
        <w:t>References</w:t>
      </w:r>
    </w:p>
    <w:p w14:paraId="38C40EDF" w14:textId="665B6AF7" w:rsidR="00060454" w:rsidRPr="00060454" w:rsidRDefault="00B15B87" w:rsidP="00060454">
      <w:pPr>
        <w:widowControl w:val="0"/>
        <w:autoSpaceDE w:val="0"/>
        <w:autoSpaceDN w:val="0"/>
        <w:adjustRightInd w:val="0"/>
        <w:spacing w:line="240" w:lineRule="auto"/>
        <w:ind w:left="640" w:hanging="640"/>
        <w:rPr>
          <w:noProof/>
          <w:szCs w:val="24"/>
        </w:rPr>
      </w:pPr>
      <w:r>
        <w:fldChar w:fldCharType="begin" w:fldLock="1"/>
      </w:r>
      <w:r>
        <w:instrText xml:space="preserve">ADDIN Mendeley Bibliography CSL_BIBLIOGRAPHY </w:instrText>
      </w:r>
      <w:r>
        <w:fldChar w:fldCharType="separate"/>
      </w:r>
      <w:r w:rsidR="00060454" w:rsidRPr="00060454">
        <w:rPr>
          <w:noProof/>
          <w:szCs w:val="24"/>
        </w:rPr>
        <w:t>1.</w:t>
      </w:r>
      <w:r w:rsidR="00060454" w:rsidRPr="00060454">
        <w:rPr>
          <w:noProof/>
          <w:szCs w:val="24"/>
        </w:rPr>
        <w:tab/>
        <w:t xml:space="preserve">Donato, D. C., Fontaine, J. B., Kauffman, J. B., Robinson, D. &amp; Law, B. E. Fuel mass and forest structure following stand-replacement fire and post-fire logging in a mixed-evergreen forest. </w:t>
      </w:r>
      <w:r w:rsidR="00060454" w:rsidRPr="00060454">
        <w:rPr>
          <w:i/>
          <w:iCs/>
          <w:noProof/>
          <w:szCs w:val="24"/>
        </w:rPr>
        <w:t>Int. J. Wildl. Fire</w:t>
      </w:r>
      <w:r w:rsidR="00060454" w:rsidRPr="00060454">
        <w:rPr>
          <w:noProof/>
          <w:szCs w:val="24"/>
        </w:rPr>
        <w:t xml:space="preserve"> </w:t>
      </w:r>
      <w:r w:rsidR="00060454" w:rsidRPr="00060454">
        <w:rPr>
          <w:b/>
          <w:bCs/>
          <w:noProof/>
          <w:szCs w:val="24"/>
        </w:rPr>
        <w:t>22</w:t>
      </w:r>
      <w:r w:rsidR="00060454" w:rsidRPr="00060454">
        <w:rPr>
          <w:noProof/>
          <w:szCs w:val="24"/>
        </w:rPr>
        <w:t>, 652–666 (2013).</w:t>
      </w:r>
    </w:p>
    <w:p w14:paraId="547B55C1"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w:t>
      </w:r>
      <w:r w:rsidRPr="00060454">
        <w:rPr>
          <w:noProof/>
          <w:szCs w:val="24"/>
        </w:rPr>
        <w:tab/>
        <w:t xml:space="preserve">Fontaine, J. B., Donato, D. C., Robinson, W. D., Law, B. E. &amp; Kauffman, J. B. Bird communities following high-severity fire: Response to single and repeat fires in a mixed-evergreen forest, Oregon, USA. </w:t>
      </w:r>
      <w:r w:rsidRPr="00060454">
        <w:rPr>
          <w:i/>
          <w:iCs/>
          <w:noProof/>
          <w:szCs w:val="24"/>
        </w:rPr>
        <w:t>For. Ecol. Manage.</w:t>
      </w:r>
      <w:r w:rsidRPr="00060454">
        <w:rPr>
          <w:noProof/>
          <w:szCs w:val="24"/>
        </w:rPr>
        <w:t xml:space="preserve"> </w:t>
      </w:r>
      <w:r w:rsidRPr="00060454">
        <w:rPr>
          <w:b/>
          <w:bCs/>
          <w:noProof/>
          <w:szCs w:val="24"/>
        </w:rPr>
        <w:t>257</w:t>
      </w:r>
      <w:r w:rsidRPr="00060454">
        <w:rPr>
          <w:noProof/>
          <w:szCs w:val="24"/>
        </w:rPr>
        <w:t>, 1496–1504 (2009).</w:t>
      </w:r>
    </w:p>
    <w:p w14:paraId="1A95B7AA"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3.</w:t>
      </w:r>
      <w:r w:rsidRPr="00060454">
        <w:rPr>
          <w:noProof/>
          <w:szCs w:val="24"/>
        </w:rPr>
        <w:tab/>
        <w:t xml:space="preserve">Cahall, R. E. &amp; Hayes, J. P. Influences of postfire salvage logging on forest birds in the Eastern Cascades, Oregon, USA. </w:t>
      </w:r>
      <w:r w:rsidRPr="00060454">
        <w:rPr>
          <w:i/>
          <w:iCs/>
          <w:noProof/>
          <w:szCs w:val="24"/>
        </w:rPr>
        <w:t>For. Ecol. Manage.</w:t>
      </w:r>
      <w:r w:rsidRPr="00060454">
        <w:rPr>
          <w:noProof/>
          <w:szCs w:val="24"/>
        </w:rPr>
        <w:t xml:space="preserve"> </w:t>
      </w:r>
      <w:r w:rsidRPr="00060454">
        <w:rPr>
          <w:b/>
          <w:bCs/>
          <w:noProof/>
          <w:szCs w:val="24"/>
        </w:rPr>
        <w:t>257</w:t>
      </w:r>
      <w:r w:rsidRPr="00060454">
        <w:rPr>
          <w:noProof/>
          <w:szCs w:val="24"/>
        </w:rPr>
        <w:t>, 1119–1128 (2009).</w:t>
      </w:r>
    </w:p>
    <w:p w14:paraId="7CB3B378"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4.</w:t>
      </w:r>
      <w:r w:rsidRPr="00060454">
        <w:rPr>
          <w:noProof/>
          <w:szCs w:val="24"/>
        </w:rPr>
        <w:tab/>
        <w:t xml:space="preserve">Cobb, T. P. </w:t>
      </w:r>
      <w:r w:rsidRPr="00060454">
        <w:rPr>
          <w:i/>
          <w:iCs/>
          <w:noProof/>
          <w:szCs w:val="24"/>
        </w:rPr>
        <w:t>et al.</w:t>
      </w:r>
      <w:r w:rsidRPr="00060454">
        <w:rPr>
          <w:noProof/>
          <w:szCs w:val="24"/>
        </w:rPr>
        <w:t xml:space="preserve"> Effects of postfire salvage logging on deadwood-associated beetles. </w:t>
      </w:r>
      <w:r w:rsidRPr="00060454">
        <w:rPr>
          <w:i/>
          <w:iCs/>
          <w:noProof/>
          <w:szCs w:val="24"/>
        </w:rPr>
        <w:t>Conserv. Biol.</w:t>
      </w:r>
      <w:r w:rsidRPr="00060454">
        <w:rPr>
          <w:noProof/>
          <w:szCs w:val="24"/>
        </w:rPr>
        <w:t xml:space="preserve"> </w:t>
      </w:r>
      <w:r w:rsidRPr="00060454">
        <w:rPr>
          <w:b/>
          <w:bCs/>
          <w:noProof/>
          <w:szCs w:val="24"/>
        </w:rPr>
        <w:t>25</w:t>
      </w:r>
      <w:r w:rsidRPr="00060454">
        <w:rPr>
          <w:noProof/>
          <w:szCs w:val="24"/>
        </w:rPr>
        <w:t>, 94–104 (2011).</w:t>
      </w:r>
    </w:p>
    <w:p w14:paraId="14F90413"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5.</w:t>
      </w:r>
      <w:r w:rsidRPr="00060454">
        <w:rPr>
          <w:noProof/>
          <w:szCs w:val="24"/>
        </w:rPr>
        <w:tab/>
        <w:t xml:space="preserve">Hutto, R. L. &amp; Young, J. Regional landbird monitoring: perspectives from the Northern Rocky Mountains. </w:t>
      </w:r>
      <w:r w:rsidRPr="00060454">
        <w:rPr>
          <w:i/>
          <w:iCs/>
          <w:noProof/>
          <w:szCs w:val="24"/>
        </w:rPr>
        <w:t>Wildl. Soc. Bull.</w:t>
      </w:r>
      <w:r w:rsidRPr="00060454">
        <w:rPr>
          <w:noProof/>
          <w:szCs w:val="24"/>
        </w:rPr>
        <w:t xml:space="preserve"> </w:t>
      </w:r>
      <w:r w:rsidRPr="00060454">
        <w:rPr>
          <w:b/>
          <w:bCs/>
          <w:noProof/>
          <w:szCs w:val="24"/>
        </w:rPr>
        <w:t>30</w:t>
      </w:r>
      <w:r w:rsidRPr="00060454">
        <w:rPr>
          <w:noProof/>
          <w:szCs w:val="24"/>
        </w:rPr>
        <w:t>, 738–750 (2002).</w:t>
      </w:r>
    </w:p>
    <w:p w14:paraId="301DFB95"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6.</w:t>
      </w:r>
      <w:r w:rsidRPr="00060454">
        <w:rPr>
          <w:noProof/>
          <w:szCs w:val="24"/>
        </w:rPr>
        <w:tab/>
        <w:t xml:space="preserve">Koivula, M. &amp; Spence, J. R. Effects of post-fire salvage logging on boreal mixed-wood ground beetle assemblages (Coleoptera, Carabidae). </w:t>
      </w:r>
      <w:r w:rsidRPr="00060454">
        <w:rPr>
          <w:i/>
          <w:iCs/>
          <w:noProof/>
          <w:szCs w:val="24"/>
        </w:rPr>
        <w:t>For. Ecol. Manage.</w:t>
      </w:r>
      <w:r w:rsidRPr="00060454">
        <w:rPr>
          <w:noProof/>
          <w:szCs w:val="24"/>
        </w:rPr>
        <w:t xml:space="preserve"> </w:t>
      </w:r>
      <w:r w:rsidRPr="00060454">
        <w:rPr>
          <w:b/>
          <w:bCs/>
          <w:noProof/>
          <w:szCs w:val="24"/>
        </w:rPr>
        <w:t>236</w:t>
      </w:r>
      <w:r w:rsidRPr="00060454">
        <w:rPr>
          <w:noProof/>
          <w:szCs w:val="24"/>
        </w:rPr>
        <w:t>, 102–112 (2006).</w:t>
      </w:r>
    </w:p>
    <w:p w14:paraId="09496331"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7.</w:t>
      </w:r>
      <w:r w:rsidRPr="00060454">
        <w:rPr>
          <w:noProof/>
          <w:szCs w:val="24"/>
        </w:rPr>
        <w:tab/>
        <w:t xml:space="preserve">Kurulok, S. E. &amp; Macdonald, S. E. Impacts of postfire salvage logging on understory plant communities of the boreal mixedwood forest 2 and 34 years after disturbance. </w:t>
      </w:r>
      <w:r w:rsidRPr="00060454">
        <w:rPr>
          <w:i/>
          <w:iCs/>
          <w:noProof/>
          <w:szCs w:val="24"/>
        </w:rPr>
        <w:t>Can. J. For. Res.</w:t>
      </w:r>
      <w:r w:rsidRPr="00060454">
        <w:rPr>
          <w:noProof/>
          <w:szCs w:val="24"/>
        </w:rPr>
        <w:t xml:space="preserve"> </w:t>
      </w:r>
      <w:r w:rsidRPr="00060454">
        <w:rPr>
          <w:b/>
          <w:bCs/>
          <w:noProof/>
          <w:szCs w:val="24"/>
        </w:rPr>
        <w:t>37</w:t>
      </w:r>
      <w:r w:rsidRPr="00060454">
        <w:rPr>
          <w:noProof/>
          <w:szCs w:val="24"/>
        </w:rPr>
        <w:t>, 2637–2651 (2007).</w:t>
      </w:r>
    </w:p>
    <w:p w14:paraId="5F6EFD08"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8.</w:t>
      </w:r>
      <w:r w:rsidRPr="00060454">
        <w:rPr>
          <w:noProof/>
          <w:szCs w:val="24"/>
        </w:rPr>
        <w:tab/>
        <w:t xml:space="preserve">Macdonald, S. E. Effects of partial post-fire salvage harvesting on vegetation communities in the boreal mixedwood forest region of northeastern Alberta, Canada. </w:t>
      </w:r>
      <w:r w:rsidRPr="00060454">
        <w:rPr>
          <w:i/>
          <w:iCs/>
          <w:noProof/>
          <w:szCs w:val="24"/>
        </w:rPr>
        <w:t>For. Ecol. Manage.</w:t>
      </w:r>
      <w:r w:rsidRPr="00060454">
        <w:rPr>
          <w:noProof/>
          <w:szCs w:val="24"/>
        </w:rPr>
        <w:t xml:space="preserve"> </w:t>
      </w:r>
      <w:r w:rsidRPr="00060454">
        <w:rPr>
          <w:b/>
          <w:bCs/>
          <w:noProof/>
          <w:szCs w:val="24"/>
        </w:rPr>
        <w:t>239</w:t>
      </w:r>
      <w:r w:rsidRPr="00060454">
        <w:rPr>
          <w:noProof/>
          <w:szCs w:val="24"/>
        </w:rPr>
        <w:t>, 21–31 (2007).</w:t>
      </w:r>
    </w:p>
    <w:p w14:paraId="3FEDF885"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9.</w:t>
      </w:r>
      <w:r w:rsidRPr="00060454">
        <w:rPr>
          <w:noProof/>
          <w:szCs w:val="24"/>
        </w:rPr>
        <w:tab/>
        <w:t xml:space="preserve">Fornwalt, P. J. </w:t>
      </w:r>
      <w:r w:rsidRPr="00060454">
        <w:rPr>
          <w:i/>
          <w:iCs/>
          <w:noProof/>
          <w:szCs w:val="24"/>
        </w:rPr>
        <w:t>et al.</w:t>
      </w:r>
      <w:r w:rsidRPr="00060454">
        <w:rPr>
          <w:noProof/>
          <w:szCs w:val="24"/>
        </w:rPr>
        <w:t xml:space="preserve"> Short-term understory plant community responses to salvage logging in beetle-affected lodgepole pine forests. </w:t>
      </w:r>
      <w:r w:rsidRPr="00060454">
        <w:rPr>
          <w:i/>
          <w:iCs/>
          <w:noProof/>
          <w:szCs w:val="24"/>
        </w:rPr>
        <w:t>For. Ecol. Manage.</w:t>
      </w:r>
      <w:r w:rsidRPr="00060454">
        <w:rPr>
          <w:noProof/>
          <w:szCs w:val="24"/>
        </w:rPr>
        <w:t xml:space="preserve"> </w:t>
      </w:r>
      <w:r w:rsidRPr="00060454">
        <w:rPr>
          <w:b/>
          <w:bCs/>
          <w:noProof/>
          <w:szCs w:val="24"/>
        </w:rPr>
        <w:t>409</w:t>
      </w:r>
      <w:r w:rsidRPr="00060454">
        <w:rPr>
          <w:noProof/>
          <w:szCs w:val="24"/>
        </w:rPr>
        <w:t>, 84–93 (2018).</w:t>
      </w:r>
    </w:p>
    <w:p w14:paraId="2763CD46"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10.</w:t>
      </w:r>
      <w:r w:rsidRPr="00060454">
        <w:rPr>
          <w:noProof/>
          <w:szCs w:val="24"/>
        </w:rPr>
        <w:tab/>
        <w:t xml:space="preserve">Waldron, K., Ruel, J.-C., Gauthier, S., De Grandpré, L. &amp; Peterson, C. J. Effects of post-windthrow salvage logging on microsites, plant composition and regeneration. </w:t>
      </w:r>
      <w:r w:rsidRPr="00060454">
        <w:rPr>
          <w:i/>
          <w:iCs/>
          <w:noProof/>
          <w:szCs w:val="24"/>
        </w:rPr>
        <w:t>Appl. Veg. Sci.</w:t>
      </w:r>
      <w:r w:rsidRPr="00060454">
        <w:rPr>
          <w:noProof/>
          <w:szCs w:val="24"/>
        </w:rPr>
        <w:t xml:space="preserve"> </w:t>
      </w:r>
      <w:r w:rsidRPr="00060454">
        <w:rPr>
          <w:b/>
          <w:bCs/>
          <w:noProof/>
          <w:szCs w:val="24"/>
        </w:rPr>
        <w:lastRenderedPageBreak/>
        <w:t>17</w:t>
      </w:r>
      <w:r w:rsidRPr="00060454">
        <w:rPr>
          <w:noProof/>
          <w:szCs w:val="24"/>
        </w:rPr>
        <w:t>, 323–337 (2014).</w:t>
      </w:r>
    </w:p>
    <w:p w14:paraId="3AC6D0CB"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11.</w:t>
      </w:r>
      <w:r w:rsidRPr="00060454">
        <w:rPr>
          <w:noProof/>
          <w:szCs w:val="24"/>
        </w:rPr>
        <w:tab/>
        <w:t xml:space="preserve">Hernández-Hernández, R., Castro, J., Del Arco Aguilar, M., Fernández-López, Á. B. &amp; González-Mancebo, J. M. Post-fire salvage logging imposes a new disturbance that retards succession: The case of bryophyte communities in a Macaronesian laurel forest. </w:t>
      </w:r>
      <w:r w:rsidRPr="00060454">
        <w:rPr>
          <w:i/>
          <w:iCs/>
          <w:noProof/>
          <w:szCs w:val="24"/>
        </w:rPr>
        <w:t>Forests</w:t>
      </w:r>
      <w:r w:rsidRPr="00060454">
        <w:rPr>
          <w:noProof/>
          <w:szCs w:val="24"/>
        </w:rPr>
        <w:t xml:space="preserve"> </w:t>
      </w:r>
      <w:r w:rsidRPr="00060454">
        <w:rPr>
          <w:b/>
          <w:bCs/>
          <w:noProof/>
          <w:szCs w:val="24"/>
        </w:rPr>
        <w:t>8</w:t>
      </w:r>
      <w:r w:rsidRPr="00060454">
        <w:rPr>
          <w:noProof/>
          <w:szCs w:val="24"/>
        </w:rPr>
        <w:t>, 1–16 (2017).</w:t>
      </w:r>
    </w:p>
    <w:p w14:paraId="7844D7D4"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12.</w:t>
      </w:r>
      <w:r w:rsidRPr="00060454">
        <w:rPr>
          <w:noProof/>
          <w:szCs w:val="24"/>
        </w:rPr>
        <w:tab/>
        <w:t xml:space="preserve">Castro, J., Moreno-Rueda, G. &amp; Hódar, J. Experimental test of postfire management in pine forests: impact of salvage logging versus partial cutting and nonintervention on bird-species assemblages. </w:t>
      </w:r>
      <w:r w:rsidRPr="00060454">
        <w:rPr>
          <w:i/>
          <w:iCs/>
          <w:noProof/>
          <w:szCs w:val="24"/>
        </w:rPr>
        <w:t>Conserv. Biol.</w:t>
      </w:r>
      <w:r w:rsidRPr="00060454">
        <w:rPr>
          <w:noProof/>
          <w:szCs w:val="24"/>
        </w:rPr>
        <w:t xml:space="preserve"> </w:t>
      </w:r>
      <w:r w:rsidRPr="00060454">
        <w:rPr>
          <w:b/>
          <w:bCs/>
          <w:noProof/>
          <w:szCs w:val="24"/>
        </w:rPr>
        <w:t>24</w:t>
      </w:r>
      <w:r w:rsidRPr="00060454">
        <w:rPr>
          <w:noProof/>
          <w:szCs w:val="24"/>
        </w:rPr>
        <w:t>, 810–819 (2010).</w:t>
      </w:r>
    </w:p>
    <w:p w14:paraId="0418E94A"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13.</w:t>
      </w:r>
      <w:r w:rsidRPr="00060454">
        <w:rPr>
          <w:noProof/>
          <w:szCs w:val="24"/>
        </w:rPr>
        <w:tab/>
        <w:t xml:space="preserve">Leverkus, A. B., Lorite, J., Navarro, F. B., Sánchez-Cañete, E. P. &amp; Castro, J. Post-fire salvage logging alters species composition and reduces cover, richness, and diversity in Mediterranean plant communities. </w:t>
      </w:r>
      <w:r w:rsidRPr="00060454">
        <w:rPr>
          <w:i/>
          <w:iCs/>
          <w:noProof/>
          <w:szCs w:val="24"/>
        </w:rPr>
        <w:t>J. Environ. Manage.</w:t>
      </w:r>
      <w:r w:rsidRPr="00060454">
        <w:rPr>
          <w:noProof/>
          <w:szCs w:val="24"/>
        </w:rPr>
        <w:t xml:space="preserve"> </w:t>
      </w:r>
      <w:r w:rsidRPr="00060454">
        <w:rPr>
          <w:b/>
          <w:bCs/>
          <w:noProof/>
          <w:szCs w:val="24"/>
        </w:rPr>
        <w:t>133</w:t>
      </w:r>
      <w:r w:rsidRPr="00060454">
        <w:rPr>
          <w:noProof/>
          <w:szCs w:val="24"/>
        </w:rPr>
        <w:t>, 323–31 (2014).</w:t>
      </w:r>
    </w:p>
    <w:p w14:paraId="4ABA665E"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14.</w:t>
      </w:r>
      <w:r w:rsidRPr="00060454">
        <w:rPr>
          <w:noProof/>
          <w:szCs w:val="24"/>
        </w:rPr>
        <w:tab/>
        <w:t xml:space="preserve">Rost, J., Clavero, M., Brotons, L. &amp; Pons, P. The effect of postfire salvage logging on bird communities in Mediterranean pine forests: the benefits for declining species. </w:t>
      </w:r>
      <w:r w:rsidRPr="00060454">
        <w:rPr>
          <w:i/>
          <w:iCs/>
          <w:noProof/>
          <w:szCs w:val="24"/>
        </w:rPr>
        <w:t>J. Appl. Ecol.</w:t>
      </w:r>
      <w:r w:rsidRPr="00060454">
        <w:rPr>
          <w:noProof/>
          <w:szCs w:val="24"/>
        </w:rPr>
        <w:t xml:space="preserve"> </w:t>
      </w:r>
      <w:r w:rsidRPr="00060454">
        <w:rPr>
          <w:b/>
          <w:bCs/>
          <w:noProof/>
          <w:szCs w:val="24"/>
        </w:rPr>
        <w:t>49</w:t>
      </w:r>
      <w:r w:rsidRPr="00060454">
        <w:rPr>
          <w:noProof/>
          <w:szCs w:val="24"/>
        </w:rPr>
        <w:t>, 644–651 (2012).</w:t>
      </w:r>
    </w:p>
    <w:p w14:paraId="6BF5FD9C"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15.</w:t>
      </w:r>
      <w:r w:rsidRPr="00060454">
        <w:rPr>
          <w:noProof/>
          <w:szCs w:val="24"/>
        </w:rPr>
        <w:tab/>
        <w:t xml:space="preserve">Wermelinger, B. </w:t>
      </w:r>
      <w:r w:rsidRPr="00060454">
        <w:rPr>
          <w:i/>
          <w:iCs/>
          <w:noProof/>
          <w:szCs w:val="24"/>
        </w:rPr>
        <w:t>et al.</w:t>
      </w:r>
      <w:r w:rsidRPr="00060454">
        <w:rPr>
          <w:noProof/>
          <w:szCs w:val="24"/>
        </w:rPr>
        <w:t xml:space="preserve"> Impact of windthrow and salvage-logging on taxonomic and functional diversity of forest arthropods. </w:t>
      </w:r>
      <w:r w:rsidRPr="00060454">
        <w:rPr>
          <w:i/>
          <w:iCs/>
          <w:noProof/>
          <w:szCs w:val="24"/>
        </w:rPr>
        <w:t>For. Ecol. Manage.</w:t>
      </w:r>
      <w:r w:rsidRPr="00060454">
        <w:rPr>
          <w:noProof/>
          <w:szCs w:val="24"/>
        </w:rPr>
        <w:t xml:space="preserve"> </w:t>
      </w:r>
      <w:r w:rsidRPr="00060454">
        <w:rPr>
          <w:b/>
          <w:bCs/>
          <w:noProof/>
          <w:szCs w:val="24"/>
        </w:rPr>
        <w:t>391</w:t>
      </w:r>
      <w:r w:rsidRPr="00060454">
        <w:rPr>
          <w:noProof/>
          <w:szCs w:val="24"/>
        </w:rPr>
        <w:t>, 9–18 (2017).</w:t>
      </w:r>
    </w:p>
    <w:p w14:paraId="570F453A"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16.</w:t>
      </w:r>
      <w:r w:rsidRPr="00060454">
        <w:rPr>
          <w:noProof/>
          <w:szCs w:val="24"/>
        </w:rPr>
        <w:tab/>
        <w:t xml:space="preserve">Mehr, M., Brandl, R., Kneib, T. &amp; Müller, J. The effect of bark beetle infestation and salvage logging on bat activity in a national park. </w:t>
      </w:r>
      <w:r w:rsidRPr="00060454">
        <w:rPr>
          <w:i/>
          <w:iCs/>
          <w:noProof/>
          <w:szCs w:val="24"/>
        </w:rPr>
        <w:t>Biodivers. Conserv.</w:t>
      </w:r>
      <w:r w:rsidRPr="00060454">
        <w:rPr>
          <w:noProof/>
          <w:szCs w:val="24"/>
        </w:rPr>
        <w:t xml:space="preserve"> </w:t>
      </w:r>
      <w:r w:rsidRPr="00060454">
        <w:rPr>
          <w:b/>
          <w:bCs/>
          <w:noProof/>
          <w:szCs w:val="24"/>
        </w:rPr>
        <w:t>21</w:t>
      </w:r>
      <w:r w:rsidRPr="00060454">
        <w:rPr>
          <w:noProof/>
          <w:szCs w:val="24"/>
        </w:rPr>
        <w:t>, 2775–2786 (2012).</w:t>
      </w:r>
    </w:p>
    <w:p w14:paraId="7FDFB023"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17.</w:t>
      </w:r>
      <w:r w:rsidRPr="00060454">
        <w:rPr>
          <w:noProof/>
          <w:szCs w:val="24"/>
        </w:rPr>
        <w:tab/>
        <w:t xml:space="preserve">Thorn, S. </w:t>
      </w:r>
      <w:r w:rsidRPr="00060454">
        <w:rPr>
          <w:i/>
          <w:iCs/>
          <w:noProof/>
          <w:szCs w:val="24"/>
        </w:rPr>
        <w:t>et al.</w:t>
      </w:r>
      <w:r w:rsidRPr="00060454">
        <w:rPr>
          <w:noProof/>
          <w:szCs w:val="24"/>
        </w:rPr>
        <w:t xml:space="preserve"> Guild-specific responses of forest Lepidoptera highlight conservation-oriented forest management – implications from conifer-dominated forests. </w:t>
      </w:r>
      <w:r w:rsidRPr="00060454">
        <w:rPr>
          <w:i/>
          <w:iCs/>
          <w:noProof/>
          <w:szCs w:val="24"/>
        </w:rPr>
        <w:t>For. Ecol. Manage.</w:t>
      </w:r>
      <w:r w:rsidRPr="00060454">
        <w:rPr>
          <w:noProof/>
          <w:szCs w:val="24"/>
        </w:rPr>
        <w:t xml:space="preserve"> </w:t>
      </w:r>
      <w:r w:rsidRPr="00060454">
        <w:rPr>
          <w:b/>
          <w:bCs/>
          <w:noProof/>
          <w:szCs w:val="24"/>
        </w:rPr>
        <w:t>337</w:t>
      </w:r>
      <w:r w:rsidRPr="00060454">
        <w:rPr>
          <w:noProof/>
          <w:szCs w:val="24"/>
        </w:rPr>
        <w:t>, 41–47 (2015).</w:t>
      </w:r>
    </w:p>
    <w:p w14:paraId="43752866"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18.</w:t>
      </w:r>
      <w:r w:rsidRPr="00060454">
        <w:rPr>
          <w:noProof/>
          <w:szCs w:val="24"/>
        </w:rPr>
        <w:tab/>
        <w:t xml:space="preserve">Thorn, S. </w:t>
      </w:r>
      <w:r w:rsidRPr="00060454">
        <w:rPr>
          <w:i/>
          <w:iCs/>
          <w:noProof/>
          <w:szCs w:val="24"/>
        </w:rPr>
        <w:t>et al.</w:t>
      </w:r>
      <w:r w:rsidRPr="00060454">
        <w:rPr>
          <w:noProof/>
          <w:szCs w:val="24"/>
        </w:rPr>
        <w:t xml:space="preserve"> Changes in the dominant assembly mechanism drive species loss caused by declining resources. </w:t>
      </w:r>
      <w:r w:rsidRPr="00060454">
        <w:rPr>
          <w:i/>
          <w:iCs/>
          <w:noProof/>
          <w:szCs w:val="24"/>
        </w:rPr>
        <w:t>Ecol. Lett.</w:t>
      </w:r>
      <w:r w:rsidRPr="00060454">
        <w:rPr>
          <w:noProof/>
          <w:szCs w:val="24"/>
        </w:rPr>
        <w:t xml:space="preserve"> </w:t>
      </w:r>
      <w:r w:rsidRPr="00060454">
        <w:rPr>
          <w:b/>
          <w:bCs/>
          <w:noProof/>
          <w:szCs w:val="24"/>
        </w:rPr>
        <w:t>19</w:t>
      </w:r>
      <w:r w:rsidRPr="00060454">
        <w:rPr>
          <w:noProof/>
          <w:szCs w:val="24"/>
        </w:rPr>
        <w:t>, 163–170 (2016).</w:t>
      </w:r>
    </w:p>
    <w:p w14:paraId="009BAA4C"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19.</w:t>
      </w:r>
      <w:r w:rsidRPr="00060454">
        <w:rPr>
          <w:noProof/>
          <w:szCs w:val="24"/>
        </w:rPr>
        <w:tab/>
        <w:t xml:space="preserve">Zmihorski, M. </w:t>
      </w:r>
      <w:r w:rsidRPr="00060454">
        <w:rPr>
          <w:i/>
          <w:iCs/>
          <w:noProof/>
          <w:szCs w:val="24"/>
        </w:rPr>
        <w:t>et al.</w:t>
      </w:r>
      <w:r w:rsidRPr="00060454">
        <w:rPr>
          <w:noProof/>
          <w:szCs w:val="24"/>
        </w:rPr>
        <w:t xml:space="preserve"> Early post-fire bird community in European boreal forest: Comparing salvage-logged with non-intervention areas. </w:t>
      </w:r>
      <w:r w:rsidRPr="00060454">
        <w:rPr>
          <w:i/>
          <w:iCs/>
          <w:noProof/>
          <w:szCs w:val="24"/>
        </w:rPr>
        <w:t>Glob. Ecol. Conserv.</w:t>
      </w:r>
      <w:r w:rsidRPr="00060454">
        <w:rPr>
          <w:noProof/>
          <w:szCs w:val="24"/>
        </w:rPr>
        <w:t xml:space="preserve"> </w:t>
      </w:r>
      <w:r w:rsidRPr="00060454">
        <w:rPr>
          <w:b/>
          <w:bCs/>
          <w:noProof/>
          <w:szCs w:val="24"/>
        </w:rPr>
        <w:t>18</w:t>
      </w:r>
      <w:r w:rsidRPr="00060454">
        <w:rPr>
          <w:noProof/>
          <w:szCs w:val="24"/>
        </w:rPr>
        <w:t>, e00636 (2019).</w:t>
      </w:r>
    </w:p>
    <w:p w14:paraId="6EE0E5E5"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20.</w:t>
      </w:r>
      <w:r w:rsidRPr="00060454">
        <w:rPr>
          <w:noProof/>
          <w:szCs w:val="24"/>
        </w:rPr>
        <w:tab/>
        <w:t xml:space="preserve">Durska, E. Effects of disturbances on scuttle flies (Diptera: Phoridae) in Pine Forests. </w:t>
      </w:r>
      <w:r w:rsidRPr="00060454">
        <w:rPr>
          <w:i/>
          <w:iCs/>
          <w:noProof/>
          <w:szCs w:val="24"/>
        </w:rPr>
        <w:t>Biodivers. Conserv.</w:t>
      </w:r>
      <w:r w:rsidRPr="00060454">
        <w:rPr>
          <w:noProof/>
          <w:szCs w:val="24"/>
        </w:rPr>
        <w:t xml:space="preserve"> </w:t>
      </w:r>
      <w:r w:rsidRPr="00060454">
        <w:rPr>
          <w:b/>
          <w:bCs/>
          <w:noProof/>
          <w:szCs w:val="24"/>
        </w:rPr>
        <w:t>22</w:t>
      </w:r>
      <w:r w:rsidRPr="00060454">
        <w:rPr>
          <w:noProof/>
          <w:szCs w:val="24"/>
        </w:rPr>
        <w:t>, 1991–2021 (2013).</w:t>
      </w:r>
    </w:p>
    <w:p w14:paraId="44E07C8D"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21.</w:t>
      </w:r>
      <w:r w:rsidRPr="00060454">
        <w:rPr>
          <w:noProof/>
          <w:szCs w:val="24"/>
        </w:rPr>
        <w:tab/>
        <w:t xml:space="preserve">Zmihorski, M. The effect of windthrow and its management on breeding bird communities in a managed forest. </w:t>
      </w:r>
      <w:r w:rsidRPr="00060454">
        <w:rPr>
          <w:i/>
          <w:iCs/>
          <w:noProof/>
          <w:szCs w:val="24"/>
        </w:rPr>
        <w:t>Biodivers. Conserv.</w:t>
      </w:r>
      <w:r w:rsidRPr="00060454">
        <w:rPr>
          <w:noProof/>
          <w:szCs w:val="24"/>
        </w:rPr>
        <w:t xml:space="preserve"> </w:t>
      </w:r>
      <w:r w:rsidRPr="00060454">
        <w:rPr>
          <w:b/>
          <w:bCs/>
          <w:noProof/>
          <w:szCs w:val="24"/>
        </w:rPr>
        <w:t>19</w:t>
      </w:r>
      <w:r w:rsidRPr="00060454">
        <w:rPr>
          <w:noProof/>
          <w:szCs w:val="24"/>
        </w:rPr>
        <w:t>, 1871–1882 (2010).</w:t>
      </w:r>
    </w:p>
    <w:p w14:paraId="73170410"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22.</w:t>
      </w:r>
      <w:r w:rsidRPr="00060454">
        <w:rPr>
          <w:noProof/>
          <w:szCs w:val="24"/>
        </w:rPr>
        <w:tab/>
        <w:t xml:space="preserve">Choi, C. Y., Lee, E. J., Nam, H. Y. &amp; Lee, W. S. Effects of postfire logging on bird populations and communities in burned forests. </w:t>
      </w:r>
      <w:r w:rsidRPr="00060454">
        <w:rPr>
          <w:i/>
          <w:iCs/>
          <w:noProof/>
          <w:szCs w:val="24"/>
        </w:rPr>
        <w:t>Jorunal Korean For. Soc.</w:t>
      </w:r>
      <w:r w:rsidRPr="00060454">
        <w:rPr>
          <w:noProof/>
          <w:szCs w:val="24"/>
        </w:rPr>
        <w:t xml:space="preserve"> </w:t>
      </w:r>
      <w:r w:rsidRPr="00060454">
        <w:rPr>
          <w:b/>
          <w:bCs/>
          <w:noProof/>
          <w:szCs w:val="24"/>
        </w:rPr>
        <w:t>96</w:t>
      </w:r>
      <w:r w:rsidRPr="00060454">
        <w:rPr>
          <w:noProof/>
          <w:szCs w:val="24"/>
        </w:rPr>
        <w:t>, 115–123 (2007).</w:t>
      </w:r>
    </w:p>
    <w:p w14:paraId="5503C7A8"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23.</w:t>
      </w:r>
      <w:r w:rsidRPr="00060454">
        <w:rPr>
          <w:noProof/>
          <w:szCs w:val="24"/>
        </w:rPr>
        <w:tab/>
        <w:t xml:space="preserve">Lee, E.-J., Lee, W.-S., Son, S. H. &amp; Rhim, S.-J. Differences in bird communities in postfire silvicultural practices stands within pine forest of South Korea. </w:t>
      </w:r>
      <w:r w:rsidRPr="00060454">
        <w:rPr>
          <w:i/>
          <w:iCs/>
          <w:noProof/>
          <w:szCs w:val="24"/>
        </w:rPr>
        <w:t>Landsc. Ecol. Eng.</w:t>
      </w:r>
      <w:r w:rsidRPr="00060454">
        <w:rPr>
          <w:noProof/>
          <w:szCs w:val="24"/>
        </w:rPr>
        <w:t xml:space="preserve"> </w:t>
      </w:r>
      <w:r w:rsidRPr="00060454">
        <w:rPr>
          <w:b/>
          <w:bCs/>
          <w:noProof/>
          <w:szCs w:val="24"/>
        </w:rPr>
        <w:t>7</w:t>
      </w:r>
      <w:r w:rsidRPr="00060454">
        <w:rPr>
          <w:noProof/>
          <w:szCs w:val="24"/>
        </w:rPr>
        <w:t>, 137–143 (2011).</w:t>
      </w:r>
    </w:p>
    <w:p w14:paraId="0D0F5CF7" w14:textId="77777777" w:rsidR="00060454" w:rsidRPr="00060454" w:rsidRDefault="00060454" w:rsidP="00060454">
      <w:pPr>
        <w:widowControl w:val="0"/>
        <w:autoSpaceDE w:val="0"/>
        <w:autoSpaceDN w:val="0"/>
        <w:adjustRightInd w:val="0"/>
        <w:spacing w:line="240" w:lineRule="auto"/>
        <w:ind w:left="640" w:hanging="640"/>
        <w:rPr>
          <w:noProof/>
          <w:szCs w:val="24"/>
        </w:rPr>
      </w:pPr>
      <w:r w:rsidRPr="00060454">
        <w:rPr>
          <w:noProof/>
          <w:szCs w:val="24"/>
        </w:rPr>
        <w:t>24.</w:t>
      </w:r>
      <w:r w:rsidRPr="00060454">
        <w:rPr>
          <w:noProof/>
          <w:szCs w:val="24"/>
        </w:rPr>
        <w:tab/>
        <w:t xml:space="preserve">Lindenmayer, D. B., Mcburney, L., Blair, D., Wood, J. &amp; Banks, S. C. From unburnt to salvage logged: Quantifying bird responses to different levels of disturbance severity. </w:t>
      </w:r>
      <w:r w:rsidRPr="00060454">
        <w:rPr>
          <w:i/>
          <w:iCs/>
          <w:noProof/>
          <w:szCs w:val="24"/>
        </w:rPr>
        <w:t>J. Appl. Ecol.</w:t>
      </w:r>
      <w:r w:rsidRPr="00060454">
        <w:rPr>
          <w:noProof/>
          <w:szCs w:val="24"/>
        </w:rPr>
        <w:t xml:space="preserve"> 1626–1636 (2018). doi:10.1111/1365-2664.13137</w:t>
      </w:r>
    </w:p>
    <w:p w14:paraId="216E168C" w14:textId="77777777" w:rsidR="00060454" w:rsidRPr="00060454" w:rsidRDefault="00060454" w:rsidP="00060454">
      <w:pPr>
        <w:widowControl w:val="0"/>
        <w:autoSpaceDE w:val="0"/>
        <w:autoSpaceDN w:val="0"/>
        <w:adjustRightInd w:val="0"/>
        <w:spacing w:line="240" w:lineRule="auto"/>
        <w:ind w:left="640" w:hanging="640"/>
        <w:rPr>
          <w:noProof/>
        </w:rPr>
      </w:pPr>
      <w:r w:rsidRPr="00060454">
        <w:rPr>
          <w:noProof/>
          <w:szCs w:val="24"/>
        </w:rPr>
        <w:t>25.</w:t>
      </w:r>
      <w:r w:rsidRPr="00060454">
        <w:rPr>
          <w:noProof/>
          <w:szCs w:val="24"/>
        </w:rPr>
        <w:tab/>
        <w:t xml:space="preserve">Blair, D. P., McBurney, L. M., Blanchard, W., Banks, S. C. &amp; Lindenmayer, D. B. Disturbance gradient shows logging affects plant functional groups more than fire. </w:t>
      </w:r>
      <w:r w:rsidRPr="00060454">
        <w:rPr>
          <w:i/>
          <w:iCs/>
          <w:noProof/>
          <w:szCs w:val="24"/>
        </w:rPr>
        <w:t>Ecol. Appl.</w:t>
      </w:r>
      <w:r w:rsidRPr="00060454">
        <w:rPr>
          <w:noProof/>
          <w:szCs w:val="24"/>
        </w:rPr>
        <w:t xml:space="preserve"> </w:t>
      </w:r>
      <w:r w:rsidRPr="00060454">
        <w:rPr>
          <w:b/>
          <w:bCs/>
          <w:noProof/>
          <w:szCs w:val="24"/>
        </w:rPr>
        <w:t>26</w:t>
      </w:r>
      <w:r w:rsidRPr="00060454">
        <w:rPr>
          <w:noProof/>
          <w:szCs w:val="24"/>
        </w:rPr>
        <w:t>, 2280–2301 (2016).</w:t>
      </w:r>
    </w:p>
    <w:p w14:paraId="209A82D7" w14:textId="77777777" w:rsidR="00B15B87" w:rsidRPr="00243BD2" w:rsidRDefault="00B15B87">
      <w:pPr>
        <w:rPr>
          <w:lang w:val="de-DE"/>
        </w:rPr>
      </w:pPr>
      <w:r>
        <w:fldChar w:fldCharType="end"/>
      </w:r>
    </w:p>
    <w:sectPr w:rsidR="00B15B87" w:rsidRPr="00243BD2" w:rsidSect="00F7091A">
      <w:footerReference w:type="default" r:id="rId7"/>
      <w:pgSz w:w="11906" w:h="16838"/>
      <w:pgMar w:top="1417" w:right="1417" w:bottom="1134" w:left="1417" w:header="708" w:footer="708" w:gutter="0"/>
      <w:lnNumType w:countBy="1" w:restart="continuous"/>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7B33D" w16cex:dateUtc="2020-05-14T10: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73D01" w14:textId="77777777" w:rsidR="00D90E7A" w:rsidRDefault="00D90E7A">
      <w:pPr>
        <w:spacing w:after="0" w:line="240" w:lineRule="auto"/>
      </w:pPr>
      <w:r>
        <w:separator/>
      </w:r>
    </w:p>
  </w:endnote>
  <w:endnote w:type="continuationSeparator" w:id="0">
    <w:p w14:paraId="5C136AB0" w14:textId="77777777" w:rsidR="00D90E7A" w:rsidRDefault="00D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1E2A1" w14:textId="1F235B52" w:rsidR="00A43629" w:rsidRDefault="00A43629">
    <w:pPr>
      <w:tabs>
        <w:tab w:val="center" w:pos="4536"/>
        <w:tab w:val="right" w:pos="9072"/>
      </w:tabs>
      <w:spacing w:after="0" w:line="240" w:lineRule="auto"/>
      <w:jc w:val="center"/>
      <w:rPr>
        <w:color w:val="000000"/>
      </w:rPr>
    </w:pPr>
    <w:r>
      <w:rPr>
        <w:rFonts w:cs="Calibri"/>
        <w:color w:val="000000"/>
      </w:rPr>
      <w:fldChar w:fldCharType="begin"/>
    </w:r>
    <w:r>
      <w:rPr>
        <w:rFonts w:cs="Calibri"/>
        <w:color w:val="000000"/>
      </w:rPr>
      <w:instrText>PAGE</w:instrText>
    </w:r>
    <w:r>
      <w:rPr>
        <w:rFonts w:cs="Calibri"/>
        <w:color w:val="000000"/>
      </w:rPr>
      <w:fldChar w:fldCharType="separate"/>
    </w:r>
    <w:r>
      <w:rPr>
        <w:rFonts w:cs="Calibri"/>
        <w:noProof/>
        <w:color w:val="000000"/>
      </w:rPr>
      <w:t>3</w:t>
    </w:r>
    <w:r>
      <w:rPr>
        <w:rFonts w:cs="Calibri"/>
        <w:color w:val="000000"/>
      </w:rPr>
      <w:fldChar w:fldCharType="end"/>
    </w:r>
  </w:p>
  <w:p w14:paraId="75802C9A" w14:textId="77777777" w:rsidR="00A43629" w:rsidRPr="00747384" w:rsidRDefault="00A43629" w:rsidP="00747384">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CEE57" w14:textId="77777777" w:rsidR="00D90E7A" w:rsidRDefault="00D90E7A">
      <w:pPr>
        <w:spacing w:after="0" w:line="240" w:lineRule="auto"/>
      </w:pPr>
      <w:r>
        <w:separator/>
      </w:r>
    </w:p>
  </w:footnote>
  <w:footnote w:type="continuationSeparator" w:id="0">
    <w:p w14:paraId="576A9950" w14:textId="77777777" w:rsidR="00D90E7A" w:rsidRDefault="00D90E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FDE"/>
    <w:rsid w:val="000313BB"/>
    <w:rsid w:val="00043212"/>
    <w:rsid w:val="00060454"/>
    <w:rsid w:val="00083CB3"/>
    <w:rsid w:val="000A12E5"/>
    <w:rsid w:val="000A5945"/>
    <w:rsid w:val="000E2ED6"/>
    <w:rsid w:val="00116524"/>
    <w:rsid w:val="00116FB5"/>
    <w:rsid w:val="001230E6"/>
    <w:rsid w:val="00167B80"/>
    <w:rsid w:val="001928F9"/>
    <w:rsid w:val="00196607"/>
    <w:rsid w:val="001C6A39"/>
    <w:rsid w:val="001F7242"/>
    <w:rsid w:val="0022036D"/>
    <w:rsid w:val="00243BD2"/>
    <w:rsid w:val="00255945"/>
    <w:rsid w:val="00257213"/>
    <w:rsid w:val="00277C8B"/>
    <w:rsid w:val="002B1F79"/>
    <w:rsid w:val="002B3AD0"/>
    <w:rsid w:val="002F0CCE"/>
    <w:rsid w:val="0031510F"/>
    <w:rsid w:val="00321BA8"/>
    <w:rsid w:val="00323099"/>
    <w:rsid w:val="00326458"/>
    <w:rsid w:val="003511F5"/>
    <w:rsid w:val="00354B9C"/>
    <w:rsid w:val="0038155C"/>
    <w:rsid w:val="003A5FB9"/>
    <w:rsid w:val="003E4F10"/>
    <w:rsid w:val="003F7BE1"/>
    <w:rsid w:val="00432E18"/>
    <w:rsid w:val="00433CF1"/>
    <w:rsid w:val="00441E7A"/>
    <w:rsid w:val="004427D0"/>
    <w:rsid w:val="004A24D2"/>
    <w:rsid w:val="004B4AB3"/>
    <w:rsid w:val="004E0405"/>
    <w:rsid w:val="004E374B"/>
    <w:rsid w:val="00506424"/>
    <w:rsid w:val="00536E04"/>
    <w:rsid w:val="00546554"/>
    <w:rsid w:val="00567574"/>
    <w:rsid w:val="005A2874"/>
    <w:rsid w:val="005A4CE0"/>
    <w:rsid w:val="005A5652"/>
    <w:rsid w:val="005B7A6E"/>
    <w:rsid w:val="005C4D5B"/>
    <w:rsid w:val="005D36D0"/>
    <w:rsid w:val="005F7DB6"/>
    <w:rsid w:val="00604F40"/>
    <w:rsid w:val="00647999"/>
    <w:rsid w:val="0069227D"/>
    <w:rsid w:val="006A51DD"/>
    <w:rsid w:val="006B5DE3"/>
    <w:rsid w:val="006C013A"/>
    <w:rsid w:val="00705393"/>
    <w:rsid w:val="00724EDD"/>
    <w:rsid w:val="00725205"/>
    <w:rsid w:val="007309C6"/>
    <w:rsid w:val="00740482"/>
    <w:rsid w:val="00747384"/>
    <w:rsid w:val="00747C16"/>
    <w:rsid w:val="00763294"/>
    <w:rsid w:val="00776F19"/>
    <w:rsid w:val="00790A30"/>
    <w:rsid w:val="007A0836"/>
    <w:rsid w:val="007A7F2E"/>
    <w:rsid w:val="007D3FDE"/>
    <w:rsid w:val="007E03DC"/>
    <w:rsid w:val="007E3F09"/>
    <w:rsid w:val="008018DA"/>
    <w:rsid w:val="00822CFE"/>
    <w:rsid w:val="0082624E"/>
    <w:rsid w:val="00886BEF"/>
    <w:rsid w:val="00887F1E"/>
    <w:rsid w:val="008D1F56"/>
    <w:rsid w:val="008F7D23"/>
    <w:rsid w:val="00905ECB"/>
    <w:rsid w:val="00933EAD"/>
    <w:rsid w:val="00940A10"/>
    <w:rsid w:val="00974A4A"/>
    <w:rsid w:val="00983D76"/>
    <w:rsid w:val="0098725B"/>
    <w:rsid w:val="009E1A7C"/>
    <w:rsid w:val="009E53D9"/>
    <w:rsid w:val="00A06324"/>
    <w:rsid w:val="00A4090F"/>
    <w:rsid w:val="00A412C7"/>
    <w:rsid w:val="00A43629"/>
    <w:rsid w:val="00A51A32"/>
    <w:rsid w:val="00A578C2"/>
    <w:rsid w:val="00A9341E"/>
    <w:rsid w:val="00AA3134"/>
    <w:rsid w:val="00AB17F5"/>
    <w:rsid w:val="00AC23E6"/>
    <w:rsid w:val="00B01191"/>
    <w:rsid w:val="00B145A3"/>
    <w:rsid w:val="00B14A71"/>
    <w:rsid w:val="00B15B87"/>
    <w:rsid w:val="00B3250A"/>
    <w:rsid w:val="00B52F95"/>
    <w:rsid w:val="00B91D81"/>
    <w:rsid w:val="00BC47FB"/>
    <w:rsid w:val="00BD1AB9"/>
    <w:rsid w:val="00BD2933"/>
    <w:rsid w:val="00BD3111"/>
    <w:rsid w:val="00C0534C"/>
    <w:rsid w:val="00C22DED"/>
    <w:rsid w:val="00C36400"/>
    <w:rsid w:val="00C71266"/>
    <w:rsid w:val="00C81194"/>
    <w:rsid w:val="00CB4FFA"/>
    <w:rsid w:val="00CB571C"/>
    <w:rsid w:val="00D1645B"/>
    <w:rsid w:val="00D4384C"/>
    <w:rsid w:val="00D5401D"/>
    <w:rsid w:val="00D64A9E"/>
    <w:rsid w:val="00D8285B"/>
    <w:rsid w:val="00D86FF4"/>
    <w:rsid w:val="00D90E7A"/>
    <w:rsid w:val="00DC5264"/>
    <w:rsid w:val="00E2080D"/>
    <w:rsid w:val="00E52EC2"/>
    <w:rsid w:val="00E87EEC"/>
    <w:rsid w:val="00E92D78"/>
    <w:rsid w:val="00EE58BD"/>
    <w:rsid w:val="00F0665E"/>
    <w:rsid w:val="00F26E6E"/>
    <w:rsid w:val="00F45B8D"/>
    <w:rsid w:val="00F567BE"/>
    <w:rsid w:val="00F7091A"/>
    <w:rsid w:val="00F9071D"/>
    <w:rsid w:val="00F93C68"/>
    <w:rsid w:val="00FA4370"/>
    <w:rsid w:val="00FC57D7"/>
    <w:rsid w:val="00FD0C55"/>
    <w:rsid w:val="00FE0CB0"/>
    <w:rsid w:val="00FE54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B600EC"/>
  <w14:defaultImageDpi w14:val="0"/>
  <w15:docId w15:val="{FD7532B6-10AD-4176-8429-7A170F66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3FDE"/>
    <w:pPr>
      <w:spacing w:after="160" w:line="259" w:lineRule="auto"/>
    </w:pPr>
    <w:rPr>
      <w:rFonts w:eastAsia="Times New Roman"/>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uiPriority w:val="99"/>
    <w:semiHidden/>
    <w:rsid w:val="007D3FDE"/>
    <w:rPr>
      <w:rFonts w:cs="Times New Roman"/>
    </w:rPr>
  </w:style>
  <w:style w:type="paragraph" w:styleId="Sprechblasentext">
    <w:name w:val="Balloon Text"/>
    <w:basedOn w:val="Standard"/>
    <w:link w:val="SprechblasentextZchn"/>
    <w:uiPriority w:val="99"/>
    <w:semiHidden/>
    <w:rsid w:val="00FC57D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221DB"/>
    <w:rPr>
      <w:rFonts w:ascii="Times New Roman" w:eastAsia="Times New Roman" w:hAnsi="Times New Roman"/>
      <w:sz w:val="0"/>
      <w:szCs w:val="0"/>
      <w:lang w:val="en-US" w:eastAsia="en-US"/>
    </w:rPr>
  </w:style>
  <w:style w:type="character" w:styleId="Kommentarzeichen">
    <w:name w:val="annotation reference"/>
    <w:basedOn w:val="Absatz-Standardschriftart"/>
    <w:uiPriority w:val="99"/>
    <w:semiHidden/>
    <w:unhideWhenUsed/>
    <w:rsid w:val="00E2080D"/>
    <w:rPr>
      <w:sz w:val="16"/>
      <w:szCs w:val="16"/>
    </w:rPr>
  </w:style>
  <w:style w:type="paragraph" w:styleId="Kommentartext">
    <w:name w:val="annotation text"/>
    <w:basedOn w:val="Standard"/>
    <w:link w:val="KommentartextZchn"/>
    <w:uiPriority w:val="99"/>
    <w:semiHidden/>
    <w:unhideWhenUsed/>
    <w:rsid w:val="00E2080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2080D"/>
    <w:rPr>
      <w:rFonts w:eastAsia="Times New Roman"/>
      <w:sz w:val="20"/>
      <w:szCs w:val="20"/>
      <w:lang w:val="en-US" w:eastAsia="en-US"/>
    </w:rPr>
  </w:style>
  <w:style w:type="paragraph" w:styleId="Kommentarthema">
    <w:name w:val="annotation subject"/>
    <w:basedOn w:val="Kommentartext"/>
    <w:next w:val="Kommentartext"/>
    <w:link w:val="KommentarthemaZchn"/>
    <w:uiPriority w:val="99"/>
    <w:semiHidden/>
    <w:unhideWhenUsed/>
    <w:rsid w:val="00E2080D"/>
    <w:rPr>
      <w:b/>
      <w:bCs/>
    </w:rPr>
  </w:style>
  <w:style w:type="character" w:customStyle="1" w:styleId="KommentarthemaZchn">
    <w:name w:val="Kommentarthema Zchn"/>
    <w:basedOn w:val="KommentartextZchn"/>
    <w:link w:val="Kommentarthema"/>
    <w:uiPriority w:val="99"/>
    <w:semiHidden/>
    <w:rsid w:val="00E2080D"/>
    <w:rPr>
      <w:rFonts w:eastAsia="Times New Roman"/>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14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27982-3918-40B0-A218-E078CE157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14397</Words>
  <Characters>90702</Characters>
  <Application>Microsoft Office Word</Application>
  <DocSecurity>0</DocSecurity>
  <Lines>755</Lines>
  <Paragraphs>209</Paragraphs>
  <ScaleCrop>false</ScaleCrop>
  <HeadingPairs>
    <vt:vector size="2" baseType="variant">
      <vt:variant>
        <vt:lpstr>Titel</vt:lpstr>
      </vt:variant>
      <vt:variant>
        <vt:i4>1</vt:i4>
      </vt:variant>
    </vt:vector>
  </HeadingPairs>
  <TitlesOfParts>
    <vt:vector size="1" baseType="lpstr">
      <vt:lpstr>Supplementary material</vt:lpstr>
    </vt:vector>
  </TitlesOfParts>
  <Company/>
  <LinksUpToDate>false</LinksUpToDate>
  <CharactersWithSpaces>104890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subject/>
  <dc:creator>User</dc:creator>
  <cp:keywords/>
  <dc:description/>
  <cp:lastModifiedBy>Simon Thorn</cp:lastModifiedBy>
  <cp:revision>9</cp:revision>
  <dcterms:created xsi:type="dcterms:W3CDTF">2020-07-25T14:05:00Z</dcterms:created>
  <dcterms:modified xsi:type="dcterms:W3CDTF">2020-08-16T16:54:00Z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http://www.zotero.org/styles/forest-ecology-and-management</vt:lpwstr>
  </property>
  <property fmtid="{D5CDD505-2E9C-101B-9397-08002B2CF9AE}" pid="9" name="Mendeley Recent Style Name 3_1">
    <vt:lpwstr>Forest Ecology and Management</vt:lpwstr>
  </property>
  <property fmtid="{D5CDD505-2E9C-101B-9397-08002B2CF9AE}" pid="10" name="Mendeley Recent Style Id 4_1">
    <vt:lpwstr>http://www.zotero.org/styles/frontiers-in-ecology-and-the-environment</vt:lpwstr>
  </property>
  <property fmtid="{D5CDD505-2E9C-101B-9397-08002B2CF9AE}" pid="11" name="Mendeley Recent Style Name 4_1">
    <vt:lpwstr>Frontiers in Ecology and the Environment</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http://www.zotero.org/styles/journal-of-applied-ecology</vt:lpwstr>
  </property>
  <property fmtid="{D5CDD505-2E9C-101B-9397-08002B2CF9AE}" pid="15" name="Mendeley Recent Style Name 6_1">
    <vt:lpwstr>Journal of Applied Ecology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y fmtid="{D5CDD505-2E9C-101B-9397-08002B2CF9AE}" pid="22" name="Mendeley Document_1">
    <vt:lpwstr>True</vt:lpwstr>
  </property>
  <property fmtid="{D5CDD505-2E9C-101B-9397-08002B2CF9AE}" pid="23" name="Mendeley Unique User Id_1">
    <vt:lpwstr>83d0815b-f61c-3977-90ee-efffc45fe0c7</vt:lpwstr>
  </property>
  <property fmtid="{D5CDD505-2E9C-101B-9397-08002B2CF9AE}" pid="24" name="Mendeley Citation Style_1">
    <vt:lpwstr>http://www.zotero.org/styles/forest-ecology-and-management</vt:lpwstr>
  </property>
  <property fmtid="{D5CDD505-2E9C-101B-9397-08002B2CF9AE}" pid="25" name="Docear4Word_StyleTitle">
    <vt:lpwstr>ACM SIG Proceedings With Long Author List</vt:lpwstr>
  </property>
</Properties>
</file>