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032" w:rsidRDefault="00E32032">
      <w:r>
        <w:t>Description of Additional Supplementary information</w:t>
      </w:r>
    </w:p>
    <w:p w:rsidR="00E32032" w:rsidRDefault="00E32032">
      <w:r>
        <w:t xml:space="preserve">Title: </w:t>
      </w:r>
      <w:r>
        <w:t xml:space="preserve">Supplementary Movie 1. </w:t>
      </w:r>
    </w:p>
    <w:p w:rsidR="00E32032" w:rsidRDefault="00E32032">
      <w:r>
        <w:t xml:space="preserve">Description: </w:t>
      </w:r>
      <w:r>
        <w:t xml:space="preserve">Fit of the density to Rab5a. A view of the Rab5a </w:t>
      </w:r>
      <w:proofErr w:type="spellStart"/>
      <w:r>
        <w:t>bunding</w:t>
      </w:r>
      <w:proofErr w:type="spellEnd"/>
      <w:r>
        <w:t xml:space="preserve"> site, rotating around the x-axis to illustrate the unambiguous fit of the model to the density. </w:t>
      </w:r>
    </w:p>
    <w:p w:rsidR="00E32032" w:rsidRDefault="00E32032">
      <w:r>
        <w:t xml:space="preserve">Title: </w:t>
      </w:r>
      <w:r>
        <w:t xml:space="preserve">Supplementary Movie 2. </w:t>
      </w:r>
    </w:p>
    <w:p w:rsidR="00E32032" w:rsidRDefault="00E32032">
      <w:r>
        <w:t xml:space="preserve">Description: </w:t>
      </w:r>
      <w:r>
        <w:t xml:space="preserve">The VPS34 complex II can adopt a range of orientations with respect to the membrane. The </w:t>
      </w:r>
      <w:proofErr w:type="spellStart"/>
      <w:r>
        <w:t>rhree</w:t>
      </w:r>
      <w:proofErr w:type="spellEnd"/>
      <w:r>
        <w:t xml:space="preserve"> classes shown in Fig. 6d were arranged in sequence by increasing angle with respect to the membrane and shown in two orthogonal views. </w:t>
      </w:r>
    </w:p>
    <w:p w:rsidR="00E32032" w:rsidRDefault="00E32032">
      <w:r>
        <w:t xml:space="preserve">Title: </w:t>
      </w:r>
      <w:r>
        <w:t xml:space="preserve">Supplementary Data 1. </w:t>
      </w:r>
    </w:p>
    <w:p w:rsidR="00E32032" w:rsidRDefault="00E32032">
      <w:r>
        <w:t xml:space="preserve">Description: </w:t>
      </w:r>
      <w:r>
        <w:t xml:space="preserve">HDX-MS observed for human VPS34 complex II peptides in the presence and absence human Rab5a. Every peptide included within the dataset is shown, along with the quality assessment statistics of the dataset. Each subunit of the complex is a separate Excel worksheet. </w:t>
      </w:r>
    </w:p>
    <w:p w:rsidR="00E32032" w:rsidRDefault="00E32032">
      <w:r>
        <w:t xml:space="preserve">Title: </w:t>
      </w:r>
      <w:r>
        <w:t xml:space="preserve">Supplementary Data 2. </w:t>
      </w:r>
    </w:p>
    <w:p w:rsidR="00AF3355" w:rsidRDefault="00E32032">
      <w:r>
        <w:t xml:space="preserve">Description: </w:t>
      </w:r>
      <w:bookmarkStart w:id="0" w:name="_GoBack"/>
      <w:bookmarkEnd w:id="0"/>
      <w:r>
        <w:t>HDX-MS observed for human VPS34 complex I peptides in the presence and absence human Rab1a. Every peptide included within the dataset is shown, along with the quality assessment statistics of the dataset. Each subunit of the complex is a separate Excel worksheet.</w:t>
      </w:r>
    </w:p>
    <w:sectPr w:rsidR="00AF3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32"/>
    <w:rsid w:val="00AF3355"/>
    <w:rsid w:val="00E32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E4FA"/>
  <w15:chartTrackingRefBased/>
  <w15:docId w15:val="{FC920830-640F-4F66-A205-4C38689C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 Kobylinski</dc:creator>
  <cp:keywords/>
  <dc:description/>
  <cp:lastModifiedBy>Sasha M Kobylinski</cp:lastModifiedBy>
  <cp:revision>1</cp:revision>
  <dcterms:created xsi:type="dcterms:W3CDTF">2021-01-25T21:46:00Z</dcterms:created>
  <dcterms:modified xsi:type="dcterms:W3CDTF">2021-01-25T21:47:00Z</dcterms:modified>
</cp:coreProperties>
</file>