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68D" w:rsidRDefault="00FE668D">
      <w:r>
        <w:t>Descriptions of Additional Supplementary Files</w:t>
      </w:r>
    </w:p>
    <w:p w:rsidR="00FE668D" w:rsidRPr="00FE668D" w:rsidRDefault="00FE668D">
      <w:pPr>
        <w:rPr>
          <w:b/>
        </w:rPr>
      </w:pPr>
      <w:bookmarkStart w:id="0" w:name="_GoBack"/>
      <w:bookmarkEnd w:id="0"/>
      <w:r w:rsidRPr="00FE668D">
        <w:rPr>
          <w:b/>
        </w:rPr>
        <w:t>Supplementary Data 1</w:t>
      </w:r>
    </w:p>
    <w:p w:rsidR="00FE668D" w:rsidRDefault="00FE668D">
      <w:r w:rsidRPr="00FE668D">
        <w:rPr>
          <w:b/>
        </w:rPr>
        <w:t>Description:</w:t>
      </w:r>
      <w:r>
        <w:t xml:space="preserve"> Information of paired gene expression and chromatin accessibility data from 207 </w:t>
      </w:r>
      <w:proofErr w:type="spellStart"/>
      <w:r>
        <w:t>biosamples</w:t>
      </w:r>
      <w:proofErr w:type="spellEnd"/>
      <w:r>
        <w:t xml:space="preserve"> that are used to construct 38 TF-TG regulatory networks for this study. </w:t>
      </w:r>
    </w:p>
    <w:p w:rsidR="00FE668D" w:rsidRPr="00FE668D" w:rsidRDefault="00FE668D">
      <w:pPr>
        <w:rPr>
          <w:b/>
        </w:rPr>
      </w:pPr>
      <w:r w:rsidRPr="00FE668D">
        <w:rPr>
          <w:b/>
        </w:rPr>
        <w:t>Supplementary Data 2</w:t>
      </w:r>
    </w:p>
    <w:p w:rsidR="00FE668D" w:rsidRDefault="00FE668D">
      <w:r w:rsidRPr="00FE668D">
        <w:rPr>
          <w:b/>
        </w:rPr>
        <w:t>Description:</w:t>
      </w:r>
      <w:r>
        <w:t xml:space="preserve"> </w:t>
      </w:r>
      <w:r>
        <w:t xml:space="preserve">Correlations between 73 binary functional annotations in LDSC </w:t>
      </w:r>
      <w:proofErr w:type="spellStart"/>
      <w:r>
        <w:t>baselineLD</w:t>
      </w:r>
      <w:proofErr w:type="spellEnd"/>
      <w:r>
        <w:t xml:space="preserve"> v2.1 and log 10 enrichment BFs, either across 512 trait-network pairs that pass the near-gene control or across all 684 trait-network pairs (18 traits and 38 networks). For a given functional annotation, we estimate the correlation between log 10 BF and proportion of SNPs falling into both a network and this functional category, across all trait-network pairs. Rows are ranked by two-sided Pearson P-values based on 512 trait-network pairs. The Bonferroni </w:t>
      </w:r>
      <w:proofErr w:type="spellStart"/>
      <w:r>
        <w:t>cutoff</w:t>
      </w:r>
      <w:proofErr w:type="spellEnd"/>
      <w:r>
        <w:t xml:space="preserve"> is 0.05/73=6.8E-4. </w:t>
      </w:r>
    </w:p>
    <w:p w:rsidR="00FE668D" w:rsidRPr="00FE668D" w:rsidRDefault="00FE668D">
      <w:pPr>
        <w:rPr>
          <w:b/>
        </w:rPr>
      </w:pPr>
      <w:r w:rsidRPr="00FE668D">
        <w:rPr>
          <w:b/>
        </w:rPr>
        <w:t>Supplementary Data 3</w:t>
      </w:r>
    </w:p>
    <w:p w:rsidR="00FE668D" w:rsidRDefault="00FE668D">
      <w:r w:rsidRPr="00FE668D">
        <w:rPr>
          <w:b/>
        </w:rPr>
        <w:t>Description:</w:t>
      </w:r>
      <w:r>
        <w:t xml:space="preserve"> </w:t>
      </w:r>
      <w:r>
        <w:t xml:space="preserve">Correlations of log 10 enrichment BFs between 18 traits across 38 networks. Rows are ranked by two-sided Pearson P-values. The Bonferroni </w:t>
      </w:r>
      <w:proofErr w:type="spellStart"/>
      <w:r>
        <w:t>cutoff</w:t>
      </w:r>
      <w:proofErr w:type="spellEnd"/>
      <w:r>
        <w:t xml:space="preserve"> is 0.05/153=3.3E-4. Trait abbreviations are defined in Supplementary Table 1. Genetic correlations computed on the same GWAS summary data are retrieved from https://atlas.ctglab.nl/ (accessed June 8, 2020). </w:t>
      </w:r>
    </w:p>
    <w:p w:rsidR="00FE668D" w:rsidRPr="00FE668D" w:rsidRDefault="00FE668D">
      <w:pPr>
        <w:rPr>
          <w:b/>
        </w:rPr>
      </w:pPr>
      <w:r w:rsidRPr="00FE668D">
        <w:rPr>
          <w:b/>
        </w:rPr>
        <w:t>Supplementary Data 4</w:t>
      </w:r>
    </w:p>
    <w:p w:rsidR="00FE668D" w:rsidRDefault="00FE668D">
      <w:r w:rsidRPr="00FE668D">
        <w:rPr>
          <w:b/>
        </w:rPr>
        <w:t>Description:</w:t>
      </w:r>
      <w:r>
        <w:t xml:space="preserve"> Overlap between RSS-NET prioritized genes (</w:t>
      </w:r>
      <w:r>
        <w:rPr>
          <w:rFonts w:ascii="Segoe UI Historic" w:hAnsi="Segoe UI Historic" w:cs="Segoe UI Historic"/>
        </w:rPr>
        <w:t>ܲ</w:t>
      </w:r>
      <w:r>
        <w:rPr>
          <w:rFonts w:ascii="Nirmala UI" w:hAnsi="Nirmala UI" w:cs="Nirmala UI"/>
        </w:rPr>
        <w:t>ଵୠ୫ୟ</w:t>
      </w:r>
      <w:r>
        <w:t xml:space="preserve"> ≥ 0.9) and genes implicated in 27 categories of knockout mouse phenotypes (http://www.informatics.jax.org/, accessed November 28, 2019) for 14 GWAS traits. The 14 traits are obtained by removing 2 disease subtypes (MI for CAD, UC for IBD) from the 16 traits that pass the near-gene control. Analysis details are provided in Supplementary Figure 15. Within a trait, rows are sorted by two-sided Fisher exact P-values and then odds ratios from the analysis of all genes (the 4th column). Trait abbreviations are defined in Supplementary Table 1. We use the 1st row "41 / 184 (19.1726)" to explain the meaning of "GWAS overlap" (the 3rd column): 184 genes are implicated by GWAS of AF in the GWAS </w:t>
      </w:r>
      <w:proofErr w:type="spellStart"/>
      <w:r>
        <w:t>Catalog</w:t>
      </w:r>
      <w:proofErr w:type="spellEnd"/>
      <w:r>
        <w:t xml:space="preserve"> at the time of analysis, 41 of them belong to the "Muscle" category, and the negative log 10 </w:t>
      </w:r>
      <w:proofErr w:type="spellStart"/>
      <w:r>
        <w:t>twosided</w:t>
      </w:r>
      <w:proofErr w:type="spellEnd"/>
      <w:r>
        <w:t xml:space="preserve"> Fisher exact P-value is 19.1726. </w:t>
      </w:r>
    </w:p>
    <w:p w:rsidR="00FE668D" w:rsidRPr="00FE668D" w:rsidRDefault="00FE668D">
      <w:pPr>
        <w:rPr>
          <w:b/>
        </w:rPr>
      </w:pPr>
      <w:r w:rsidRPr="00FE668D">
        <w:rPr>
          <w:b/>
        </w:rPr>
        <w:t xml:space="preserve">Supplementary Data 5 </w:t>
      </w:r>
    </w:p>
    <w:p w:rsidR="00564E91" w:rsidRDefault="00FE668D">
      <w:r w:rsidRPr="00FE668D">
        <w:rPr>
          <w:b/>
        </w:rPr>
        <w:t>Description:</w:t>
      </w:r>
      <w:r>
        <w:t xml:space="preserve"> </w:t>
      </w:r>
      <w:r>
        <w:t>Overlap between RSS-NET prioritized genes (</w:t>
      </w:r>
      <w:r>
        <w:rPr>
          <w:rFonts w:ascii="Segoe UI Historic" w:hAnsi="Segoe UI Historic" w:cs="Segoe UI Historic"/>
        </w:rPr>
        <w:t>ܲ</w:t>
      </w:r>
      <w:r>
        <w:rPr>
          <w:rFonts w:ascii="Nirmala UI" w:hAnsi="Nirmala UI" w:cs="Nirmala UI"/>
        </w:rPr>
        <w:t>ଵୠ୫ୟ</w:t>
      </w:r>
      <w:r>
        <w:t xml:space="preserve"> ≥ 0.9) and genes causing 19 categories of Mendelian disorders (https://github.com/bogdanlab/gene_sets/, accessed November 28, 2019) for 14 GWAS traits. The rest is the same as Supplementary Data 4.</w:t>
      </w:r>
    </w:p>
    <w:sectPr w:rsidR="00564E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68D"/>
    <w:rsid w:val="00564E91"/>
    <w:rsid w:val="00FE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Ruby Fitzsimmons</dc:creator>
  <cp:lastModifiedBy>Ruby Fitzsimmons</cp:lastModifiedBy>
  <cp:revision>1</cp:revision>
  <dcterms:created xsi:type="dcterms:W3CDTF">2021-03-01T16:12:00Z</dcterms:created>
  <dcterms:modified xsi:type="dcterms:W3CDTF">2021-03-01T16:19:00Z</dcterms:modified>
</cp:coreProperties>
</file>