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both"/>
        <w:rPr>
          <w:rFonts w:ascii="Times New Roman" w:hAnsi="Times New Roman" w:cs="Times New Roman"/>
          <w:b/>
          <w:sz w:val="24"/>
        </w:rPr>
      </w:pPr>
      <w:r>
        <w:rPr>
          <w:rFonts w:hint="eastAsia" w:ascii="Times New Roman" w:hAnsi="Times New Roman" w:cs="Times New Roman"/>
          <w:b/>
          <w:sz w:val="24"/>
        </w:rPr>
        <w:t>S</w:t>
      </w:r>
      <w:r>
        <w:rPr>
          <w:rFonts w:ascii="Times New Roman" w:hAnsi="Times New Roman" w:cs="Times New Roman"/>
          <w:b/>
          <w:sz w:val="24"/>
        </w:rPr>
        <w:t xml:space="preserve">upplementary Information for </w:t>
      </w:r>
    </w:p>
    <w:p>
      <w:pPr>
        <w:widowControl/>
        <w:jc w:val="both"/>
        <w:rPr>
          <w:rFonts w:ascii="Times New Roman" w:hAnsi="Times New Roman" w:cs="Times New Roman"/>
          <w:b/>
          <w:sz w:val="24"/>
        </w:rPr>
      </w:pPr>
    </w:p>
    <w:p>
      <w:pPr>
        <w:spacing w:after="156" w:afterLines="50"/>
        <w:jc w:val="both"/>
        <w:rPr>
          <w:rFonts w:ascii="Times New Roman" w:hAnsi="Times New Roman" w:cs="Times New Roman"/>
          <w:sz w:val="40"/>
          <w:szCs w:val="30"/>
        </w:rPr>
      </w:pPr>
      <w:r>
        <w:rPr>
          <w:rFonts w:ascii="Times New Roman" w:hAnsi="Times New Roman" w:cs="Times New Roman"/>
          <w:sz w:val="40"/>
          <w:szCs w:val="30"/>
        </w:rPr>
        <w:t>DNA transposons mediate duplications via transposition-independent and -dependent mechanisms in metazoans</w:t>
      </w:r>
    </w:p>
    <w:p>
      <w:pPr>
        <w:widowControl/>
        <w:jc w:val="both"/>
        <w:rPr>
          <w:rFonts w:hint="default" w:ascii="Times New Roman Regular" w:hAnsi="Times New Roman Regular" w:cs="Times New Roman Regular"/>
          <w:sz w:val="24"/>
          <w:szCs w:val="24"/>
          <w:vertAlign w:val="superscript"/>
        </w:rPr>
      </w:pPr>
      <w:r>
        <w:rPr>
          <w:rFonts w:hint="default" w:ascii="Times New Roman Regular" w:hAnsi="Times New Roman Regular" w:cs="Times New Roman Regular"/>
          <w:sz w:val="24"/>
          <w:szCs w:val="24"/>
        </w:rPr>
        <w:t>Shengjun Tan,</w:t>
      </w:r>
      <w:r>
        <w:rPr>
          <w:rFonts w:hint="default" w:ascii="Times New Roman Regular" w:hAnsi="Times New Roman Regular" w:cs="Times New Roman Regular"/>
          <w:sz w:val="24"/>
          <w:szCs w:val="24"/>
          <w:vertAlign w:val="superscript"/>
        </w:rPr>
        <w:t>#</w:t>
      </w:r>
      <w:r>
        <w:rPr>
          <w:rFonts w:hint="default" w:ascii="Times New Roman Regular" w:hAnsi="Times New Roman Regular" w:cs="Times New Roman Regular"/>
          <w:sz w:val="24"/>
          <w:szCs w:val="24"/>
        </w:rPr>
        <w:t xml:space="preserve"> Huijing Ma,</w:t>
      </w:r>
      <w:r>
        <w:rPr>
          <w:rFonts w:hint="default" w:ascii="Times New Roman Regular" w:hAnsi="Times New Roman Regular" w:cs="Times New Roman Regular"/>
          <w:sz w:val="24"/>
          <w:szCs w:val="24"/>
          <w:vertAlign w:val="superscript"/>
        </w:rPr>
        <w:t>#</w:t>
      </w:r>
      <w:r>
        <w:rPr>
          <w:rFonts w:hint="default" w:ascii="Times New Roman Regular" w:hAnsi="Times New Roman Regular" w:cs="Times New Roman Regular"/>
          <w:sz w:val="24"/>
          <w:szCs w:val="24"/>
        </w:rPr>
        <w:t xml:space="preserve"> Jinbo Wang,</w:t>
      </w:r>
      <w:r>
        <w:rPr>
          <w:rFonts w:hint="default" w:ascii="Times New Roman Regular" w:hAnsi="Times New Roman Regular" w:cs="Times New Roman Regular"/>
          <w:sz w:val="24"/>
          <w:szCs w:val="24"/>
          <w:vertAlign w:val="superscript"/>
        </w:rPr>
        <w:t>#</w:t>
      </w:r>
      <w:r>
        <w:rPr>
          <w:rFonts w:hint="default" w:ascii="Times New Roman Regular" w:hAnsi="Times New Roman Regular" w:cs="Times New Roman Regular"/>
          <w:sz w:val="24"/>
          <w:szCs w:val="24"/>
        </w:rPr>
        <w:t xml:space="preserve"> Man Wang,</w:t>
      </w:r>
      <w:r>
        <w:rPr>
          <w:rFonts w:hint="default" w:ascii="Times New Roman Regular" w:hAnsi="Times New Roman Regular" w:cs="Times New Roman Regular"/>
          <w:sz w:val="24"/>
          <w:szCs w:val="24"/>
          <w:vertAlign w:val="superscript"/>
        </w:rPr>
        <w:t>#</w:t>
      </w:r>
      <w:r>
        <w:rPr>
          <w:rFonts w:hint="default" w:ascii="Times New Roman Regular" w:hAnsi="Times New Roman Regular" w:cs="Times New Roman Regular"/>
          <w:sz w:val="24"/>
          <w:szCs w:val="24"/>
        </w:rPr>
        <w:t xml:space="preserve"> Mengxia Wang,</w:t>
      </w:r>
      <w:r>
        <w:rPr>
          <w:rFonts w:hint="default" w:ascii="Times New Roman Regular" w:hAnsi="Times New Roman Regular" w:cs="Times New Roman Regular"/>
          <w:sz w:val="24"/>
          <w:szCs w:val="24"/>
          <w:vertAlign w:val="superscript"/>
        </w:rPr>
        <w:t xml:space="preserve"> </w:t>
      </w:r>
      <w:r>
        <w:rPr>
          <w:rFonts w:hint="default" w:ascii="Times New Roman Regular" w:hAnsi="Times New Roman Regular" w:cs="Times New Roman Regular"/>
          <w:sz w:val="24"/>
          <w:szCs w:val="24"/>
        </w:rPr>
        <w:t>Haodong Yin, Yaqiong Zhang, Xinying Zhang,</w:t>
      </w:r>
      <w:r>
        <w:rPr>
          <w:rFonts w:hint="default" w:ascii="Times New Roman Regular" w:hAnsi="Times New Roman Regular" w:cs="Times New Roman Regular"/>
          <w:sz w:val="24"/>
          <w:szCs w:val="24"/>
          <w:vertAlign w:val="superscript"/>
        </w:rPr>
        <w:t xml:space="preserve"> </w:t>
      </w:r>
      <w:r>
        <w:rPr>
          <w:rFonts w:hint="default" w:ascii="Times New Roman Regular" w:hAnsi="Times New Roman Regular" w:cs="Times New Roman Regular"/>
          <w:sz w:val="24"/>
          <w:szCs w:val="24"/>
        </w:rPr>
        <w:t xml:space="preserve">Jieyu Shen, Danyang Wang, </w:t>
      </w:r>
      <w:bookmarkStart w:id="0" w:name="OLE_LINK10"/>
      <w:r>
        <w:rPr>
          <w:rFonts w:hint="default" w:ascii="Times New Roman Regular" w:hAnsi="Times New Roman Regular" w:cs="Times New Roman Regular"/>
          <w:sz w:val="24"/>
          <w:szCs w:val="24"/>
        </w:rPr>
        <w:t>Graham L. Banes</w:t>
      </w:r>
      <w:bookmarkEnd w:id="0"/>
      <w:r>
        <w:rPr>
          <w:rFonts w:hint="default" w:ascii="Times New Roman Regular" w:hAnsi="Times New Roman Regular" w:cs="Times New Roman Regular"/>
          <w:sz w:val="24"/>
          <w:szCs w:val="24"/>
        </w:rPr>
        <w:t>, Zhihua Zhang, Jianmin Wu, Xun Huang,</w:t>
      </w:r>
      <w:r>
        <w:rPr>
          <w:rFonts w:hint="default" w:ascii="Times New Roman Regular" w:hAnsi="Times New Roman Regular" w:cs="Times New Roman Regular"/>
          <w:sz w:val="24"/>
          <w:szCs w:val="24"/>
          <w:vertAlign w:val="superscript"/>
        </w:rPr>
        <w:t xml:space="preserve"> </w:t>
      </w:r>
      <w:r>
        <w:rPr>
          <w:rFonts w:hint="default" w:ascii="Times New Roman Regular" w:hAnsi="Times New Roman Regular" w:cs="Times New Roman Regular"/>
          <w:sz w:val="24"/>
          <w:szCs w:val="24"/>
        </w:rPr>
        <w:t>Hua Chen, Siqin Ge,</w:t>
      </w:r>
      <w:r>
        <w:rPr>
          <w:rFonts w:hint="default" w:ascii="Times New Roman Regular" w:hAnsi="Times New Roman Regular" w:cs="Times New Roman Regular"/>
          <w:sz w:val="24"/>
          <w:szCs w:val="24"/>
          <w:vertAlign w:val="superscript"/>
        </w:rPr>
        <w:t xml:space="preserve"> </w:t>
      </w:r>
      <w:r>
        <w:rPr>
          <w:rFonts w:hint="default" w:ascii="Times New Roman Regular" w:hAnsi="Times New Roman Regular" w:cs="Times New Roman Regular"/>
          <w:sz w:val="24"/>
          <w:szCs w:val="24"/>
        </w:rPr>
        <w:t>Chun-Long Chen,</w:t>
      </w:r>
      <w:r>
        <w:rPr>
          <w:rFonts w:hint="default" w:ascii="Times New Roman Regular" w:hAnsi="Times New Roman Regular" w:cs="Times New Roman Regular"/>
          <w:sz w:val="24"/>
          <w:szCs w:val="24"/>
          <w:vertAlign w:val="superscript"/>
        </w:rPr>
        <w:t>*</w:t>
      </w:r>
      <w:r>
        <w:rPr>
          <w:rFonts w:hint="default" w:ascii="Times New Roman Regular" w:hAnsi="Times New Roman Regular" w:cs="Times New Roman Regular"/>
          <w:sz w:val="24"/>
          <w:szCs w:val="24"/>
        </w:rPr>
        <w:t xml:space="preserve"> Yong E. Zhang</w:t>
      </w:r>
      <w:r>
        <w:rPr>
          <w:rFonts w:hint="default" w:ascii="Times New Roman Regular" w:hAnsi="Times New Roman Regular" w:cs="Times New Roman Regular"/>
          <w:sz w:val="24"/>
          <w:szCs w:val="24"/>
          <w:vertAlign w:val="superscript"/>
        </w:rPr>
        <w:t>*</w:t>
      </w:r>
    </w:p>
    <w:p>
      <w:pPr>
        <w:spacing w:after="163" w:afterLines="50"/>
        <w:jc w:val="both"/>
        <w:rPr>
          <w:rFonts w:hint="default" w:ascii="Times New Roman Regular" w:hAnsi="Times New Roman Regular" w:cs="Times New Roman Regular"/>
          <w:sz w:val="24"/>
          <w:szCs w:val="24"/>
        </w:rPr>
      </w:pPr>
    </w:p>
    <w:p>
      <w:pPr>
        <w:spacing w:after="163" w:afterLines="50"/>
        <w:jc w:val="both"/>
        <w:rPr>
          <w:rFonts w:hint="default" w:ascii="Times New Roman Regular" w:hAnsi="Times New Roman Regular" w:cs="Times New Roman Regular"/>
          <w:sz w:val="24"/>
          <w:szCs w:val="24"/>
        </w:rPr>
      </w:pPr>
    </w:p>
    <w:p>
      <w:pPr>
        <w:spacing w:after="163" w:afterLines="5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vertAlign w:val="baseline"/>
        </w:rPr>
        <w:t>#</w:t>
      </w:r>
      <w:r>
        <w:rPr>
          <w:rFonts w:hint="default" w:ascii="Times New Roman Regular" w:hAnsi="Times New Roman Regular" w:cs="Times New Roman Regular"/>
          <w:sz w:val="24"/>
          <w:szCs w:val="24"/>
        </w:rPr>
        <w:t>These authors contributed equally: Shengjun Tan, Huijing Ma, Jinbo Wang, Man Wang.</w:t>
      </w:r>
    </w:p>
    <w:p>
      <w:pPr>
        <w:spacing w:after="163" w:afterLines="50"/>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*Correspondence should be addressed to Chun-Long Chen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HYPERLINK "mailto:chunlong.chen@curie.fr" </w:instrText>
      </w:r>
      <w:r>
        <w:rPr>
          <w:rFonts w:hint="default" w:ascii="Times New Roman Regular" w:hAnsi="Times New Roman Regular" w:cs="Times New Roman Regular"/>
          <w:sz w:val="24"/>
          <w:szCs w:val="24"/>
        </w:rPr>
        <w:fldChar w:fldCharType="separate"/>
      </w:r>
      <w:r>
        <w:rPr>
          <w:rStyle w:val="11"/>
          <w:rFonts w:hint="default" w:ascii="Times New Roman Regular" w:hAnsi="Times New Roman Regular" w:cs="Times New Roman Regular"/>
          <w:sz w:val="24"/>
          <w:szCs w:val="24"/>
        </w:rPr>
        <w:t>chunlong.chen@curie.fr</w:t>
      </w:r>
      <w:r>
        <w:rPr>
          <w:rStyle w:val="11"/>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 or Yong E. Zhang (</w:t>
      </w: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HYPERLINK "mailto:zhangyong@ioz.ac.cn" </w:instrText>
      </w:r>
      <w:r>
        <w:rPr>
          <w:rFonts w:hint="default" w:ascii="Times New Roman Regular" w:hAnsi="Times New Roman Regular" w:cs="Times New Roman Regular"/>
          <w:sz w:val="24"/>
          <w:szCs w:val="24"/>
        </w:rPr>
        <w:fldChar w:fldCharType="separate"/>
      </w:r>
      <w:r>
        <w:rPr>
          <w:rStyle w:val="11"/>
          <w:rFonts w:hint="default" w:ascii="Times New Roman Regular" w:hAnsi="Times New Roman Regular" w:cs="Times New Roman Regular"/>
          <w:sz w:val="24"/>
          <w:szCs w:val="24"/>
        </w:rPr>
        <w:t>zhangyong@ioz.ac.cn</w:t>
      </w:r>
      <w:r>
        <w:rPr>
          <w:rStyle w:val="11"/>
          <w:rFonts w:hint="default" w:ascii="Times New Roman Regular" w:hAnsi="Times New Roman Regular" w:cs="Times New Roman Regular"/>
          <w:sz w:val="24"/>
          <w:szCs w:val="24"/>
        </w:rPr>
        <w:fldChar w:fldCharType="end"/>
      </w:r>
      <w:r>
        <w:rPr>
          <w:rFonts w:hint="default" w:ascii="Times New Roman Regular" w:hAnsi="Times New Roman Regular" w:cs="Times New Roman Regular"/>
          <w:sz w:val="24"/>
          <w:szCs w:val="24"/>
        </w:rPr>
        <w:t>).</w:t>
      </w:r>
    </w:p>
    <w:p>
      <w:pPr>
        <w:spacing w:after="163" w:afterLines="50"/>
        <w:jc w:val="both"/>
        <w:rPr>
          <w:rFonts w:hint="default" w:ascii="Times New Roman Regular" w:hAnsi="Times New Roman Regular" w:cs="Times New Roman Regular"/>
          <w:sz w:val="24"/>
          <w:szCs w:val="24"/>
        </w:rPr>
      </w:pPr>
    </w:p>
    <w:p>
      <w:pPr>
        <w:spacing w:after="163" w:afterLines="50"/>
        <w:jc w:val="both"/>
        <w:rPr>
          <w:rFonts w:hint="eastAsia" w:ascii="Times New Roman Regular" w:hAnsi="Times New Roman Regular" w:cs="Times New Roman Regular"/>
          <w:sz w:val="24"/>
          <w:szCs w:val="24"/>
          <w:lang w:eastAsia="zh-Hans"/>
        </w:rPr>
      </w:pPr>
    </w:p>
    <w:p>
      <w:pPr>
        <w:rPr>
          <w:rFonts w:hint="eastAsia" w:ascii="Times New Roman" w:hAnsi="Times New Roman" w:cs="Times New Roman"/>
          <w:b/>
          <w:sz w:val="24"/>
        </w:rPr>
      </w:pPr>
      <w:r>
        <w:rPr>
          <w:rFonts w:hint="default" w:ascii="Times New Roman Regular" w:hAnsi="Times New Roman Regular" w:cs="Times New Roman Regular"/>
          <w:sz w:val="24"/>
          <w:szCs w:val="24"/>
        </w:rPr>
        <w:br w:type="page"/>
      </w:r>
    </w:p>
    <w:p>
      <w:pPr>
        <w:widowControl/>
        <w:jc w:val="both"/>
        <w:rPr>
          <w:rFonts w:ascii="Times New Roman" w:hAnsi="Times New Roman" w:cs="Times New Roman"/>
          <w:b/>
          <w:sz w:val="24"/>
        </w:rPr>
      </w:pPr>
      <w:r>
        <w:rPr>
          <w:rFonts w:hint="eastAsia" w:ascii="Times New Roman" w:hAnsi="Times New Roman" w:cs="Times New Roman"/>
          <w:b/>
          <w:sz w:val="24"/>
        </w:rPr>
        <w:t>S</w:t>
      </w:r>
      <w:r>
        <w:rPr>
          <w:rFonts w:ascii="Times New Roman" w:hAnsi="Times New Roman" w:cs="Times New Roman"/>
          <w:b/>
          <w:sz w:val="24"/>
        </w:rPr>
        <w:t>upplementary Figures</w:t>
      </w:r>
    </w:p>
    <w:p>
      <w:pPr>
        <w:widowControl/>
        <w:jc w:val="both"/>
        <w:rPr>
          <w:rFonts w:ascii="Times New Roman" w:hAnsi="Times New Roman" w:cs="Times New Roman"/>
          <w:b/>
          <w:sz w:val="24"/>
        </w:rPr>
      </w:pPr>
    </w:p>
    <w:p>
      <w:pPr>
        <w:widowControl/>
        <w:jc w:val="both"/>
        <w:rPr>
          <w:rFonts w:ascii="Times New Roman" w:hAnsi="Times New Roman" w:cs="Times New Roman"/>
          <w:b/>
          <w:sz w:val="24"/>
        </w:rPr>
      </w:pPr>
      <w:r>
        <w:rPr>
          <w:rFonts w:ascii="Times New Roman" w:hAnsi="Times New Roman" w:cs="Times New Roman"/>
          <w:b/>
          <w:sz w:val="24"/>
        </w:rPr>
        <w:pict>
          <v:shape id="_x0000_i1025" o:spt="75" type="#_x0000_t75" style="height:537.5pt;width:415.5pt;" filled="f" o:preferrelative="t" stroked="f" coordsize="21600,21600">
            <v:path/>
            <v:fill on="f" focussize="0,0"/>
            <v:stroke on="f" joinstyle="miter"/>
            <v:imagedata r:id="rId5" o:title="FigS1"/>
            <o:lock v:ext="edit" aspectratio="t"/>
            <w10:wrap type="none"/>
            <w10:anchorlock/>
          </v:shape>
        </w:pict>
      </w:r>
    </w:p>
    <w:p>
      <w:pPr>
        <w:widowControl/>
        <w:jc w:val="both"/>
        <w:rPr>
          <w:rStyle w:val="10"/>
        </w:rPr>
      </w:pPr>
      <w:r>
        <w:rPr>
          <w:rFonts w:ascii="Times New Roman" w:hAnsi="Times New Roman" w:cs="Times New Roman"/>
          <w:b/>
          <w:sz w:val="24"/>
        </w:rPr>
        <w:t>Supplementary Figure 1. Known models on the mechanism through which TIR TEs capture sequences. a</w:t>
      </w:r>
      <w:r>
        <w:rPr>
          <w:rFonts w:ascii="Times New Roman" w:hAnsi="Times New Roman" w:cs="Times New Roman"/>
          <w:sz w:val="24"/>
        </w:rPr>
        <w:t xml:space="preserve"> End bypass model. </w:t>
      </w:r>
      <w:r>
        <w:rPr>
          <w:rFonts w:ascii="Times New Roman" w:hAnsi="Times New Roman" w:cs="Times New Roman"/>
          <w:b/>
          <w:sz w:val="24"/>
        </w:rPr>
        <w:t>b-c</w:t>
      </w:r>
      <w:r>
        <w:rPr>
          <w:rFonts w:ascii="Times New Roman" w:hAnsi="Times New Roman" w:cs="Times New Roman"/>
          <w:sz w:val="24"/>
        </w:rPr>
        <w:t xml:space="preserve"> Gap-filling model. Double-strand breaks (DSBs) occur within TEs due to fragile sites (</w:t>
      </w:r>
      <w:r>
        <w:rPr>
          <w:rFonts w:ascii="Times New Roman" w:hAnsi="Times New Roman" w:cs="Times New Roman"/>
          <w:b/>
          <w:sz w:val="24"/>
        </w:rPr>
        <w:t>b</w:t>
      </w:r>
      <w:r>
        <w:rPr>
          <w:rFonts w:ascii="Times New Roman" w:hAnsi="Times New Roman" w:cs="Times New Roman"/>
          <w:sz w:val="24"/>
        </w:rPr>
        <w:t>) or excision of active TEs (</w:t>
      </w:r>
      <w:r>
        <w:rPr>
          <w:rFonts w:ascii="Times New Roman" w:hAnsi="Times New Roman" w:cs="Times New Roman"/>
          <w:b/>
          <w:sz w:val="24"/>
        </w:rPr>
        <w:t>c</w:t>
      </w:r>
      <w:r>
        <w:rPr>
          <w:rFonts w:ascii="Times New Roman" w:hAnsi="Times New Roman" w:cs="Times New Roman"/>
          <w:sz w:val="24"/>
        </w:rPr>
        <w:t>), and this occurrence was followed by 5’-end resection by exonucleases and gap repair. The strand under repair might switch to a non-TE sequence. Internal TE sequences and fillers are marked in red and light blue, respectively. TIRs are shown by black arrows.</w:t>
      </w:r>
    </w:p>
    <w:p>
      <w:pPr>
        <w:widowControl/>
        <w:jc w:val="both"/>
        <w:rPr>
          <w:rFonts w:ascii="Times New Roman" w:hAnsi="Times New Roman" w:cs="Times New Roman"/>
          <w:sz w:val="24"/>
        </w:rPr>
      </w:pPr>
      <w:r>
        <w:rPr>
          <w:rStyle w:val="10"/>
        </w:rPr>
        <w:br w:type="page"/>
      </w:r>
      <w:r>
        <w:rPr>
          <w:rFonts w:ascii="Times New Roman" w:hAnsi="Times New Roman" w:cs="Times New Roman"/>
          <w:sz w:val="24"/>
        </w:rPr>
        <w:drawing>
          <wp:inline distT="0" distB="0" distL="114300" distR="114300">
            <wp:extent cx="2540635" cy="1980565"/>
            <wp:effectExtent l="0" t="0" r="24765" b="635"/>
            <wp:docPr id="1" name="图片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
                    <pic:cNvPicPr>
                      <a:picLocks noChangeAspect="1"/>
                    </pic:cNvPicPr>
                  </pic:nvPicPr>
                  <pic:blipFill>
                    <a:blip r:embed="rId6"/>
                    <a:stretch>
                      <a:fillRect/>
                    </a:stretch>
                  </pic:blipFill>
                  <pic:spPr>
                    <a:xfrm>
                      <a:off x="0" y="0"/>
                      <a:ext cx="2540635" cy="1980565"/>
                    </a:xfrm>
                    <a:prstGeom prst="rect">
                      <a:avLst/>
                    </a:prstGeom>
                  </pic:spPr>
                </pic:pic>
              </a:graphicData>
            </a:graphic>
          </wp:inline>
        </w:drawing>
      </w:r>
    </w:p>
    <w:p>
      <w:pPr>
        <w:widowControl/>
        <w:jc w:val="both"/>
        <w:rPr>
          <w:rFonts w:ascii="Times New Roman" w:hAnsi="Times New Roman" w:cs="Times New Roman"/>
          <w:sz w:val="24"/>
        </w:rPr>
      </w:pPr>
      <w:r>
        <w:rPr>
          <w:rFonts w:ascii="Times New Roman" w:hAnsi="Times New Roman" w:cs="Times New Roman"/>
          <w:b/>
          <w:sz w:val="24"/>
        </w:rPr>
        <w:t xml:space="preserve">Supplementary Figure 2. Distribution of Pack-TIRs classified by distance from their parental copies in American alligators. </w:t>
      </w:r>
      <w:r>
        <w:rPr>
          <w:rFonts w:ascii="Times New Roman" w:hAnsi="Times New Roman" w:cs="Times New Roman"/>
          <w:sz w:val="24"/>
        </w:rPr>
        <w:t>The figure convention follows that of Fig. 2a.</w:t>
      </w:r>
    </w:p>
    <w:p>
      <w:pPr>
        <w:widowControl/>
        <w:jc w:val="both"/>
        <w:rPr>
          <w:rFonts w:ascii="Times New Roman" w:hAnsi="Times New Roman" w:cs="Times New Roman"/>
          <w:sz w:val="24"/>
        </w:rPr>
      </w:pPr>
      <w:r>
        <w:rPr>
          <w:rFonts w:ascii="Times New Roman" w:hAnsi="Times New Roman" w:cs="Times New Roman"/>
          <w:sz w:val="24"/>
        </w:rPr>
        <w:br w:type="page"/>
      </w:r>
    </w:p>
    <w:p>
      <w:pPr>
        <w:widowControl/>
        <w:jc w:val="both"/>
        <w:rPr>
          <w:rFonts w:ascii="Times New Roman" w:hAnsi="Times New Roman" w:cs="Times New Roman"/>
          <w:b/>
          <w:sz w:val="24"/>
        </w:rPr>
      </w:pPr>
      <w:r>
        <w:rPr>
          <w:rFonts w:ascii="Times New Roman" w:hAnsi="Times New Roman" w:cs="Times New Roman"/>
          <w:b/>
          <w:sz w:val="24"/>
        </w:rPr>
        <w:pict>
          <v:shape id="_x0000_i1026" o:spt="75" alt="FigS3" type="#_x0000_t75" style="height:447pt;width:407.5pt;" filled="f" o:preferrelative="t" stroked="f" coordsize="21600,21600">
            <v:path/>
            <v:fill on="f" focussize="0,0"/>
            <v:stroke on="f" joinstyle="miter"/>
            <v:imagedata r:id="rId7" o:title="FigS3"/>
            <o:lock v:ext="edit" aspectratio="t"/>
            <w10:wrap type="none"/>
            <w10:anchorlock/>
          </v:shape>
        </w:pict>
      </w:r>
    </w:p>
    <w:p>
      <w:pPr>
        <w:widowControl/>
        <w:jc w:val="both"/>
        <w:rPr>
          <w:rFonts w:ascii="Times New Roman" w:hAnsi="Times New Roman" w:cs="Times New Roman"/>
          <w:sz w:val="24"/>
        </w:rPr>
      </w:pPr>
      <w:r>
        <w:rPr>
          <w:rFonts w:ascii="Times New Roman" w:hAnsi="Times New Roman" w:cs="Times New Roman"/>
          <w:b/>
          <w:sz w:val="24"/>
        </w:rPr>
        <w:t>Supplementary Figure 3. Distribution of the microhomology length across 100 simulations for 32 breakpoints. a</w:t>
      </w:r>
      <w:r>
        <w:rPr>
          <w:rFonts w:ascii="Times New Roman" w:hAnsi="Times New Roman" w:cs="Times New Roman"/>
          <w:sz w:val="24"/>
        </w:rPr>
        <w:t xml:space="preserve"> Simulation process testing the length of the microhomology at the left breakpoint. The figure convention follows that of Fig. 2e with the exception that the flanking regions of the parental copy are shown in light blue. The parental copy and its flanking regions (50% length of the parental copy) were used as the template. </w:t>
      </w:r>
      <w:r>
        <w:rPr>
          <w:rFonts w:ascii="Times New Roman" w:hAnsi="Times New Roman" w:eastAsia="Microsoft YaHei UI" w:cs="Times New Roman"/>
          <w:kern w:val="0"/>
          <w:sz w:val="24"/>
        </w:rPr>
        <w:t xml:space="preserve">Switching points in the consensus TIR TE and parental copy were randomly selected. After constructing 100 pseudo Pack-TIRs, we recorded the size of the microhomology (marked in orange) at the left breakpoint. Four replicates are shown as examples, microhomology was detected for two replicates, and none of these was as long as the observed microhomology. </w:t>
      </w:r>
      <w:r>
        <w:rPr>
          <w:rFonts w:ascii="Times New Roman" w:hAnsi="Times New Roman" w:eastAsia="Microsoft YaHei UI" w:cs="Times New Roman"/>
          <w:b/>
          <w:kern w:val="0"/>
          <w:sz w:val="24"/>
        </w:rPr>
        <w:t>b</w:t>
      </w:r>
      <w:r>
        <w:rPr>
          <w:rFonts w:ascii="Times New Roman" w:hAnsi="Times New Roman" w:eastAsia="Microsoft YaHei UI" w:cs="Times New Roman"/>
          <w:kern w:val="0"/>
          <w:sz w:val="24"/>
        </w:rPr>
        <w:t xml:space="preserve"> </w:t>
      </w:r>
      <w:r>
        <w:rPr>
          <w:rFonts w:ascii="Times New Roman" w:hAnsi="Times New Roman" w:cs="Times New Roman"/>
          <w:sz w:val="24"/>
        </w:rPr>
        <w:t>The distribution of random samples (</w:t>
      </w:r>
      <w:r>
        <w:rPr>
          <w:rFonts w:ascii="Times New Roman" w:hAnsi="Times New Roman" w:cs="Times New Roman"/>
          <w:i/>
          <w:sz w:val="24"/>
        </w:rPr>
        <w:t xml:space="preserve">n </w:t>
      </w:r>
      <w:r>
        <w:rPr>
          <w:rFonts w:ascii="Times New Roman" w:hAnsi="Times New Roman" w:cs="Times New Roman"/>
          <w:sz w:val="24"/>
        </w:rPr>
        <w:t xml:space="preserve">= 100 samples) is shown as a boxplot with the middle box, the upper and lower whiskers, and the black line representing the interquartile range, the extreme values, and the median, respectively. The red diamonds indicate the observed values. </w:t>
      </w:r>
      <w:r>
        <w:rPr>
          <w:rFonts w:ascii="Times New Roman" w:hAnsi="Times New Roman" w:cs="Times New Roman"/>
          <w:i/>
          <w:sz w:val="24"/>
        </w:rPr>
        <w:t>P</w:t>
      </w:r>
      <w:r>
        <w:rPr>
          <w:rFonts w:ascii="Times New Roman" w:hAnsi="Times New Roman" w:cs="Times New Roman"/>
          <w:sz w:val="24"/>
        </w:rPr>
        <w:t xml:space="preserve">-values are calculated based on random sampling, and only </w:t>
      </w:r>
      <w:r>
        <w:rPr>
          <w:rFonts w:ascii="Times New Roman" w:hAnsi="Times New Roman" w:cs="Times New Roman"/>
          <w:i/>
          <w:sz w:val="24"/>
        </w:rPr>
        <w:t>P</w:t>
      </w:r>
      <w:r>
        <w:rPr>
          <w:rFonts w:ascii="Times New Roman" w:hAnsi="Times New Roman" w:cs="Times New Roman"/>
          <w:sz w:val="24"/>
        </w:rPr>
        <w:t>-values not lower than 0.05 are shown.</w:t>
      </w:r>
    </w:p>
    <w:p>
      <w:pPr>
        <w:widowControl/>
        <w:jc w:val="both"/>
        <w:rPr>
          <w:rFonts w:ascii="Times New Roman" w:hAnsi="Times New Roman" w:cs="Times New Roman"/>
          <w:sz w:val="24"/>
        </w:rPr>
      </w:pPr>
      <w:r>
        <w:rPr>
          <w:rFonts w:ascii="Times New Roman" w:hAnsi="Times New Roman" w:cs="Times New Roman"/>
          <w:sz w:val="24"/>
        </w:rPr>
        <w:br w:type="page"/>
      </w:r>
      <w:r>
        <w:rPr>
          <w:rFonts w:ascii="Times New Roman" w:hAnsi="Times New Roman" w:cs="Times New Roman"/>
          <w:sz w:val="24"/>
        </w:rPr>
        <w:pict>
          <v:shape id="_x0000_i1027" o:spt="75" type="#_x0000_t75" style="height:436pt;width:371pt;" filled="f" o:preferrelative="t" stroked="f" coordsize="21600,21600">
            <v:path/>
            <v:fill on="f" focussize="0,0"/>
            <v:stroke on="f" joinstyle="miter"/>
            <v:imagedata r:id="rId8" o:title="FigS4"/>
            <o:lock v:ext="edit" aspectratio="t"/>
            <w10:wrap type="none"/>
            <w10:anchorlock/>
          </v:shape>
        </w:pict>
      </w:r>
    </w:p>
    <w:p>
      <w:pPr>
        <w:widowControl/>
        <w:spacing w:before="156" w:beforeLines="50" w:after="156" w:afterLines="50"/>
        <w:jc w:val="both"/>
        <w:rPr>
          <w:rFonts w:ascii="Times New Roman" w:hAnsi="Times New Roman" w:eastAsia="宋体" w:cs="Times New Roman"/>
          <w:kern w:val="0"/>
          <w:sz w:val="24"/>
        </w:rPr>
      </w:pPr>
      <w:r>
        <w:rPr>
          <w:rFonts w:ascii="Times New Roman" w:hAnsi="Times New Roman" w:cs="Times New Roman"/>
          <w:b/>
          <w:sz w:val="24"/>
        </w:rPr>
        <w:t xml:space="preserve">Supplementary </w:t>
      </w:r>
      <w:r>
        <w:rPr>
          <w:rFonts w:ascii="Times New Roman" w:hAnsi="Times New Roman" w:eastAsia="宋体" w:cs="Times New Roman"/>
          <w:b/>
          <w:kern w:val="0"/>
          <w:sz w:val="24"/>
        </w:rPr>
        <w:t>Figure 4. Six Pack-TIRs completely absent in the outgroup species or shared by primates. a</w:t>
      </w:r>
      <w:r>
        <w:rPr>
          <w:rFonts w:ascii="Times New Roman" w:hAnsi="Times New Roman" w:eastAsia="宋体" w:cs="Times New Roman"/>
          <w:kern w:val="0"/>
          <w:sz w:val="24"/>
        </w:rPr>
        <w:t xml:space="preserve"> Pack-TIR #269 together with the flanking 8-bp and 242-bp sequences was absent in tarsiers. </w:t>
      </w:r>
      <w:r>
        <w:rPr>
          <w:rFonts w:ascii="Times New Roman" w:hAnsi="Times New Roman" w:eastAsia="宋体" w:cs="Times New Roman"/>
          <w:b/>
          <w:kern w:val="0"/>
          <w:sz w:val="24"/>
        </w:rPr>
        <w:t>b</w:t>
      </w:r>
      <w:r>
        <w:rPr>
          <w:rFonts w:ascii="Times New Roman" w:hAnsi="Times New Roman" w:eastAsia="宋体" w:cs="Times New Roman"/>
          <w:kern w:val="0"/>
          <w:sz w:val="24"/>
        </w:rPr>
        <w:t xml:space="preserve"> Pack-TIR #319 together with the flanking 807-bp and 103-bp sequences was absent in squirrel monkeys. </w:t>
      </w:r>
      <w:r>
        <w:rPr>
          <w:rFonts w:ascii="Times New Roman" w:hAnsi="Times New Roman" w:eastAsia="宋体" w:cs="Times New Roman"/>
          <w:b/>
          <w:kern w:val="0"/>
          <w:sz w:val="24"/>
        </w:rPr>
        <w:t>c</w:t>
      </w:r>
      <w:r>
        <w:rPr>
          <w:rFonts w:ascii="Times New Roman" w:hAnsi="Times New Roman" w:eastAsia="宋体" w:cs="Times New Roman"/>
          <w:kern w:val="0"/>
          <w:sz w:val="24"/>
        </w:rPr>
        <w:t xml:space="preserve"> Pack-TIR #254 together with the flanking 1-bp and 80-bp sequences was absent in tarsiers. </w:t>
      </w:r>
      <w:r>
        <w:rPr>
          <w:rFonts w:ascii="Times New Roman" w:hAnsi="Times New Roman" w:eastAsia="宋体" w:cs="Times New Roman"/>
          <w:b/>
          <w:kern w:val="0"/>
          <w:sz w:val="24"/>
        </w:rPr>
        <w:t>d</w:t>
      </w:r>
      <w:r>
        <w:rPr>
          <w:rFonts w:ascii="Times New Roman" w:hAnsi="Times New Roman" w:eastAsia="宋体" w:cs="Times New Roman"/>
          <w:kern w:val="0"/>
          <w:sz w:val="24"/>
        </w:rPr>
        <w:t xml:space="preserve"> Pack-TIR #70 together with the flanking 0-bp and 8-bp sequences was absent in tarsiers. </w:t>
      </w:r>
      <w:r>
        <w:rPr>
          <w:rFonts w:ascii="Times New Roman" w:hAnsi="Times New Roman" w:eastAsia="宋体" w:cs="Times New Roman"/>
          <w:b/>
          <w:kern w:val="0"/>
          <w:sz w:val="24"/>
        </w:rPr>
        <w:t>e</w:t>
      </w:r>
      <w:r>
        <w:rPr>
          <w:rFonts w:ascii="Times New Roman" w:hAnsi="Times New Roman" w:eastAsia="宋体" w:cs="Times New Roman"/>
          <w:kern w:val="0"/>
          <w:sz w:val="24"/>
        </w:rPr>
        <w:t xml:space="preserve"> Pack-TIR #71 together with the flanking 457-bp and 1-bp sequences was absent in tarsiers. </w:t>
      </w:r>
      <w:r>
        <w:rPr>
          <w:rFonts w:ascii="Times New Roman" w:hAnsi="Times New Roman" w:eastAsia="宋体" w:cs="Times New Roman"/>
          <w:b/>
          <w:kern w:val="0"/>
          <w:sz w:val="24"/>
        </w:rPr>
        <w:t>f</w:t>
      </w:r>
      <w:r>
        <w:rPr>
          <w:rFonts w:ascii="Times New Roman" w:hAnsi="Times New Roman" w:eastAsia="宋体" w:cs="Times New Roman"/>
          <w:kern w:val="0"/>
          <w:sz w:val="24"/>
        </w:rPr>
        <w:t xml:space="preserve"> Pack-TIR #288 were present in 16 out of 18 primates. These snapshots were from the UCSC genome browser, which uses Net Track to represent genome-wide synteny. </w:t>
      </w:r>
      <w:r>
        <w:rPr>
          <w:rFonts w:ascii="Times New Roman" w:hAnsi="Times New Roman" w:cs="Times New Roman"/>
          <w:sz w:val="24"/>
        </w:rPr>
        <w:t>Upper-level Net is more likely orthologous, and lower-level Net might represent one-way paralogous mapping.</w:t>
      </w:r>
      <w:r>
        <w:rPr>
          <w:rFonts w:ascii="Times New Roman" w:hAnsi="Times New Roman" w:eastAsia="宋体" w:cs="Times New Roman"/>
          <w:kern w:val="0"/>
          <w:sz w:val="24"/>
        </w:rPr>
        <w:t xml:space="preserve"> In each case, we manually checked whether the Pack-TIR and its flanking 1000-bp sequences were shared across primates. Because outgroup species generally show consistent patterns, we showed the net track belonging to one of the most closely phylogenetically related species for all the cases with the exception of the last case (Panel f), for which we showed tracks from multiple phylogenetically representative species.</w:t>
      </w:r>
      <w:r>
        <w:rPr>
          <w:rFonts w:ascii="Times New Roman" w:hAnsi="Times New Roman" w:eastAsia="宋体" w:cs="Times New Roman"/>
          <w:kern w:val="0"/>
          <w:sz w:val="24"/>
        </w:rPr>
        <w:br w:type="page"/>
      </w:r>
    </w:p>
    <w:p>
      <w:pPr>
        <w:jc w:val="both"/>
        <w:rPr>
          <w:rFonts w:ascii="Times New Roman" w:hAnsi="Times New Roman" w:cs="Times New Roman"/>
          <w:sz w:val="24"/>
        </w:rPr>
      </w:pPr>
      <w:r>
        <w:rPr>
          <w:rFonts w:ascii="Times New Roman" w:hAnsi="Times New Roman" w:cs="Times New Roman"/>
          <w:sz w:val="24"/>
        </w:rPr>
        <w:pict>
          <v:shape id="_x0000_i1028" o:spt="75" type="#_x0000_t75" style="height:498.5pt;width:274.5pt;" filled="f" o:preferrelative="t" stroked="f" coordsize="21600,21600">
            <v:path/>
            <v:fill on="f" focussize="0,0"/>
            <v:stroke on="f" joinstyle="miter"/>
            <v:imagedata r:id="rId9" o:title="FigS5"/>
            <o:lock v:ext="edit" aspectratio="t"/>
            <w10:wrap type="none"/>
            <w10:anchorlock/>
          </v:shape>
        </w:pict>
      </w:r>
    </w:p>
    <w:p>
      <w:pPr>
        <w:jc w:val="both"/>
        <w:rPr>
          <w:rFonts w:ascii="Times New Roman" w:hAnsi="Times New Roman" w:cs="Times New Roman"/>
          <w:sz w:val="24"/>
        </w:rPr>
      </w:pPr>
      <w:r>
        <w:rPr>
          <w:rFonts w:ascii="Times New Roman" w:hAnsi="Times New Roman" w:cs="Times New Roman"/>
          <w:b/>
          <w:sz w:val="24"/>
        </w:rPr>
        <w:t>Supplementary Figure 5. The multicopy Pack-TIRs in western clawed frogs are absent in the outgroup, African clawed frogs.</w:t>
      </w:r>
      <w:r>
        <w:rPr>
          <w:rFonts w:ascii="Times New Roman" w:hAnsi="Times New Roman" w:cs="Times New Roman"/>
          <w:sz w:val="24"/>
        </w:rPr>
        <w:t xml:space="preserve"> The snapshots for each copy of </w:t>
      </w:r>
      <w:r>
        <w:rPr>
          <w:rFonts w:ascii="Times New Roman" w:hAnsi="Times New Roman" w:cs="Times New Roman"/>
          <w:i/>
          <w:sz w:val="24"/>
        </w:rPr>
        <w:t>Pack-hAT-N8_XT</w:t>
      </w:r>
      <w:r>
        <w:rPr>
          <w:rFonts w:ascii="Times New Roman" w:hAnsi="Times New Roman" w:cs="Times New Roman"/>
          <w:sz w:val="24"/>
        </w:rPr>
        <w:t xml:space="preserve"> (</w:t>
      </w:r>
      <w:r>
        <w:rPr>
          <w:rFonts w:ascii="Times New Roman" w:hAnsi="Times New Roman" w:cs="Times New Roman"/>
          <w:b/>
          <w:sz w:val="24"/>
        </w:rPr>
        <w:t>a</w:t>
      </w:r>
      <w:r>
        <w:rPr>
          <w:rFonts w:ascii="Times New Roman" w:hAnsi="Times New Roman" w:cs="Times New Roman"/>
          <w:sz w:val="24"/>
        </w:rPr>
        <w:t xml:space="preserve">, </w:t>
      </w:r>
      <w:r>
        <w:rPr>
          <w:rFonts w:ascii="Times New Roman" w:hAnsi="Times New Roman" w:cs="Times New Roman"/>
          <w:b/>
          <w:sz w:val="24"/>
        </w:rPr>
        <w:t>b</w:t>
      </w:r>
      <w:r>
        <w:rPr>
          <w:rFonts w:ascii="Times New Roman" w:hAnsi="Times New Roman" w:cs="Times New Roman"/>
          <w:sz w:val="24"/>
        </w:rPr>
        <w:t xml:space="preserve"> and </w:t>
      </w:r>
      <w:r>
        <w:rPr>
          <w:rFonts w:ascii="Times New Roman" w:hAnsi="Times New Roman" w:cs="Times New Roman"/>
          <w:b/>
          <w:sz w:val="24"/>
        </w:rPr>
        <w:t>c</w:t>
      </w:r>
      <w:r>
        <w:rPr>
          <w:rFonts w:ascii="Times New Roman" w:hAnsi="Times New Roman" w:cs="Times New Roman"/>
          <w:sz w:val="24"/>
        </w:rPr>
        <w:t>, respectively) are from the frog genome (</w:t>
      </w:r>
      <w:r>
        <w:rPr>
          <w:rFonts w:ascii="Times New Roman" w:hAnsi="Times New Roman" w:cs="Times New Roman"/>
          <w:i/>
          <w:sz w:val="24"/>
        </w:rPr>
        <w:t>Xenopus tropicalis</w:t>
      </w:r>
      <w:r>
        <w:rPr>
          <w:rFonts w:ascii="Times New Roman" w:hAnsi="Times New Roman" w:cs="Times New Roman"/>
          <w:sz w:val="24"/>
        </w:rPr>
        <w:t>, xenTro9) in the UCSC genome browser. In addition to the net track, Genscan gene annotations and repeat annotations are also shown. For these Pack-TIRs, the neighboring region could be shared by the outgroup (</w:t>
      </w:r>
      <w:r>
        <w:rPr>
          <w:rFonts w:ascii="Times New Roman" w:hAnsi="Times New Roman" w:cs="Times New Roman"/>
          <w:i/>
          <w:iCs/>
          <w:sz w:val="24"/>
        </w:rPr>
        <w:t>e.g.</w:t>
      </w:r>
      <w:r>
        <w:rPr>
          <w:rFonts w:ascii="Times New Roman" w:hAnsi="Times New Roman" w:cs="Times New Roman"/>
          <w:sz w:val="24"/>
        </w:rPr>
        <w:t>, the left flanking region demonstrated by Level 1 Net in Panel b). In contrast, Pack-TIRs are always absent in Level 1 Net, although paralogous mappings to the parental copy exist in Level 2.</w:t>
      </w:r>
    </w:p>
    <w:p>
      <w:pPr>
        <w:jc w:val="both"/>
        <w:rPr>
          <w:rFonts w:ascii="Times New Roman" w:hAnsi="Times New Roman" w:cs="Times New Roman"/>
          <w:sz w:val="24"/>
        </w:rPr>
      </w:pPr>
      <w:r>
        <w:rPr>
          <w:rFonts w:ascii="Times New Roman" w:hAnsi="Times New Roman" w:cs="Times New Roman"/>
          <w:sz w:val="24"/>
        </w:rPr>
        <w:br w:type="page"/>
      </w:r>
      <w:r>
        <w:rPr>
          <w:rFonts w:ascii="Times New Roman" w:hAnsi="Times New Roman" w:cs="Times New Roman"/>
          <w:sz w:val="24"/>
        </w:rPr>
        <w:pict>
          <v:shape id="_x0000_i1029" o:spt="75" type="#_x0000_t75" style="height:175.5pt;width:411pt;" filled="f" o:preferrelative="t" stroked="f" coordsize="21600,21600">
            <v:path/>
            <v:fill on="f" focussize="0,0"/>
            <v:stroke on="f" joinstyle="miter"/>
            <v:imagedata r:id="rId10" o:title="FigS6"/>
            <o:lock v:ext="edit" aspectratio="t"/>
            <w10:wrap type="none"/>
            <w10:anchorlock/>
          </v:shape>
        </w:pict>
      </w:r>
    </w:p>
    <w:p>
      <w:pPr>
        <w:jc w:val="both"/>
        <w:rPr>
          <w:rFonts w:ascii="Times New Roman" w:hAnsi="Times New Roman" w:cs="Times New Roman"/>
          <w:sz w:val="24"/>
        </w:rPr>
      </w:pPr>
      <w:r>
        <w:rPr>
          <w:rFonts w:ascii="Times New Roman" w:hAnsi="Times New Roman" w:cs="Times New Roman"/>
          <w:b/>
          <w:sz w:val="24"/>
        </w:rPr>
        <w:t xml:space="preserve">Supplementary Figure 6. Phylogenetic tree of </w:t>
      </w:r>
      <w:r>
        <w:rPr>
          <w:rFonts w:ascii="Times New Roman" w:hAnsi="Times New Roman" w:cs="Times New Roman"/>
          <w:b/>
          <w:i/>
          <w:sz w:val="24"/>
        </w:rPr>
        <w:t>FB4</w:t>
      </w:r>
      <w:r>
        <w:rPr>
          <w:rFonts w:ascii="Times New Roman" w:hAnsi="Times New Roman" w:cs="Times New Roman"/>
          <w:b/>
          <w:sz w:val="24"/>
        </w:rPr>
        <w:t xml:space="preserve">-derived sequences in </w:t>
      </w:r>
      <w:r>
        <w:rPr>
          <w:rFonts w:ascii="Times New Roman" w:hAnsi="Times New Roman" w:cs="Times New Roman"/>
          <w:b/>
          <w:i/>
          <w:iCs/>
          <w:sz w:val="24"/>
        </w:rPr>
        <w:t>Ssk-FB4s</w:t>
      </w:r>
      <w:r>
        <w:rPr>
          <w:rFonts w:ascii="Times New Roman" w:hAnsi="Times New Roman" w:cs="Times New Roman"/>
          <w:b/>
          <w:sz w:val="24"/>
        </w:rPr>
        <w:t>.</w:t>
      </w:r>
      <w:r>
        <w:rPr>
          <w:rFonts w:ascii="Times New Roman" w:hAnsi="Times New Roman" w:cs="Times New Roman"/>
          <w:sz w:val="24"/>
        </w:rPr>
        <w:t xml:space="preserve"> The consensus </w:t>
      </w:r>
      <w:r>
        <w:rPr>
          <w:rFonts w:ascii="Times New Roman" w:hAnsi="Times New Roman" w:cs="Times New Roman"/>
          <w:i/>
          <w:iCs/>
          <w:sz w:val="24"/>
        </w:rPr>
        <w:t xml:space="preserve">FB4 </w:t>
      </w:r>
      <w:r>
        <w:rPr>
          <w:rFonts w:ascii="Times New Roman" w:hAnsi="Times New Roman" w:cs="Times New Roman"/>
          <w:sz w:val="24"/>
        </w:rPr>
        <w:t xml:space="preserve">from RepBase </w:t>
      </w:r>
      <w:r>
        <w:rPr>
          <w:rFonts w:ascii="Times New Roman" w:hAnsi="Times New Roman" w:cs="Times New Roman"/>
          <w:iCs/>
          <w:sz w:val="24"/>
        </w:rPr>
        <w:t xml:space="preserve">was </w:t>
      </w:r>
      <w:r>
        <w:rPr>
          <w:rFonts w:ascii="Times New Roman" w:hAnsi="Times New Roman" w:cs="Times New Roman"/>
          <w:sz w:val="24"/>
        </w:rPr>
        <w:t xml:space="preserve">used as the outgroup. Because </w:t>
      </w:r>
      <w:r>
        <w:rPr>
          <w:rFonts w:ascii="Times New Roman" w:hAnsi="Times New Roman" w:cs="Times New Roman"/>
          <w:i/>
          <w:sz w:val="24"/>
        </w:rPr>
        <w:t>FB4s</w:t>
      </w:r>
      <w:r>
        <w:rPr>
          <w:rFonts w:ascii="Times New Roman" w:hAnsi="Times New Roman" w:cs="Times New Roman"/>
          <w:sz w:val="24"/>
        </w:rPr>
        <w:t xml:space="preserve"> themselves are repetitive with smaller repeats nested in larger repeats, the bootstrap score is generally lower for this tree compared with the </w:t>
      </w:r>
      <w:r>
        <w:rPr>
          <w:rFonts w:ascii="Times New Roman" w:hAnsi="Times New Roman" w:cs="Times New Roman"/>
          <w:i/>
          <w:sz w:val="24"/>
        </w:rPr>
        <w:t>Ssk</w:t>
      </w:r>
      <w:r>
        <w:rPr>
          <w:rFonts w:ascii="Times New Roman" w:hAnsi="Times New Roman" w:cs="Times New Roman"/>
          <w:sz w:val="24"/>
        </w:rPr>
        <w:t xml:space="preserve">-derived sequence-based tree in Fig. 3c. Different </w:t>
      </w:r>
      <w:r>
        <w:rPr>
          <w:rFonts w:ascii="Times New Roman" w:hAnsi="Times New Roman" w:cs="Times New Roman"/>
          <w:i/>
          <w:sz w:val="24"/>
        </w:rPr>
        <w:t>Ssk-FB4s</w:t>
      </w:r>
      <w:r>
        <w:rPr>
          <w:rFonts w:ascii="Times New Roman" w:hAnsi="Times New Roman" w:cs="Times New Roman"/>
          <w:sz w:val="24"/>
        </w:rPr>
        <w:t xml:space="preserve"> are color-coded as in Fig. 3c.</w:t>
      </w:r>
    </w:p>
    <w:p>
      <w:pPr>
        <w:jc w:val="both"/>
        <w:rPr>
          <w:rFonts w:ascii="Times New Roman" w:hAnsi="Times New Roman" w:cs="Times New Roman"/>
          <w:sz w:val="24"/>
        </w:rPr>
      </w:pPr>
      <w:r>
        <w:rPr>
          <w:rFonts w:ascii="Times New Roman" w:hAnsi="Times New Roman" w:cs="Times New Roman"/>
          <w:sz w:val="24"/>
        </w:rPr>
        <w:br w:type="page"/>
      </w:r>
    </w:p>
    <w:p>
      <w:pPr>
        <w:jc w:val="both"/>
        <w:rPr>
          <w:rFonts w:ascii="Times New Roman" w:hAnsi="Times New Roman" w:cs="Times New Roman"/>
          <w:b/>
          <w:sz w:val="24"/>
        </w:rPr>
      </w:pPr>
      <w:r>
        <w:rPr>
          <w:rFonts w:ascii="Times New Roman" w:hAnsi="Times New Roman" w:cs="Times New Roman"/>
          <w:b/>
          <w:sz w:val="24"/>
        </w:rPr>
        <w:pict>
          <v:shape id="_x0000_i1030" o:spt="75" type="#_x0000_t75" style="height:669.5pt;width:417pt;" filled="f" o:preferrelative="t" stroked="f" coordsize="21600,21600">
            <v:path/>
            <v:fill on="f" focussize="0,0"/>
            <v:stroke on="f" joinstyle="miter"/>
            <v:imagedata r:id="rId11" o:title="FigS7"/>
            <o:lock v:ext="edit" aspectratio="t"/>
            <w10:wrap type="none"/>
            <w10:anchorlock/>
          </v:shape>
        </w:pict>
      </w:r>
    </w:p>
    <w:p>
      <w:pPr>
        <w:jc w:val="both"/>
        <w:outlineLvl w:val="0"/>
        <w:rPr>
          <w:rFonts w:ascii="Times New Roman" w:hAnsi="Times New Roman" w:cs="Times New Roman"/>
          <w:sz w:val="24"/>
        </w:rPr>
      </w:pPr>
      <w:r>
        <w:rPr>
          <w:rFonts w:ascii="Times New Roman" w:hAnsi="Times New Roman" w:cs="Times New Roman"/>
          <w:b/>
          <w:sz w:val="24"/>
        </w:rPr>
        <w:t xml:space="preserve">Supplementary Figure 7. Sequence of </w:t>
      </w:r>
      <w:r>
        <w:rPr>
          <w:rFonts w:ascii="Times New Roman" w:hAnsi="Times New Roman" w:cs="Times New Roman"/>
          <w:b/>
          <w:i/>
          <w:sz w:val="24"/>
        </w:rPr>
        <w:t>Ssk-FB4</w:t>
      </w:r>
      <w:r>
        <w:rPr>
          <w:rFonts w:ascii="Times New Roman" w:hAnsi="Times New Roman" w:cs="Times New Roman"/>
          <w:b/>
          <w:sz w:val="24"/>
        </w:rPr>
        <w:t>.</w:t>
      </w:r>
      <w:r>
        <w:rPr>
          <w:rFonts w:ascii="Times New Roman" w:hAnsi="Times New Roman" w:cs="Times New Roman"/>
          <w:sz w:val="24"/>
        </w:rPr>
        <w:t xml:space="preserve"> The color codes are indicated.</w:t>
      </w:r>
    </w:p>
    <w:p>
      <w:pPr>
        <w:jc w:val="both"/>
        <w:rPr>
          <w:rFonts w:ascii="Times New Roman" w:hAnsi="Times New Roman" w:cs="Times New Roman"/>
          <w:b/>
          <w:sz w:val="24"/>
        </w:rPr>
      </w:pPr>
      <w:r>
        <w:rPr>
          <w:rFonts w:ascii="Times New Roman" w:hAnsi="Times New Roman" w:cs="Times New Roman"/>
          <w:sz w:val="24"/>
        </w:rPr>
        <w:br w:type="page"/>
      </w:r>
      <w:r>
        <w:rPr>
          <w:rFonts w:ascii="Times New Roman" w:hAnsi="Times New Roman" w:cs="Times New Roman"/>
          <w:sz w:val="24"/>
        </w:rPr>
        <w:t xml:space="preserve"> </w:t>
      </w:r>
      <w:r>
        <w:rPr>
          <w:rFonts w:ascii="Times New Roman" w:hAnsi="Times New Roman" w:cs="Times New Roman"/>
          <w:sz w:val="24"/>
        </w:rPr>
        <w:drawing>
          <wp:inline distT="0" distB="0" distL="0" distR="0">
            <wp:extent cx="3543300" cy="3362325"/>
            <wp:effectExtent l="0" t="0" r="0" b="9525"/>
            <wp:docPr id="16" name="图片 5" descr="Fig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FigS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43300" cy="3362325"/>
                    </a:xfrm>
                    <a:prstGeom prst="rect">
                      <a:avLst/>
                    </a:prstGeom>
                    <a:noFill/>
                    <a:ln>
                      <a:noFill/>
                    </a:ln>
                  </pic:spPr>
                </pic:pic>
              </a:graphicData>
            </a:graphic>
          </wp:inline>
        </w:drawing>
      </w:r>
    </w:p>
    <w:p>
      <w:pPr>
        <w:jc w:val="both"/>
        <w:rPr>
          <w:rFonts w:ascii="Times New Roman" w:hAnsi="Times New Roman" w:cs="Times New Roman"/>
          <w:sz w:val="24"/>
        </w:rPr>
      </w:pPr>
      <w:r>
        <w:rPr>
          <w:rFonts w:ascii="Times New Roman" w:hAnsi="Times New Roman" w:cs="Times New Roman"/>
          <w:b/>
          <w:sz w:val="24"/>
        </w:rPr>
        <w:t xml:space="preserve">Supplementary Figure 8. Distribution of functional types of parental sequences across all species. </w:t>
      </w:r>
      <w:r>
        <w:rPr>
          <w:rFonts w:ascii="Times New Roman" w:hAnsi="Times New Roman" w:cs="Times New Roman"/>
          <w:sz w:val="24"/>
        </w:rPr>
        <w:t xml:space="preserve">The figure convention follows that of Fig. 4b. The one-sided Wilcoxon rank sum test was used to calculate the </w:t>
      </w:r>
      <w:r>
        <w:rPr>
          <w:rFonts w:ascii="Times New Roman" w:hAnsi="Times New Roman" w:cs="Times New Roman"/>
          <w:i/>
          <w:sz w:val="24"/>
        </w:rPr>
        <w:t>P</w:t>
      </w:r>
      <w:r>
        <w:rPr>
          <w:rFonts w:ascii="Times New Roman" w:hAnsi="Times New Roman" w:cs="Times New Roman"/>
          <w:sz w:val="24"/>
        </w:rPr>
        <w:t>-value.</w:t>
      </w:r>
    </w:p>
    <w:p>
      <w:pPr>
        <w:widowControl/>
        <w:jc w:val="both"/>
        <w:rPr>
          <w:rFonts w:ascii="Times New Roman" w:hAnsi="Times New Roman" w:cs="Times New Roman"/>
          <w:sz w:val="24"/>
        </w:rPr>
      </w:pPr>
      <w:r>
        <w:rPr>
          <w:rFonts w:ascii="Times New Roman" w:hAnsi="Times New Roman" w:cs="Times New Roman"/>
          <w:sz w:val="24"/>
        </w:rPr>
        <w:br w:type="page"/>
      </w:r>
    </w:p>
    <w:p>
      <w:pPr>
        <w:jc w:val="both"/>
        <w:rPr>
          <w:rFonts w:ascii="Times New Roman" w:hAnsi="Times New Roman" w:cs="Times New Roman"/>
          <w:sz w:val="24"/>
        </w:rPr>
      </w:pPr>
      <w:r>
        <w:rPr>
          <w:rFonts w:ascii="Times New Roman" w:hAnsi="Times New Roman" w:cs="Times New Roman"/>
          <w:sz w:val="24"/>
        </w:rPr>
        <w:pict>
          <v:shape id="_x0000_i1031" o:spt="75" type="#_x0000_t75" style="height:300pt;width:414.5pt;" filled="f" o:preferrelative="t" stroked="f" coordsize="21600,21600">
            <v:path/>
            <v:fill on="f" focussize="0,0"/>
            <v:stroke on="f" joinstyle="miter"/>
            <v:imagedata r:id="rId13" o:title="FigS9"/>
            <o:lock v:ext="edit" aspectratio="t"/>
            <w10:wrap type="none"/>
            <w10:anchorlock/>
          </v:shape>
        </w:pict>
      </w:r>
    </w:p>
    <w:p>
      <w:pPr>
        <w:jc w:val="both"/>
        <w:rPr>
          <w:rFonts w:ascii="Times New Roman" w:hAnsi="Times New Roman" w:cs="Times New Roman"/>
          <w:sz w:val="24"/>
        </w:rPr>
      </w:pPr>
      <w:r>
        <w:rPr>
          <w:rFonts w:ascii="Times New Roman" w:hAnsi="Times New Roman" w:cs="Times New Roman"/>
          <w:b/>
          <w:sz w:val="24"/>
        </w:rPr>
        <w:t>Supplementary Figure 9. Three Pack-TIR examples in humans.</w:t>
      </w:r>
      <w:r>
        <w:rPr>
          <w:rFonts w:ascii="Times New Roman" w:hAnsi="Times New Roman" w:cs="Times New Roman"/>
          <w:sz w:val="24"/>
        </w:rPr>
        <w:t xml:space="preserve"> </w:t>
      </w:r>
      <w:r>
        <w:rPr>
          <w:rFonts w:ascii="Times New Roman" w:hAnsi="Times New Roman" w:cs="Times New Roman"/>
          <w:b/>
          <w:sz w:val="24"/>
        </w:rPr>
        <w:t>a</w:t>
      </w:r>
      <w:r>
        <w:rPr>
          <w:rFonts w:ascii="Times New Roman" w:hAnsi="Times New Roman" w:cs="Times New Roman"/>
          <w:sz w:val="24"/>
        </w:rPr>
        <w:t xml:space="preserve"> A UCSC snapshot of the human genome (hg38) at the second intron of </w:t>
      </w:r>
      <w:r>
        <w:rPr>
          <w:rFonts w:ascii="Times New Roman" w:hAnsi="Times New Roman" w:cs="Times New Roman"/>
          <w:i/>
          <w:sz w:val="24"/>
        </w:rPr>
        <w:t>NDUFS4</w:t>
      </w:r>
      <w:r>
        <w:rPr>
          <w:rFonts w:ascii="Times New Roman" w:hAnsi="Times New Roman" w:cs="Times New Roman"/>
          <w:sz w:val="24"/>
        </w:rPr>
        <w:t xml:space="preserve">. RefSeq gene annotation, repeat annotation and RNA-seq alignment tracks are shown. </w:t>
      </w:r>
      <w:r>
        <w:rPr>
          <w:rFonts w:ascii="Times New Roman" w:hAnsi="Times New Roman" w:cs="Times New Roman"/>
          <w:i/>
          <w:iCs/>
          <w:sz w:val="24"/>
        </w:rPr>
        <w:t>RAB6A-Tigger1</w:t>
      </w:r>
      <w:r>
        <w:rPr>
          <w:rFonts w:ascii="Times New Roman" w:hAnsi="Times New Roman" w:cs="Times New Roman"/>
          <w:sz w:val="24"/>
        </w:rPr>
        <w:t xml:space="preserve"> was inserted in the second intron of </w:t>
      </w:r>
      <w:r>
        <w:rPr>
          <w:rFonts w:ascii="Times New Roman" w:hAnsi="Times New Roman" w:cs="Times New Roman"/>
          <w:i/>
          <w:sz w:val="24"/>
        </w:rPr>
        <w:t>NDUFS4</w:t>
      </w:r>
      <w:r>
        <w:rPr>
          <w:rFonts w:ascii="Times New Roman" w:hAnsi="Times New Roman" w:cs="Times New Roman"/>
          <w:i/>
          <w:iCs/>
          <w:sz w:val="24"/>
        </w:rPr>
        <w:t xml:space="preserve"> </w:t>
      </w:r>
      <w:r>
        <w:rPr>
          <w:rFonts w:ascii="Times New Roman" w:hAnsi="Times New Roman" w:cs="Times New Roman"/>
          <w:iCs/>
          <w:sz w:val="24"/>
        </w:rPr>
        <w:t>and</w:t>
      </w:r>
      <w:r>
        <w:rPr>
          <w:rFonts w:ascii="Times New Roman" w:hAnsi="Times New Roman" w:cs="Times New Roman"/>
          <w:i/>
          <w:iCs/>
          <w:sz w:val="24"/>
        </w:rPr>
        <w:t xml:space="preserve"> </w:t>
      </w:r>
      <w:r>
        <w:rPr>
          <w:rFonts w:ascii="Times New Roman" w:hAnsi="Times New Roman" w:cs="Times New Roman"/>
          <w:sz w:val="24"/>
        </w:rPr>
        <w:t xml:space="preserve">the uniquely mapped stranded RNA-seq reads suggested intron retention. The </w:t>
      </w:r>
      <w:r>
        <w:rPr>
          <w:rFonts w:ascii="Times New Roman" w:hAnsi="Times New Roman" w:cs="Times New Roman"/>
          <w:i/>
          <w:iCs/>
          <w:sz w:val="24"/>
        </w:rPr>
        <w:t>RAB6A</w:t>
      </w:r>
      <w:r>
        <w:rPr>
          <w:rFonts w:ascii="Times New Roman" w:hAnsi="Times New Roman" w:cs="Times New Roman"/>
          <w:iCs/>
          <w:sz w:val="24"/>
        </w:rPr>
        <w:t>-derived</w:t>
      </w:r>
      <w:r>
        <w:rPr>
          <w:rFonts w:ascii="Times New Roman" w:hAnsi="Times New Roman" w:cs="Times New Roman"/>
          <w:sz w:val="24"/>
        </w:rPr>
        <w:t xml:space="preserve"> region is shaded in light blue. </w:t>
      </w:r>
      <w:r>
        <w:rPr>
          <w:rFonts w:ascii="Times New Roman" w:hAnsi="Times New Roman" w:cs="Times New Roman"/>
          <w:b/>
          <w:sz w:val="24"/>
        </w:rPr>
        <w:t>b</w:t>
      </w:r>
      <w:r>
        <w:rPr>
          <w:rFonts w:ascii="Times New Roman" w:hAnsi="Times New Roman" w:cs="Times New Roman"/>
          <w:sz w:val="24"/>
        </w:rPr>
        <w:t xml:space="preserve"> </w:t>
      </w:r>
      <w:r>
        <w:rPr>
          <w:rFonts w:ascii="Times New Roman" w:hAnsi="Times New Roman" w:cs="Times New Roman"/>
          <w:i/>
          <w:sz w:val="24"/>
        </w:rPr>
        <w:t>ARF6</w:t>
      </w:r>
      <w:r>
        <w:rPr>
          <w:rFonts w:ascii="Times New Roman" w:hAnsi="Times New Roman" w:cs="Times New Roman"/>
          <w:sz w:val="24"/>
        </w:rPr>
        <w:t xml:space="preserve"> duplication. </w:t>
      </w:r>
      <w:r>
        <w:rPr>
          <w:rFonts w:ascii="Times New Roman" w:hAnsi="Times New Roman" w:cs="Times New Roman"/>
          <w:i/>
          <w:sz w:val="24"/>
        </w:rPr>
        <w:t>ARF6</w:t>
      </w:r>
      <w:r>
        <w:rPr>
          <w:rFonts w:ascii="Times New Roman" w:hAnsi="Times New Roman" w:cs="Times New Roman"/>
          <w:sz w:val="24"/>
        </w:rPr>
        <w:t xml:space="preserve"> is a known retrogene. Because the duplication only covers its second exon and does not involve any intron, whether a recurrent retroposition or </w:t>
      </w:r>
      <w:r>
        <w:rPr>
          <w:rFonts w:ascii="Times New Roman" w:hAnsi="Times New Roman" w:cs="Times New Roman"/>
          <w:i/>
          <w:sz w:val="24"/>
        </w:rPr>
        <w:t>MER20</w:t>
      </w:r>
      <w:r>
        <w:rPr>
          <w:rFonts w:ascii="Times New Roman" w:hAnsi="Times New Roman" w:cs="Times New Roman"/>
          <w:sz w:val="24"/>
        </w:rPr>
        <w:t xml:space="preserve"> mediated its origination remains uncertain. </w:t>
      </w:r>
      <w:r>
        <w:rPr>
          <w:rFonts w:ascii="Times New Roman" w:hAnsi="Times New Roman" w:cs="Times New Roman"/>
          <w:b/>
          <w:sz w:val="24"/>
        </w:rPr>
        <w:t>c</w:t>
      </w:r>
      <w:r>
        <w:rPr>
          <w:rFonts w:ascii="Times New Roman" w:hAnsi="Times New Roman" w:cs="Times New Roman"/>
          <w:sz w:val="24"/>
        </w:rPr>
        <w:t xml:space="preserve"> Part of </w:t>
      </w:r>
      <w:r>
        <w:rPr>
          <w:rFonts w:ascii="Times New Roman" w:hAnsi="Times New Roman" w:cs="Times New Roman"/>
          <w:i/>
          <w:sz w:val="24"/>
        </w:rPr>
        <w:t>SP1</w:t>
      </w:r>
      <w:r>
        <w:rPr>
          <w:rFonts w:ascii="Times New Roman" w:hAnsi="Times New Roman" w:cs="Times New Roman"/>
          <w:sz w:val="24"/>
        </w:rPr>
        <w:t xml:space="preserve"> was captured by </w:t>
      </w:r>
      <w:r>
        <w:rPr>
          <w:rFonts w:ascii="Times New Roman" w:hAnsi="Times New Roman" w:cs="Times New Roman"/>
          <w:i/>
          <w:sz w:val="24"/>
        </w:rPr>
        <w:t>MER20</w:t>
      </w:r>
      <w:r>
        <w:rPr>
          <w:rFonts w:ascii="Times New Roman" w:hAnsi="Times New Roman" w:cs="Times New Roman"/>
          <w:sz w:val="24"/>
        </w:rPr>
        <w:t xml:space="preserve"> into an intergenic region. The figure convention in Panels b and c follows that of Fig. 4d with the exception that TIR TEs are shown in the name of Pack-TIRs.</w:t>
      </w:r>
    </w:p>
    <w:p>
      <w:pPr>
        <w:jc w:val="both"/>
        <w:rPr>
          <w:rFonts w:ascii="Times New Roman" w:hAnsi="Times New Roman" w:cs="Times New Roman"/>
          <w:sz w:val="24"/>
        </w:rPr>
      </w:pPr>
    </w:p>
    <w:p>
      <w:pPr>
        <w:widowControl/>
        <w:jc w:val="both"/>
        <w:rPr>
          <w:rFonts w:ascii="Times New Roman" w:hAnsi="Times New Roman" w:cs="Times New Roman"/>
          <w:sz w:val="24"/>
        </w:rPr>
      </w:pPr>
      <w:r>
        <w:rPr>
          <w:rFonts w:ascii="Times New Roman" w:hAnsi="Times New Roman" w:cs="Times New Roman"/>
          <w:sz w:val="24"/>
        </w:rPr>
        <w:br w:type="page"/>
      </w:r>
    </w:p>
    <w:p>
      <w:pPr>
        <w:jc w:val="both"/>
        <w:rPr>
          <w:rFonts w:ascii="Times New Roman" w:hAnsi="Times New Roman" w:cs="Times New Roman"/>
          <w:b/>
          <w:sz w:val="24"/>
        </w:rPr>
      </w:pPr>
      <w:r>
        <w:rPr>
          <w:rFonts w:ascii="Times New Roman" w:hAnsi="Times New Roman" w:cs="Times New Roman"/>
          <w:b/>
          <w:sz w:val="24"/>
        </w:rPr>
        <w:drawing>
          <wp:inline distT="0" distB="0" distL="0" distR="0">
            <wp:extent cx="5257800" cy="1133475"/>
            <wp:effectExtent l="0" t="0" r="0" b="9525"/>
            <wp:docPr id="14" name="图片 6" descr="微信图片_202007201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微信图片_202007201102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57800" cy="1133475"/>
                    </a:xfrm>
                    <a:prstGeom prst="rect">
                      <a:avLst/>
                    </a:prstGeom>
                    <a:noFill/>
                    <a:ln>
                      <a:noFill/>
                    </a:ln>
                  </pic:spPr>
                </pic:pic>
              </a:graphicData>
            </a:graphic>
          </wp:inline>
        </w:drawing>
      </w:r>
    </w:p>
    <w:p>
      <w:pPr>
        <w:jc w:val="both"/>
        <w:rPr>
          <w:rFonts w:ascii="Times New Roman" w:hAnsi="Times New Roman" w:cs="Times New Roman"/>
          <w:sz w:val="24"/>
        </w:rPr>
      </w:pPr>
      <w:r>
        <w:rPr>
          <w:rFonts w:ascii="Times New Roman" w:hAnsi="Times New Roman" w:cs="Times New Roman"/>
          <w:b/>
          <w:sz w:val="24"/>
        </w:rPr>
        <w:t>Supplementary Figure 10. Gene structure of S</w:t>
      </w:r>
      <w:r>
        <w:rPr>
          <w:rFonts w:ascii="Times New Roman" w:hAnsi="Times New Roman" w:cs="Times New Roman"/>
          <w:b/>
          <w:i/>
          <w:iCs/>
          <w:sz w:val="24"/>
        </w:rPr>
        <w:t>sk-FB4s</w:t>
      </w:r>
      <w:r>
        <w:rPr>
          <w:rFonts w:ascii="Times New Roman" w:hAnsi="Times New Roman" w:cs="Times New Roman"/>
          <w:b/>
          <w:sz w:val="24"/>
        </w:rPr>
        <w:t>.</w:t>
      </w:r>
      <w:r>
        <w:rPr>
          <w:rFonts w:ascii="Times New Roman" w:hAnsi="Times New Roman" w:cs="Times New Roman"/>
          <w:sz w:val="24"/>
        </w:rPr>
        <w:t xml:space="preserve"> RNA-seq read mapping results in IGV show the gene structure of </w:t>
      </w:r>
      <w:r>
        <w:rPr>
          <w:rFonts w:ascii="Times New Roman" w:hAnsi="Times New Roman" w:cs="Times New Roman"/>
          <w:i/>
          <w:iCs/>
          <w:sz w:val="24"/>
        </w:rPr>
        <w:t>Ssk-FB4s</w:t>
      </w:r>
      <w:r>
        <w:rPr>
          <w:rFonts w:ascii="Times New Roman" w:hAnsi="Times New Roman" w:cs="Times New Roman"/>
          <w:sz w:val="24"/>
        </w:rPr>
        <w:t xml:space="preserve"> at chrX: 2.7 Mb in the RAL-399 line and chr3R: 17.7 Mb and the tandem duplicated locus in the RAL-379 line. The thinner blue boxes, the thicker boxes and the intervening lines represent the UTR, coding exons and introns of </w:t>
      </w:r>
      <w:r>
        <w:rPr>
          <w:rFonts w:ascii="Times New Roman" w:hAnsi="Times New Roman" w:cs="Times New Roman"/>
          <w:i/>
          <w:iCs/>
          <w:sz w:val="24"/>
        </w:rPr>
        <w:t>Ssk</w:t>
      </w:r>
      <w:r>
        <w:rPr>
          <w:rFonts w:ascii="Times New Roman" w:hAnsi="Times New Roman" w:cs="Times New Roman"/>
          <w:iCs/>
          <w:sz w:val="24"/>
        </w:rPr>
        <w:t>, respectively</w:t>
      </w:r>
      <w:r>
        <w:rPr>
          <w:rFonts w:ascii="Times New Roman" w:hAnsi="Times New Roman" w:cs="Times New Roman"/>
          <w:sz w:val="24"/>
        </w:rPr>
        <w:t>. The number (</w:t>
      </w:r>
      <w:r>
        <w:rPr>
          <w:rFonts w:ascii="Times New Roman" w:hAnsi="Times New Roman" w:cs="Times New Roman"/>
          <w:i/>
          <w:sz w:val="24"/>
        </w:rPr>
        <w:t>e.g.</w:t>
      </w:r>
      <w:r>
        <w:rPr>
          <w:rFonts w:ascii="Times New Roman" w:hAnsi="Times New Roman" w:cs="Times New Roman"/>
          <w:sz w:val="24"/>
        </w:rPr>
        <w:t xml:space="preserve">, 0-13797) indicates the range of the RNA-seq read depth. The colored lines represent the nucleotide changes between </w:t>
      </w:r>
      <w:r>
        <w:rPr>
          <w:rFonts w:ascii="Times New Roman" w:hAnsi="Times New Roman" w:cs="Times New Roman"/>
          <w:i/>
          <w:iCs/>
          <w:sz w:val="24"/>
        </w:rPr>
        <w:t>Ssk-FB4s</w:t>
      </w:r>
      <w:r>
        <w:rPr>
          <w:rFonts w:ascii="Times New Roman" w:hAnsi="Times New Roman" w:cs="Times New Roman"/>
          <w:sz w:val="24"/>
        </w:rPr>
        <w:t xml:space="preserve"> and </w:t>
      </w:r>
      <w:r>
        <w:rPr>
          <w:rFonts w:ascii="Times New Roman" w:hAnsi="Times New Roman" w:cs="Times New Roman"/>
          <w:i/>
          <w:iCs/>
          <w:sz w:val="24"/>
        </w:rPr>
        <w:t>Ssk</w:t>
      </w:r>
      <w:r>
        <w:rPr>
          <w:rFonts w:ascii="Times New Roman" w:hAnsi="Times New Roman" w:cs="Times New Roman"/>
          <w:sz w:val="24"/>
        </w:rPr>
        <w:t>.</w:t>
      </w:r>
    </w:p>
    <w:p>
      <w:pPr>
        <w:jc w:val="both"/>
        <w:rPr>
          <w:rFonts w:ascii="Times New Roman" w:hAnsi="Times New Roman" w:cs="Times New Roman"/>
          <w:sz w:val="24"/>
        </w:rPr>
      </w:pPr>
    </w:p>
    <w:p>
      <w:pPr>
        <w:jc w:val="both"/>
        <w:rPr>
          <w:rFonts w:ascii="Times New Roman" w:hAnsi="Times New Roman" w:cs="Times New Roman"/>
          <w:sz w:val="24"/>
        </w:rPr>
      </w:pPr>
    </w:p>
    <w:p>
      <w:pPr>
        <w:jc w:val="both"/>
        <w:rPr>
          <w:rFonts w:ascii="Times New Roman" w:hAnsi="Times New Roman" w:cs="Times New Roman"/>
          <w:sz w:val="24"/>
        </w:rPr>
      </w:pPr>
    </w:p>
    <w:p>
      <w:pPr>
        <w:widowControl/>
        <w:jc w:val="both"/>
        <w:rPr>
          <w:rFonts w:ascii="Times New Roman" w:hAnsi="Times New Roman" w:cs="Times New Roman"/>
          <w:sz w:val="24"/>
        </w:rPr>
      </w:pPr>
      <w:r>
        <w:rPr>
          <w:rFonts w:ascii="Times New Roman" w:hAnsi="Times New Roman" w:cs="Times New Roman"/>
          <w:sz w:val="24"/>
        </w:rPr>
        <w:br w:type="page"/>
      </w:r>
    </w:p>
    <w:p>
      <w:pPr>
        <w:widowControl/>
        <w:jc w:val="both"/>
        <w:rPr>
          <w:rFonts w:ascii="Times New Roman" w:hAnsi="Times New Roman" w:cs="Times New Roman"/>
          <w:sz w:val="24"/>
        </w:rPr>
      </w:pPr>
      <w:r>
        <w:rPr>
          <w:rFonts w:ascii="Times New Roman" w:hAnsi="Times New Roman" w:cs="Times New Roman"/>
          <w:sz w:val="24"/>
        </w:rPr>
        <w:drawing>
          <wp:inline distT="0" distB="0" distL="114300" distR="114300">
            <wp:extent cx="2325370" cy="3422650"/>
            <wp:effectExtent l="0" t="0" r="11430" b="6350"/>
            <wp:docPr id="10" name="图片 10" descr="Fig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S9"/>
                    <pic:cNvPicPr>
                      <a:picLocks noChangeAspect="1"/>
                    </pic:cNvPicPr>
                  </pic:nvPicPr>
                  <pic:blipFill>
                    <a:blip r:embed="rId15"/>
                    <a:stretch>
                      <a:fillRect/>
                    </a:stretch>
                  </pic:blipFill>
                  <pic:spPr>
                    <a:xfrm>
                      <a:off x="0" y="0"/>
                      <a:ext cx="2325370" cy="3422650"/>
                    </a:xfrm>
                    <a:prstGeom prst="rect">
                      <a:avLst/>
                    </a:prstGeom>
                  </pic:spPr>
                </pic:pic>
              </a:graphicData>
            </a:graphic>
          </wp:inline>
        </w:drawing>
      </w:r>
    </w:p>
    <w:p>
      <w:pPr>
        <w:widowControl/>
        <w:jc w:val="both"/>
        <w:rPr>
          <w:rFonts w:ascii="Times New Roman" w:hAnsi="Times New Roman" w:cs="Times New Roman"/>
          <w:sz w:val="24"/>
        </w:rPr>
      </w:pPr>
      <w:r>
        <w:rPr>
          <w:rFonts w:ascii="Times New Roman" w:hAnsi="Times New Roman" w:cs="Times New Roman"/>
          <w:b/>
          <w:sz w:val="24"/>
        </w:rPr>
        <w:t>Supplementary Figure 11. Transcription level of all protein-coding genes (</w:t>
      </w:r>
      <w:r>
        <w:rPr>
          <w:rFonts w:ascii="Times New Roman" w:hAnsi="Times New Roman" w:cs="Times New Roman"/>
          <w:b/>
          <w:i/>
          <w:sz w:val="24"/>
        </w:rPr>
        <w:t>n</w:t>
      </w:r>
      <w:r>
        <w:rPr>
          <w:rFonts w:ascii="Times New Roman" w:hAnsi="Times New Roman" w:cs="Times New Roman"/>
          <w:b/>
          <w:sz w:val="24"/>
        </w:rPr>
        <w:t xml:space="preserve"> = 13,933 samples) in the midgut.</w:t>
      </w:r>
      <w:r>
        <w:rPr>
          <w:rFonts w:ascii="Times New Roman" w:hAnsi="Times New Roman" w:cs="Times New Roman"/>
          <w:sz w:val="24"/>
        </w:rPr>
        <w:t xml:space="preserve"> For all protein-coding genes, the distribution of their median expression level (TPM+1) across six lines is shown as a log</w:t>
      </w:r>
      <w:r>
        <w:rPr>
          <w:rFonts w:ascii="Times New Roman" w:hAnsi="Times New Roman" w:cs="Times New Roman"/>
          <w:sz w:val="24"/>
          <w:vertAlign w:val="subscript"/>
        </w:rPr>
        <w:t>10</w:t>
      </w:r>
      <w:r>
        <w:rPr>
          <w:rFonts w:ascii="Times New Roman" w:hAnsi="Times New Roman" w:cs="Times New Roman"/>
          <w:sz w:val="24"/>
        </w:rPr>
        <w:t xml:space="preserve"> scaled violin plot. See Fig. 2f for a definition of a violin plot. The red dashed line marks the median expression of </w:t>
      </w:r>
      <w:r>
        <w:rPr>
          <w:rFonts w:ascii="Times New Roman" w:hAnsi="Times New Roman" w:cs="Times New Roman"/>
          <w:i/>
          <w:sz w:val="24"/>
        </w:rPr>
        <w:t>Ssk-FB4s</w:t>
      </w:r>
      <w:r>
        <w:rPr>
          <w:rFonts w:ascii="Times New Roman" w:hAnsi="Times New Roman" w:cs="Times New Roman"/>
          <w:sz w:val="24"/>
        </w:rPr>
        <w:t xml:space="preserve">, </w:t>
      </w:r>
      <w:r>
        <w:rPr>
          <w:rFonts w:ascii="Times New Roman" w:hAnsi="Times New Roman" w:cs="Times New Roman"/>
          <w:i/>
          <w:sz w:val="24"/>
        </w:rPr>
        <w:t>i.e.</w:t>
      </w:r>
      <w:r>
        <w:rPr>
          <w:rFonts w:ascii="Times New Roman" w:hAnsi="Times New Roman" w:cs="Times New Roman"/>
          <w:sz w:val="24"/>
        </w:rPr>
        <w:t>, 120.</w:t>
      </w:r>
    </w:p>
    <w:p>
      <w:pPr>
        <w:widowControl/>
        <w:jc w:val="both"/>
        <w:rPr>
          <w:rFonts w:ascii="Times New Roman" w:hAnsi="Times New Roman" w:cs="Times New Roman"/>
          <w:b/>
          <w:sz w:val="24"/>
        </w:rPr>
      </w:pPr>
      <w:r>
        <w:rPr>
          <w:rFonts w:ascii="Times New Roman" w:hAnsi="Times New Roman" w:cs="Times New Roman"/>
          <w:sz w:val="24"/>
        </w:rPr>
        <w:br w:type="page"/>
      </w:r>
      <w:r>
        <w:rPr>
          <w:rFonts w:ascii="Times New Roman" w:hAnsi="Times New Roman" w:cs="Times New Roman"/>
          <w:sz w:val="24"/>
        </w:rPr>
        <w:pict>
          <v:shape id="_x0000_i1032" o:spt="75" type="#_x0000_t75" style="height:443pt;width:415.5pt;" filled="f" o:preferrelative="t" stroked="f" coordsize="21600,21600">
            <v:path/>
            <v:fill on="f" focussize="0,0"/>
            <v:stroke on="f" joinstyle="miter"/>
            <v:imagedata r:id="rId16" o:title="FigS12_1"/>
            <o:lock v:ext="edit" aspectratio="t"/>
            <w10:wrap type="none"/>
            <w10:anchorlock/>
          </v:shape>
        </w:pict>
      </w:r>
      <w:r>
        <w:rPr>
          <w:rFonts w:ascii="Times New Roman" w:hAnsi="Times New Roman" w:cs="Times New Roman"/>
          <w:sz w:val="24"/>
        </w:rPr>
        <w:pict>
          <v:shape id="_x0000_i1033" o:spt="75" type="#_x0000_t75" style="height:448.5pt;width:415.5pt;" filled="f" o:preferrelative="t" stroked="f" coordsize="21600,21600">
            <v:path/>
            <v:fill on="f" focussize="0,0"/>
            <v:stroke on="f" joinstyle="miter"/>
            <v:imagedata r:id="rId17" o:title="FigS12_2"/>
            <o:lock v:ext="edit" aspectratio="t"/>
            <w10:wrap type="none"/>
            <w10:anchorlock/>
          </v:shape>
        </w:pict>
      </w:r>
    </w:p>
    <w:p>
      <w:pPr>
        <w:widowControl/>
        <w:jc w:val="both"/>
        <w:rPr>
          <w:rFonts w:ascii="Times New Roman" w:hAnsi="Times New Roman" w:cs="Times New Roman"/>
          <w:sz w:val="24"/>
        </w:rPr>
      </w:pPr>
      <w:r>
        <w:rPr>
          <w:rFonts w:ascii="Times New Roman" w:hAnsi="Times New Roman" w:cs="Times New Roman"/>
          <w:b/>
          <w:sz w:val="24"/>
        </w:rPr>
        <w:t>Supplementary Figure 12. High-quality peptide spectrum identified by PRM-MS assay. a</w:t>
      </w:r>
      <w:r>
        <w:rPr>
          <w:rFonts w:ascii="Times New Roman" w:hAnsi="Times New Roman" w:cs="Times New Roman"/>
          <w:sz w:val="24"/>
        </w:rPr>
        <w:t xml:space="preserve"> GYMSDEGFLYVNSER</w:t>
      </w:r>
      <w:r>
        <w:rPr>
          <w:rFonts w:ascii="Times New Roman" w:hAnsi="Times New Roman" w:cs="Times New Roman"/>
          <w:i/>
          <w:sz w:val="24"/>
        </w:rPr>
        <w:t xml:space="preserve"> </w:t>
      </w:r>
      <w:r>
        <w:rPr>
          <w:rFonts w:ascii="Times New Roman" w:hAnsi="Times New Roman" w:cs="Times New Roman"/>
          <w:iCs/>
          <w:sz w:val="24"/>
        </w:rPr>
        <w:t xml:space="preserve">is </w:t>
      </w:r>
      <w:r>
        <w:rPr>
          <w:rFonts w:ascii="Times New Roman" w:hAnsi="Times New Roman" w:cs="Times New Roman"/>
          <w:sz w:val="24"/>
        </w:rPr>
        <w:t xml:space="preserve">the unique peptide of Ssk in the RAL-399 and RAL-427 lines. </w:t>
      </w:r>
      <w:r>
        <w:rPr>
          <w:rFonts w:ascii="Times New Roman" w:hAnsi="Times New Roman" w:cs="Times New Roman"/>
          <w:b/>
          <w:sz w:val="24"/>
        </w:rPr>
        <w:t>b</w:t>
      </w:r>
      <w:r>
        <w:rPr>
          <w:rFonts w:ascii="Times New Roman" w:hAnsi="Times New Roman" w:cs="Times New Roman"/>
          <w:sz w:val="24"/>
        </w:rPr>
        <w:t xml:space="preserve"> GHISDEGFLYVNSER is the unique peptide of Ssk-FB4 (chrX: 2.7 Mb) in the RAL-399 and RAL-427 lines. </w:t>
      </w:r>
      <w:r>
        <w:rPr>
          <w:rFonts w:ascii="Times New Roman" w:hAnsi="Times New Roman" w:cs="Times New Roman"/>
          <w:b/>
          <w:sz w:val="24"/>
        </w:rPr>
        <w:t>c</w:t>
      </w:r>
      <w:r>
        <w:rPr>
          <w:rFonts w:ascii="Times New Roman" w:hAnsi="Times New Roman" w:cs="Times New Roman"/>
          <w:sz w:val="24"/>
        </w:rPr>
        <w:t xml:space="preserve"> LINNLVIIFLYR is the unique peptide of Ssk-FB4 (chrX:</w:t>
      </w:r>
      <w:r>
        <w:rPr>
          <w:rFonts w:hint="eastAsia" w:ascii="Times New Roman" w:hAnsi="Times New Roman" w:cs="Times New Roman"/>
          <w:sz w:val="24"/>
        </w:rPr>
        <w:t xml:space="preserve"> </w:t>
      </w:r>
      <w:r>
        <w:rPr>
          <w:rFonts w:ascii="Times New Roman" w:hAnsi="Times New Roman" w:cs="Times New Roman"/>
          <w:sz w:val="24"/>
        </w:rPr>
        <w:t xml:space="preserve">2.7 Mb) in the RAL-399 line and Ssk-FB4 (chr3R: 17.7 Mb_TD) in the RAL-379 line. </w:t>
      </w:r>
      <w:r>
        <w:rPr>
          <w:rFonts w:ascii="Times New Roman" w:hAnsi="Times New Roman" w:cs="Times New Roman"/>
          <w:b/>
          <w:sz w:val="24"/>
        </w:rPr>
        <w:t>d</w:t>
      </w:r>
      <w:r>
        <w:rPr>
          <w:rFonts w:ascii="Times New Roman" w:hAnsi="Times New Roman" w:cs="Times New Roman"/>
          <w:sz w:val="24"/>
        </w:rPr>
        <w:t xml:space="preserve"> LINNLVIIILYR is the unique peptide of Ssk-FB4 (chr3R: 17.7 Mb) in the RAL-379 line. In Panels a-d, the N- and C-terminal collision-induced dissociation fragment ions are shown by the b and y series, respectively. Taking Panel d as an example, high-quality ions (y5-y10, b4) are shown as individual peaks, and y10 and b4 are interpreted as NNLVIIILYR and LINN, respectively. Similar to y10, y5 to y9 are interpreted accordingly. Altogether, a peptide, </w:t>
      </w:r>
      <w:r>
        <w:rPr>
          <w:rFonts w:ascii="Times New Roman" w:hAnsi="Times New Roman" w:cs="Times New Roman"/>
          <w:i/>
          <w:sz w:val="24"/>
        </w:rPr>
        <w:t>i.e.</w:t>
      </w:r>
      <w:r>
        <w:rPr>
          <w:rFonts w:ascii="Times New Roman" w:hAnsi="Times New Roman" w:cs="Times New Roman"/>
          <w:sz w:val="24"/>
        </w:rPr>
        <w:t>, LINNLVIIILYR could be jointly called.</w:t>
      </w:r>
    </w:p>
    <w:p>
      <w:pPr>
        <w:widowControl/>
        <w:jc w:val="both"/>
        <w:rPr>
          <w:rFonts w:ascii="Times New Roman" w:hAnsi="Times New Roman" w:cs="Times New Roman"/>
          <w:sz w:val="24"/>
        </w:rPr>
      </w:pPr>
      <w:r>
        <w:rPr>
          <w:rFonts w:ascii="Times New Roman" w:hAnsi="Times New Roman" w:cs="Times New Roman"/>
          <w:sz w:val="24"/>
        </w:rPr>
        <w:br w:type="page"/>
      </w:r>
      <w:r>
        <w:rPr>
          <w:rFonts w:ascii="Times New Roman" w:hAnsi="Times New Roman" w:cs="Times New Roman"/>
          <w:sz w:val="24"/>
        </w:rPr>
        <w:pict>
          <v:shape id="_x0000_i1034" o:spt="75" type="#_x0000_t75" style="height:535.5pt;width:340pt;" filled="f" o:preferrelative="t" stroked="f" coordsize="21600,21600">
            <v:path/>
            <v:fill on="f" focussize="0,0"/>
            <v:stroke on="f" joinstyle="miter"/>
            <v:imagedata r:id="rId18" o:title="FigS13"/>
            <o:lock v:ext="edit" aspectratio="t"/>
            <w10:wrap type="none"/>
            <w10:anchorlock/>
          </v:shape>
        </w:pict>
      </w:r>
    </w:p>
    <w:p>
      <w:pPr>
        <w:widowControl/>
        <w:jc w:val="both"/>
        <w:rPr>
          <w:rFonts w:ascii="Times New Roman" w:hAnsi="Times New Roman" w:cs="Times New Roman"/>
          <w:sz w:val="24"/>
        </w:rPr>
      </w:pPr>
      <w:r>
        <w:rPr>
          <w:rFonts w:ascii="Times New Roman" w:hAnsi="Times New Roman" w:cs="Times New Roman"/>
          <w:b/>
          <w:sz w:val="24"/>
        </w:rPr>
        <w:t xml:space="preserve">Supplementary Figure 13. Illustrative </w:t>
      </w:r>
      <w:r>
        <w:rPr>
          <w:rFonts w:hint="eastAsia" w:ascii="Times New Roman" w:hAnsi="Times New Roman" w:cs="Times New Roman"/>
          <w:b/>
          <w:sz w:val="24"/>
        </w:rPr>
        <w:t>cartoons</w:t>
      </w:r>
      <w:r>
        <w:rPr>
          <w:rFonts w:ascii="Times New Roman" w:hAnsi="Times New Roman" w:cs="Times New Roman"/>
          <w:b/>
          <w:sz w:val="24"/>
        </w:rPr>
        <w:t xml:space="preserve"> of signatures associated with positive selection acting on </w:t>
      </w:r>
      <w:r>
        <w:rPr>
          <w:rFonts w:ascii="Times New Roman" w:hAnsi="Times New Roman" w:cs="Times New Roman"/>
          <w:b/>
          <w:i/>
          <w:sz w:val="24"/>
        </w:rPr>
        <w:t>Ssk-FB4s</w:t>
      </w:r>
      <w:r>
        <w:rPr>
          <w:rFonts w:ascii="Times New Roman" w:hAnsi="Times New Roman" w:cs="Times New Roman"/>
          <w:b/>
          <w:sz w:val="24"/>
        </w:rPr>
        <w:t>. a</w:t>
      </w:r>
      <w:r>
        <w:rPr>
          <w:rFonts w:ascii="Times New Roman" w:hAnsi="Times New Roman" w:cs="Times New Roman"/>
          <w:sz w:val="24"/>
        </w:rPr>
        <w:t xml:space="preserve"> Nonsynonymous substitutions are enriched in one particular functional region (</w:t>
      </w:r>
      <w:r>
        <w:rPr>
          <w:rFonts w:ascii="Times New Roman" w:hAnsi="Times New Roman" w:cs="Times New Roman"/>
          <w:i/>
          <w:sz w:val="24"/>
        </w:rPr>
        <w:t>e.g.</w:t>
      </w:r>
      <w:r>
        <w:rPr>
          <w:rFonts w:ascii="Times New Roman" w:hAnsi="Times New Roman" w:cs="Times New Roman"/>
          <w:sz w:val="24"/>
        </w:rPr>
        <w:t xml:space="preserve">, extracellular region) relative to the even distribution of synonymous substitutions. </w:t>
      </w:r>
      <w:r>
        <w:rPr>
          <w:rFonts w:ascii="Times New Roman" w:hAnsi="Times New Roman" w:cs="Times New Roman"/>
          <w:b/>
          <w:sz w:val="24"/>
        </w:rPr>
        <w:t>b</w:t>
      </w:r>
      <w:r>
        <w:rPr>
          <w:rFonts w:ascii="Times New Roman" w:hAnsi="Times New Roman" w:cs="Times New Roman"/>
          <w:sz w:val="24"/>
        </w:rPr>
        <w:t xml:space="preserve"> Allele frequency distribution of </w:t>
      </w:r>
      <w:r>
        <w:rPr>
          <w:rFonts w:ascii="Times New Roman" w:hAnsi="Times New Roman" w:cs="Times New Roman"/>
          <w:i/>
          <w:sz w:val="24"/>
        </w:rPr>
        <w:t>FB4s</w:t>
      </w:r>
      <w:r>
        <w:rPr>
          <w:rFonts w:ascii="Times New Roman" w:hAnsi="Times New Roman" w:cs="Times New Roman"/>
          <w:sz w:val="24"/>
        </w:rPr>
        <w:t xml:space="preserve"> and </w:t>
      </w:r>
      <w:r>
        <w:rPr>
          <w:rFonts w:ascii="Times New Roman" w:hAnsi="Times New Roman" w:cs="Times New Roman"/>
          <w:i/>
          <w:sz w:val="24"/>
        </w:rPr>
        <w:t>Ssk-FB4</w:t>
      </w:r>
      <w:r>
        <w:rPr>
          <w:rFonts w:ascii="Times New Roman" w:hAnsi="Times New Roman" w:cs="Times New Roman"/>
          <w:sz w:val="24"/>
        </w:rPr>
        <w:t xml:space="preserve">. In the left panel, blue and red stars represent </w:t>
      </w:r>
      <w:r>
        <w:rPr>
          <w:rFonts w:ascii="Times New Roman" w:hAnsi="Times New Roman" w:cs="Times New Roman"/>
          <w:i/>
          <w:sz w:val="24"/>
        </w:rPr>
        <w:t>FB4s,</w:t>
      </w:r>
      <w:r>
        <w:rPr>
          <w:rFonts w:ascii="Times New Roman" w:hAnsi="Times New Roman" w:cs="Times New Roman"/>
          <w:sz w:val="24"/>
        </w:rPr>
        <w:t xml:space="preserve"> and one </w:t>
      </w:r>
      <w:r>
        <w:rPr>
          <w:rFonts w:ascii="Times New Roman" w:hAnsi="Times New Roman" w:cs="Times New Roman"/>
          <w:i/>
          <w:sz w:val="24"/>
        </w:rPr>
        <w:t>Ssk-FB4</w:t>
      </w:r>
      <w:r>
        <w:rPr>
          <w:rFonts w:ascii="Times New Roman" w:hAnsi="Times New Roman" w:cs="Times New Roman"/>
          <w:sz w:val="24"/>
        </w:rPr>
        <w:t xml:space="preserve"> insertion across lines, respectively. The frequency spectra of these mutations are summarized in the right panel with X and Y axis referring to the count of lines and proportion of the corresponding frequency groups. </w:t>
      </w:r>
      <w:r>
        <w:rPr>
          <w:rFonts w:ascii="Times New Roman" w:hAnsi="Times New Roman" w:cs="Times New Roman"/>
          <w:b/>
          <w:sz w:val="24"/>
        </w:rPr>
        <w:t>c</w:t>
      </w:r>
      <w:r>
        <w:rPr>
          <w:rFonts w:ascii="Times New Roman" w:hAnsi="Times New Roman" w:cs="Times New Roman"/>
          <w:sz w:val="24"/>
        </w:rPr>
        <w:t xml:space="preserve"> Mutation accumulation before and after selection. In the top panel, the red star represents </w:t>
      </w:r>
      <w:r>
        <w:rPr>
          <w:rFonts w:ascii="Times New Roman" w:hAnsi="Times New Roman" w:cs="Times New Roman"/>
          <w:i/>
          <w:sz w:val="24"/>
        </w:rPr>
        <w:t xml:space="preserve">Ssk-FB4 </w:t>
      </w:r>
      <w:r>
        <w:rPr>
          <w:rFonts w:ascii="Times New Roman" w:hAnsi="Times New Roman" w:cs="Times New Roman"/>
          <w:sz w:val="24"/>
        </w:rPr>
        <w:t xml:space="preserve">and blue dots represent flanking mutations before (left) and after (right) selection. The bottom panel shows the corresponding nucleotide diversity across sliding windows. Under positive selection, </w:t>
      </w:r>
      <w:r>
        <w:rPr>
          <w:rFonts w:ascii="Times New Roman" w:hAnsi="Times New Roman" w:cs="Times New Roman"/>
          <w:i/>
          <w:sz w:val="24"/>
        </w:rPr>
        <w:t>Ssk-FB4</w:t>
      </w:r>
      <w:r>
        <w:rPr>
          <w:rFonts w:ascii="Times New Roman" w:hAnsi="Times New Roman" w:cs="Times New Roman"/>
          <w:sz w:val="24"/>
        </w:rPr>
        <w:t xml:space="preserve"> will rapidly increase in frequency, and nearby linked alleles hitchhike along with it, leading to a decrease in the nucleotide diversity. This is particularly pronounced for the closely linked region due to a lack of recombination. We therefore selected synonymous substitutions with a similar allele frequency and a similar recombination rate as the neutral control to test the significance of the decrease (see also Methods).</w:t>
      </w:r>
    </w:p>
    <w:p>
      <w:pPr>
        <w:widowControl/>
        <w:jc w:val="both"/>
        <w:rPr>
          <w:rFonts w:ascii="Times New Roman" w:hAnsi="Times New Roman" w:cs="Times New Roman"/>
          <w:sz w:val="24"/>
        </w:rPr>
      </w:pPr>
    </w:p>
    <w:p>
      <w:pPr>
        <w:widowControl/>
        <w:jc w:val="both"/>
        <w:rPr>
          <w:rFonts w:ascii="Times New Roman" w:hAnsi="Times New Roman" w:cs="Times New Roman"/>
          <w:sz w:val="24"/>
        </w:rPr>
      </w:pPr>
      <w:r>
        <w:rPr>
          <w:rFonts w:ascii="Times New Roman" w:hAnsi="Times New Roman" w:cs="Times New Roman"/>
          <w:sz w:val="24"/>
        </w:rPr>
        <w:br w:type="page"/>
      </w:r>
    </w:p>
    <w:p>
      <w:pPr>
        <w:widowControl/>
        <w:jc w:val="both"/>
        <w:rPr>
          <w:rFonts w:ascii="Times New Roman" w:hAnsi="Times New Roman" w:cs="Times New Roman"/>
          <w:sz w:val="24"/>
        </w:rPr>
      </w:pPr>
      <w:r>
        <w:rPr>
          <w:rFonts w:ascii="Times New Roman" w:hAnsi="Times New Roman" w:cs="Times New Roman"/>
          <w:sz w:val="24"/>
        </w:rPr>
        <w:pict>
          <v:shape id="_x0000_i1035" o:spt="75" type="#_x0000_t75" style="height:496pt;width:395.5pt;" filled="f" o:preferrelative="t" stroked="f" coordsize="21600,21600">
            <v:path/>
            <v:fill on="f" focussize="0,0"/>
            <v:stroke on="f" joinstyle="miter"/>
            <v:imagedata r:id="rId19" o:title="FigS14"/>
            <o:lock v:ext="edit" aspectratio="t"/>
            <w10:wrap type="none"/>
            <w10:anchorlock/>
          </v:shape>
        </w:pict>
      </w:r>
    </w:p>
    <w:p>
      <w:pPr>
        <w:widowControl/>
        <w:spacing w:before="120"/>
        <w:jc w:val="both"/>
        <w:rPr>
          <w:rFonts w:ascii="Times New Roman" w:hAnsi="Times New Roman" w:cs="Times New Roman"/>
          <w:sz w:val="24"/>
        </w:rPr>
      </w:pPr>
      <w:r>
        <w:rPr>
          <w:rFonts w:ascii="Times New Roman" w:hAnsi="Times New Roman" w:cs="Times New Roman"/>
          <w:b/>
          <w:sz w:val="24"/>
        </w:rPr>
        <w:t xml:space="preserve">Supplementary Figure 14. Nonsynonymous and synonymous changes in </w:t>
      </w:r>
      <w:r>
        <w:rPr>
          <w:rFonts w:ascii="Times New Roman" w:hAnsi="Times New Roman" w:cs="Times New Roman"/>
          <w:b/>
          <w:i/>
          <w:sz w:val="24"/>
        </w:rPr>
        <w:t>Ssk-FB4s</w:t>
      </w:r>
      <w:r>
        <w:rPr>
          <w:rFonts w:ascii="Times New Roman" w:hAnsi="Times New Roman" w:cs="Times New Roman"/>
          <w:b/>
          <w:sz w:val="24"/>
        </w:rPr>
        <w:t>. a</w:t>
      </w:r>
      <w:r>
        <w:rPr>
          <w:rFonts w:ascii="Times New Roman" w:hAnsi="Times New Roman" w:cs="Times New Roman"/>
          <w:sz w:val="24"/>
        </w:rPr>
        <w:t xml:space="preserve"> Alignment of </w:t>
      </w:r>
      <w:r>
        <w:rPr>
          <w:rFonts w:ascii="Times New Roman" w:hAnsi="Times New Roman" w:cs="Times New Roman"/>
          <w:i/>
          <w:iCs/>
          <w:sz w:val="24"/>
        </w:rPr>
        <w:t xml:space="preserve">Ssk-FB4s </w:t>
      </w:r>
      <w:r>
        <w:rPr>
          <w:rFonts w:ascii="Times New Roman" w:hAnsi="Times New Roman" w:cs="Times New Roman"/>
          <w:iCs/>
          <w:sz w:val="24"/>
        </w:rPr>
        <w:t>and</w:t>
      </w:r>
      <w:r>
        <w:rPr>
          <w:rFonts w:ascii="Times New Roman" w:hAnsi="Times New Roman" w:cs="Times New Roman"/>
          <w:i/>
          <w:iCs/>
          <w:sz w:val="24"/>
        </w:rPr>
        <w:t xml:space="preserve"> Ssks. </w:t>
      </w:r>
      <w:r>
        <w:rPr>
          <w:rFonts w:ascii="Times New Roman" w:hAnsi="Times New Roman" w:cs="Times New Roman"/>
          <w:sz w:val="24"/>
        </w:rPr>
        <w:t>The red stars indicate the amino acid changes in S</w:t>
      </w:r>
      <w:r>
        <w:rPr>
          <w:rFonts w:ascii="Times New Roman" w:hAnsi="Times New Roman" w:cs="Times New Roman"/>
          <w:i/>
          <w:iCs/>
          <w:sz w:val="24"/>
        </w:rPr>
        <w:t>sk-FB4s</w:t>
      </w:r>
      <w:r>
        <w:rPr>
          <w:rFonts w:ascii="Times New Roman" w:hAnsi="Times New Roman" w:cs="Times New Roman"/>
          <w:sz w:val="24"/>
        </w:rPr>
        <w:t xml:space="preserve">. Four </w:t>
      </w:r>
      <w:r>
        <w:rPr>
          <w:rFonts w:ascii="Times New Roman" w:hAnsi="Times New Roman" w:cs="Times New Roman"/>
          <w:iCs/>
          <w:sz w:val="24"/>
        </w:rPr>
        <w:t xml:space="preserve">transmembrane (TM) domains are framed. The numbers refer to individual DGRP lines, whereas “iso1” refers to the reference line. </w:t>
      </w:r>
      <w:r>
        <w:rPr>
          <w:rFonts w:ascii="Times New Roman" w:hAnsi="Times New Roman" w:cs="Times New Roman"/>
          <w:b/>
          <w:sz w:val="24"/>
        </w:rPr>
        <w:t>b-c</w:t>
      </w:r>
      <w:r>
        <w:rPr>
          <w:rFonts w:ascii="Times New Roman" w:hAnsi="Times New Roman" w:cs="Times New Roman"/>
          <w:sz w:val="24"/>
        </w:rPr>
        <w:t xml:space="preserve"> Schematic show of the </w:t>
      </w:r>
      <w:r>
        <w:rPr>
          <w:rFonts w:ascii="Times New Roman" w:hAnsi="Times New Roman" w:cs="Times New Roman"/>
          <w:iCs/>
          <w:sz w:val="24"/>
        </w:rPr>
        <w:t>Ssk-FB4</w:t>
      </w:r>
      <w:r>
        <w:rPr>
          <w:rFonts w:ascii="Times New Roman" w:hAnsi="Times New Roman" w:cs="Times New Roman"/>
          <w:sz w:val="24"/>
        </w:rPr>
        <w:t xml:space="preserve"> protein (</w:t>
      </w:r>
      <w:r>
        <w:rPr>
          <w:rFonts w:ascii="Times New Roman" w:hAnsi="Times New Roman" w:cs="Times New Roman"/>
          <w:b/>
          <w:sz w:val="24"/>
        </w:rPr>
        <w:t>b</w:t>
      </w:r>
      <w:r>
        <w:rPr>
          <w:rFonts w:ascii="Times New Roman" w:hAnsi="Times New Roman" w:cs="Times New Roman"/>
          <w:sz w:val="24"/>
        </w:rPr>
        <w:t>) or Ssk protein (</w:t>
      </w:r>
      <w:r>
        <w:rPr>
          <w:rFonts w:ascii="Times New Roman" w:hAnsi="Times New Roman" w:cs="Times New Roman"/>
          <w:b/>
          <w:sz w:val="24"/>
        </w:rPr>
        <w:t>c</w:t>
      </w:r>
      <w:r>
        <w:rPr>
          <w:rFonts w:ascii="Times New Roman" w:hAnsi="Times New Roman" w:cs="Times New Roman"/>
          <w:sz w:val="24"/>
        </w:rPr>
        <w:t xml:space="preserve">). The red dots represent amino acid changes among different domains. </w:t>
      </w:r>
      <w:r>
        <w:rPr>
          <w:rFonts w:ascii="Times New Roman" w:hAnsi="Times New Roman" w:cs="Times New Roman"/>
          <w:b/>
          <w:sz w:val="24"/>
        </w:rPr>
        <w:t>d</w:t>
      </w:r>
      <w:r>
        <w:rPr>
          <w:rFonts w:ascii="Times New Roman" w:hAnsi="Times New Roman" w:cs="Times New Roman"/>
          <w:sz w:val="24"/>
        </w:rPr>
        <w:t xml:space="preserve"> Phylogenetic tree of </w:t>
      </w:r>
      <w:r>
        <w:rPr>
          <w:rFonts w:ascii="Times New Roman" w:hAnsi="Times New Roman" w:cs="Times New Roman"/>
          <w:i/>
          <w:iCs/>
          <w:sz w:val="24"/>
        </w:rPr>
        <w:t>Ssk-FB4s</w:t>
      </w:r>
      <w:r>
        <w:rPr>
          <w:rFonts w:ascii="Times New Roman" w:hAnsi="Times New Roman" w:cs="Times New Roman"/>
          <w:sz w:val="24"/>
        </w:rPr>
        <w:t xml:space="preserve"> with nonsynonymous (blue) and synonymous (gray) SNPs</w:t>
      </w:r>
      <w:r>
        <w:rPr>
          <w:rFonts w:ascii="Times New Roman" w:hAnsi="Times New Roman" w:cs="Times New Roman"/>
          <w:iCs/>
          <w:sz w:val="24"/>
          <w:vertAlign w:val="subscript"/>
        </w:rPr>
        <w:t xml:space="preserve"> </w:t>
      </w:r>
      <w:r>
        <w:rPr>
          <w:rFonts w:ascii="Times New Roman" w:hAnsi="Times New Roman" w:cs="Times New Roman"/>
          <w:iCs/>
          <w:sz w:val="24"/>
        </w:rPr>
        <w:t>labeled on the branches</w:t>
      </w:r>
      <w:r>
        <w:rPr>
          <w:rFonts w:ascii="Times New Roman" w:hAnsi="Times New Roman" w:cs="Times New Roman"/>
          <w:sz w:val="24"/>
        </w:rPr>
        <w:t>. The 23</w:t>
      </w:r>
      <w:r>
        <w:rPr>
          <w:rFonts w:ascii="Times New Roman" w:hAnsi="Times New Roman" w:cs="Times New Roman"/>
          <w:sz w:val="24"/>
          <w:vertAlign w:val="superscript"/>
        </w:rPr>
        <w:t>rd</w:t>
      </w:r>
      <w:r>
        <w:rPr>
          <w:rFonts w:ascii="Times New Roman" w:hAnsi="Times New Roman" w:cs="Times New Roman"/>
          <w:sz w:val="24"/>
        </w:rPr>
        <w:t xml:space="preserve"> codon had a back mutation in </w:t>
      </w:r>
      <w:r>
        <w:rPr>
          <w:rFonts w:ascii="Times New Roman" w:hAnsi="Times New Roman" w:cs="Times New Roman"/>
          <w:i/>
          <w:iCs/>
          <w:sz w:val="24"/>
        </w:rPr>
        <w:t xml:space="preserve">Ssk-FB4 </w:t>
      </w:r>
      <w:r>
        <w:rPr>
          <w:rFonts w:ascii="Times New Roman" w:hAnsi="Times New Roman" w:cs="Times New Roman"/>
          <w:sz w:val="24"/>
        </w:rPr>
        <w:t xml:space="preserve">at chr3R: 17.7 Mb in line 732. </w:t>
      </w:r>
      <w:r>
        <w:rPr>
          <w:rFonts w:ascii="Times New Roman" w:hAnsi="Times New Roman" w:cs="Times New Roman"/>
          <w:b/>
          <w:sz w:val="24"/>
        </w:rPr>
        <w:t>e</w:t>
      </w:r>
      <w:r>
        <w:rPr>
          <w:rFonts w:ascii="Times New Roman" w:hAnsi="Times New Roman" w:cs="Times New Roman"/>
          <w:sz w:val="24"/>
        </w:rPr>
        <w:t xml:space="preserve"> Phylogenetic tree of the </w:t>
      </w:r>
      <w:r>
        <w:rPr>
          <w:rFonts w:ascii="Times New Roman" w:hAnsi="Times New Roman" w:cs="Times New Roman"/>
          <w:i/>
          <w:sz w:val="24"/>
        </w:rPr>
        <w:t>Drosophila</w:t>
      </w:r>
      <w:r>
        <w:rPr>
          <w:rFonts w:ascii="Times New Roman" w:hAnsi="Times New Roman" w:cs="Times New Roman"/>
          <w:sz w:val="24"/>
        </w:rPr>
        <w:t xml:space="preserve"> genus with </w:t>
      </w:r>
      <w:r>
        <w:rPr>
          <w:rFonts w:ascii="Times New Roman" w:hAnsi="Times New Roman" w:cs="Times New Roman"/>
          <w:i/>
          <w:sz w:val="24"/>
        </w:rPr>
        <w:t>K</w:t>
      </w:r>
      <w:r>
        <w:rPr>
          <w:rFonts w:ascii="Times New Roman" w:hAnsi="Times New Roman" w:cs="Times New Roman"/>
          <w:i/>
          <w:sz w:val="24"/>
          <w:vertAlign w:val="subscript"/>
        </w:rPr>
        <w:t>a</w:t>
      </w:r>
      <w:r>
        <w:rPr>
          <w:rFonts w:ascii="Times New Roman" w:hAnsi="Times New Roman" w:cs="Times New Roman"/>
          <w:i/>
          <w:sz w:val="24"/>
        </w:rPr>
        <w:t>/K</w:t>
      </w:r>
      <w:r>
        <w:rPr>
          <w:rFonts w:ascii="Times New Roman" w:hAnsi="Times New Roman" w:cs="Times New Roman"/>
          <w:i/>
          <w:sz w:val="24"/>
          <w:vertAlign w:val="subscript"/>
        </w:rPr>
        <w:t>s</w:t>
      </w:r>
      <w:r>
        <w:rPr>
          <w:rFonts w:ascii="Times New Roman" w:hAnsi="Times New Roman" w:cs="Times New Roman"/>
          <w:sz w:val="24"/>
        </w:rPr>
        <w:t xml:space="preserve"> labeled on each branch as “</w:t>
      </w:r>
      <w:r>
        <w:rPr>
          <w:rFonts w:ascii="Times New Roman" w:hAnsi="Times New Roman" w:cs="Times New Roman"/>
          <w:i/>
          <w:sz w:val="24"/>
        </w:rPr>
        <w:t>K</w:t>
      </w:r>
      <w:r>
        <w:rPr>
          <w:rFonts w:ascii="Times New Roman" w:hAnsi="Times New Roman" w:cs="Times New Roman"/>
          <w:i/>
          <w:sz w:val="24"/>
          <w:vertAlign w:val="subscript"/>
        </w:rPr>
        <w:t>a</w:t>
      </w:r>
      <w:r>
        <w:rPr>
          <w:rFonts w:ascii="Times New Roman" w:hAnsi="Times New Roman" w:cs="Times New Roman"/>
          <w:i/>
          <w:sz w:val="24"/>
        </w:rPr>
        <w:t>/K</w:t>
      </w:r>
      <w:r>
        <w:rPr>
          <w:rFonts w:ascii="Times New Roman" w:hAnsi="Times New Roman" w:cs="Times New Roman"/>
          <w:i/>
          <w:sz w:val="24"/>
          <w:vertAlign w:val="subscript"/>
        </w:rPr>
        <w:t>s</w:t>
      </w:r>
      <w:r>
        <w:rPr>
          <w:rFonts w:ascii="Times New Roman" w:hAnsi="Times New Roman" w:cs="Times New Roman"/>
          <w:sz w:val="24"/>
        </w:rPr>
        <w:t xml:space="preserve"> value: number of nonsynonymous substitutions/number of synonymous substitutions”.</w:t>
      </w:r>
    </w:p>
    <w:p>
      <w:pPr>
        <w:widowControl/>
        <w:jc w:val="both"/>
        <w:rPr>
          <w:rFonts w:ascii="Times New Roman" w:hAnsi="Times New Roman" w:cs="Times New Roman"/>
          <w:sz w:val="24"/>
        </w:rPr>
      </w:pPr>
      <w:r>
        <w:rPr>
          <w:rFonts w:ascii="Times New Roman" w:hAnsi="Times New Roman" w:cs="Times New Roman"/>
          <w:sz w:val="24"/>
        </w:rPr>
        <w:br w:type="page"/>
      </w:r>
    </w:p>
    <w:p>
      <w:pPr>
        <w:widowControl/>
        <w:jc w:val="both"/>
        <w:rPr>
          <w:rFonts w:ascii="Times New Roman" w:hAnsi="Times New Roman" w:cs="Times New Roman"/>
          <w:b/>
          <w:sz w:val="24"/>
        </w:rPr>
      </w:pPr>
      <w:r>
        <w:rPr>
          <w:rFonts w:ascii="Times New Roman" w:hAnsi="Times New Roman" w:cs="Times New Roman"/>
          <w:b/>
          <w:sz w:val="24"/>
        </w:rPr>
        <w:pict>
          <v:shape id="_x0000_i1036" o:spt="75" type="#_x0000_t75" style="height:335.5pt;width:415.5pt;" filled="f" o:preferrelative="t" stroked="f" coordsize="21600,21600">
            <v:path/>
            <v:fill on="f" focussize="0,0"/>
            <v:stroke on="f" joinstyle="miter"/>
            <v:imagedata r:id="rId20" o:title="FigS15_1"/>
            <o:lock v:ext="edit" aspectratio="t"/>
            <w10:wrap type="none"/>
            <w10:anchorlock/>
          </v:shape>
        </w:pict>
      </w:r>
    </w:p>
    <w:p>
      <w:pPr>
        <w:widowControl/>
        <w:jc w:val="both"/>
        <w:rPr>
          <w:rFonts w:ascii="Times New Roman" w:hAnsi="Times New Roman" w:cs="Times New Roman"/>
          <w:sz w:val="24"/>
        </w:rPr>
      </w:pPr>
      <w:r>
        <w:rPr>
          <w:rFonts w:ascii="Times New Roman" w:hAnsi="Times New Roman" w:cs="Times New Roman"/>
          <w:b/>
          <w:sz w:val="24"/>
        </w:rPr>
        <w:t>Supplementary Figure 15. Signature of positive selection acting on S</w:t>
      </w:r>
      <w:r>
        <w:rPr>
          <w:rFonts w:ascii="Times New Roman" w:hAnsi="Times New Roman" w:cs="Times New Roman"/>
          <w:b/>
          <w:i/>
          <w:iCs/>
          <w:sz w:val="24"/>
        </w:rPr>
        <w:t>sk-FB4s</w:t>
      </w:r>
      <w:r>
        <w:rPr>
          <w:rFonts w:ascii="Times New Roman" w:hAnsi="Times New Roman" w:cs="Times New Roman"/>
          <w:b/>
          <w:sz w:val="24"/>
        </w:rPr>
        <w:t>. a</w:t>
      </w:r>
      <w:r>
        <w:rPr>
          <w:rFonts w:ascii="Times New Roman" w:hAnsi="Times New Roman" w:cs="Times New Roman"/>
          <w:sz w:val="24"/>
        </w:rPr>
        <w:t xml:space="preserve"> Allele frequency distribution of </w:t>
      </w:r>
      <w:r>
        <w:rPr>
          <w:rFonts w:ascii="Times New Roman" w:hAnsi="Times New Roman" w:cs="Times New Roman"/>
          <w:i/>
          <w:iCs/>
          <w:sz w:val="24"/>
        </w:rPr>
        <w:t>FB4s</w:t>
      </w:r>
      <w:r>
        <w:rPr>
          <w:rFonts w:ascii="Times New Roman" w:hAnsi="Times New Roman" w:cs="Times New Roman"/>
          <w:sz w:val="24"/>
        </w:rPr>
        <w:t xml:space="preserve"> and </w:t>
      </w:r>
      <w:r>
        <w:rPr>
          <w:rFonts w:ascii="Times New Roman" w:hAnsi="Times New Roman" w:cs="Times New Roman"/>
          <w:i/>
          <w:sz w:val="24"/>
        </w:rPr>
        <w:t>Ssk-FB4s</w:t>
      </w:r>
      <w:r>
        <w:rPr>
          <w:rFonts w:ascii="Times New Roman" w:hAnsi="Times New Roman" w:cs="Times New Roman"/>
          <w:sz w:val="24"/>
        </w:rPr>
        <w:t xml:space="preserve"> in 177 DGRP lines. This panel is similar to Fig. 5D with the exception that a different frequency dataset of TEs was used (Methods). </w:t>
      </w:r>
      <w:r>
        <w:rPr>
          <w:rFonts w:ascii="Times New Roman" w:hAnsi="Times New Roman" w:cs="Times New Roman"/>
          <w:b/>
          <w:sz w:val="24"/>
        </w:rPr>
        <w:t>b-c</w:t>
      </w:r>
      <w:r>
        <w:rPr>
          <w:rFonts w:ascii="Times New Roman" w:hAnsi="Times New Roman" w:cs="Times New Roman"/>
          <w:sz w:val="24"/>
        </w:rPr>
        <w:t xml:space="preserve"> Sliding window of the nucleotide diversity (π) across the 50-kb region flanking S</w:t>
      </w:r>
      <w:r>
        <w:rPr>
          <w:rFonts w:ascii="Times New Roman" w:hAnsi="Times New Roman" w:cs="Times New Roman"/>
          <w:i/>
          <w:iCs/>
          <w:sz w:val="24"/>
        </w:rPr>
        <w:t xml:space="preserve">sk-FB4 </w:t>
      </w:r>
      <w:r>
        <w:rPr>
          <w:rFonts w:ascii="Times New Roman" w:hAnsi="Times New Roman" w:cs="Times New Roman"/>
          <w:sz w:val="24"/>
        </w:rPr>
        <w:t>at chrX: 2.7 Mb (</w:t>
      </w:r>
      <w:r>
        <w:rPr>
          <w:rFonts w:ascii="Times New Roman" w:hAnsi="Times New Roman" w:cs="Times New Roman"/>
          <w:b/>
          <w:sz w:val="24"/>
        </w:rPr>
        <w:t>b</w:t>
      </w:r>
      <w:r>
        <w:rPr>
          <w:rFonts w:ascii="Times New Roman" w:hAnsi="Times New Roman" w:cs="Times New Roman"/>
          <w:sz w:val="24"/>
        </w:rPr>
        <w:t>) or chr3R: 17.7 Mb (</w:t>
      </w:r>
      <w:r>
        <w:rPr>
          <w:rFonts w:ascii="Times New Roman" w:hAnsi="Times New Roman" w:cs="Times New Roman"/>
          <w:b/>
          <w:sz w:val="24"/>
        </w:rPr>
        <w:t>c</w:t>
      </w:r>
      <w:r>
        <w:rPr>
          <w:rFonts w:ascii="Times New Roman" w:hAnsi="Times New Roman" w:cs="Times New Roman"/>
          <w:sz w:val="24"/>
        </w:rPr>
        <w:t>). The dark red dashed line marks the position of S</w:t>
      </w:r>
      <w:r>
        <w:rPr>
          <w:rFonts w:ascii="Times New Roman" w:hAnsi="Times New Roman" w:cs="Times New Roman"/>
          <w:i/>
          <w:iCs/>
          <w:sz w:val="24"/>
        </w:rPr>
        <w:t>sk-FB4s</w:t>
      </w:r>
      <w:r>
        <w:rPr>
          <w:rFonts w:ascii="Times New Roman" w:hAnsi="Times New Roman" w:cs="Times New Roman"/>
          <w:iCs/>
          <w:sz w:val="24"/>
        </w:rPr>
        <w:t xml:space="preserve">. The </w:t>
      </w:r>
      <w:r>
        <w:rPr>
          <w:rFonts w:ascii="Times New Roman" w:hAnsi="Times New Roman" w:cs="Times New Roman"/>
          <w:sz w:val="24"/>
        </w:rPr>
        <w:t>window size and step size were 1 kb and 500 bp, respectively. The green line refers to lines with S</w:t>
      </w:r>
      <w:r>
        <w:rPr>
          <w:rFonts w:ascii="Times New Roman" w:hAnsi="Times New Roman" w:cs="Times New Roman"/>
          <w:i/>
          <w:iCs/>
          <w:sz w:val="24"/>
        </w:rPr>
        <w:t>sk-FB4s</w:t>
      </w:r>
      <w:r>
        <w:rPr>
          <w:rFonts w:ascii="Times New Roman" w:hAnsi="Times New Roman" w:cs="Times New Roman"/>
          <w:sz w:val="24"/>
        </w:rPr>
        <w:t>, whereas the light red line refers to a comparable random sample including the same number of lines without S</w:t>
      </w:r>
      <w:r>
        <w:rPr>
          <w:rFonts w:ascii="Times New Roman" w:hAnsi="Times New Roman" w:cs="Times New Roman"/>
          <w:i/>
          <w:iCs/>
          <w:sz w:val="24"/>
        </w:rPr>
        <w:t>sk-FB4s</w:t>
      </w:r>
      <w:r>
        <w:rPr>
          <w:rFonts w:ascii="Times New Roman" w:hAnsi="Times New Roman" w:cs="Times New Roman"/>
          <w:sz w:val="24"/>
        </w:rPr>
        <w:t xml:space="preserve">. The red lines with arrows mark the 5’ 10-kb region of </w:t>
      </w:r>
      <w:r>
        <w:rPr>
          <w:rFonts w:ascii="Times New Roman" w:hAnsi="Times New Roman" w:cs="Times New Roman"/>
          <w:i/>
          <w:iCs/>
          <w:sz w:val="24"/>
        </w:rPr>
        <w:t xml:space="preserve">Ssk-FB4 </w:t>
      </w:r>
      <w:r>
        <w:rPr>
          <w:rFonts w:ascii="Times New Roman" w:hAnsi="Times New Roman" w:cs="Times New Roman"/>
          <w:sz w:val="24"/>
        </w:rPr>
        <w:t xml:space="preserve">at chrX: 2.7 Mb and that of the 30-kb region of </w:t>
      </w:r>
      <w:r>
        <w:rPr>
          <w:rFonts w:ascii="Times New Roman" w:hAnsi="Times New Roman" w:cs="Times New Roman"/>
          <w:i/>
          <w:iCs/>
          <w:sz w:val="24"/>
        </w:rPr>
        <w:t>Ssk-FB4</w:t>
      </w:r>
      <w:r>
        <w:rPr>
          <w:rFonts w:ascii="Times New Roman" w:hAnsi="Times New Roman" w:cs="Times New Roman"/>
          <w:sz w:val="24"/>
        </w:rPr>
        <w:t xml:space="preserve"> at chr3R: 17.7 Mb, which show lower π and are thus potentially subject to selection sweep. </w:t>
      </w:r>
      <w:r>
        <w:rPr>
          <w:rFonts w:ascii="Times New Roman" w:hAnsi="Times New Roman" w:cs="Times New Roman"/>
          <w:b/>
          <w:sz w:val="24"/>
        </w:rPr>
        <w:t>d-e</w:t>
      </w:r>
      <w:r>
        <w:rPr>
          <w:rFonts w:ascii="Times New Roman" w:hAnsi="Times New Roman" w:cs="Times New Roman"/>
          <w:sz w:val="24"/>
        </w:rPr>
        <w:t xml:space="preserve"> Probability density distribution of the ratio (π</w:t>
      </w:r>
      <w:r>
        <w:rPr>
          <w:rFonts w:ascii="Times New Roman" w:hAnsi="Times New Roman" w:cs="Times New Roman"/>
          <w:sz w:val="24"/>
          <w:vertAlign w:val="subscript"/>
        </w:rPr>
        <w:t xml:space="preserve">without </w:t>
      </w:r>
      <w:r>
        <w:rPr>
          <w:rFonts w:ascii="Times New Roman" w:hAnsi="Times New Roman" w:cs="Times New Roman"/>
          <w:i/>
          <w:sz w:val="24"/>
          <w:vertAlign w:val="subscript"/>
        </w:rPr>
        <w:t>Ssk-FB4</w:t>
      </w:r>
      <w:r>
        <w:rPr>
          <w:rFonts w:ascii="Times New Roman" w:hAnsi="Times New Roman" w:cs="Times New Roman"/>
          <w:sz w:val="24"/>
        </w:rPr>
        <w:t>/π</w:t>
      </w:r>
      <w:r>
        <w:rPr>
          <w:rFonts w:ascii="Times New Roman" w:hAnsi="Times New Roman" w:cs="Times New Roman"/>
          <w:sz w:val="24"/>
          <w:vertAlign w:val="subscript"/>
        </w:rPr>
        <w:t xml:space="preserve">with </w:t>
      </w:r>
      <w:r>
        <w:rPr>
          <w:rFonts w:ascii="Times New Roman" w:hAnsi="Times New Roman" w:cs="Times New Roman"/>
          <w:i/>
          <w:sz w:val="24"/>
          <w:vertAlign w:val="subscript"/>
        </w:rPr>
        <w:t>Ssk-FB4</w:t>
      </w:r>
      <w:r>
        <w:rPr>
          <w:rFonts w:ascii="Times New Roman" w:hAnsi="Times New Roman" w:cs="Times New Roman"/>
          <w:sz w:val="24"/>
        </w:rPr>
        <w:t>) of synonymous single nucleotide polymorphisms (SNPs) on chrX (</w:t>
      </w:r>
      <w:r>
        <w:rPr>
          <w:rFonts w:ascii="Times New Roman" w:hAnsi="Times New Roman" w:cs="Times New Roman"/>
          <w:b/>
          <w:sz w:val="24"/>
        </w:rPr>
        <w:t>d</w:t>
      </w:r>
      <w:r>
        <w:rPr>
          <w:rFonts w:ascii="Times New Roman" w:hAnsi="Times New Roman" w:cs="Times New Roman"/>
          <w:sz w:val="24"/>
        </w:rPr>
        <w:t>) or chr3R (</w:t>
      </w:r>
      <w:r>
        <w:rPr>
          <w:rFonts w:ascii="Times New Roman" w:hAnsi="Times New Roman" w:cs="Times New Roman"/>
          <w:b/>
          <w:sz w:val="24"/>
        </w:rPr>
        <w:t>e</w:t>
      </w:r>
      <w:r>
        <w:rPr>
          <w:rFonts w:ascii="Times New Roman" w:hAnsi="Times New Roman" w:cs="Times New Roman"/>
          <w:sz w:val="24"/>
        </w:rPr>
        <w:t>), which have a similar allele frequency and recombination rate as the corresponding S</w:t>
      </w:r>
      <w:r>
        <w:rPr>
          <w:rFonts w:ascii="Times New Roman" w:hAnsi="Times New Roman" w:cs="Times New Roman"/>
          <w:i/>
          <w:iCs/>
          <w:sz w:val="24"/>
        </w:rPr>
        <w:t>sk-FB4</w:t>
      </w:r>
      <w:r>
        <w:rPr>
          <w:rFonts w:ascii="Times New Roman" w:hAnsi="Times New Roman" w:cs="Times New Roman"/>
          <w:iCs/>
          <w:sz w:val="24"/>
        </w:rPr>
        <w:t xml:space="preserve"> copy (Methods)</w:t>
      </w:r>
      <w:r>
        <w:rPr>
          <w:rFonts w:ascii="Times New Roman" w:hAnsi="Times New Roman" w:cs="Times New Roman"/>
          <w:sz w:val="24"/>
        </w:rPr>
        <w:t>. The red dashed lines indicate the ratio (π</w:t>
      </w:r>
      <w:r>
        <w:rPr>
          <w:rFonts w:ascii="Times New Roman" w:hAnsi="Times New Roman" w:cs="Times New Roman"/>
          <w:sz w:val="24"/>
          <w:vertAlign w:val="subscript"/>
        </w:rPr>
        <w:t xml:space="preserve">without </w:t>
      </w:r>
      <w:r>
        <w:rPr>
          <w:rFonts w:ascii="Times New Roman" w:hAnsi="Times New Roman" w:cs="Times New Roman"/>
          <w:i/>
          <w:iCs/>
          <w:sz w:val="24"/>
          <w:vertAlign w:val="subscript"/>
        </w:rPr>
        <w:t>Ssk-FB4</w:t>
      </w:r>
      <w:r>
        <w:rPr>
          <w:rFonts w:ascii="Times New Roman" w:hAnsi="Times New Roman" w:cs="Times New Roman"/>
          <w:sz w:val="24"/>
        </w:rPr>
        <w:t>/π</w:t>
      </w:r>
      <w:r>
        <w:rPr>
          <w:rFonts w:ascii="Times New Roman" w:hAnsi="Times New Roman" w:cs="Times New Roman"/>
          <w:sz w:val="24"/>
          <w:vertAlign w:val="subscript"/>
        </w:rPr>
        <w:t xml:space="preserve">with </w:t>
      </w:r>
      <w:r>
        <w:rPr>
          <w:rFonts w:ascii="Times New Roman" w:hAnsi="Times New Roman" w:cs="Times New Roman"/>
          <w:i/>
          <w:iCs/>
          <w:sz w:val="24"/>
          <w:vertAlign w:val="subscript"/>
        </w:rPr>
        <w:t>Ssk-FB4</w:t>
      </w:r>
      <w:r>
        <w:rPr>
          <w:rFonts w:ascii="Times New Roman" w:hAnsi="Times New Roman" w:cs="Times New Roman"/>
          <w:sz w:val="24"/>
        </w:rPr>
        <w:t xml:space="preserve">) of the 5’ 10-kb region at chrX: 2.7 Mb and that of the 30-kb region at chr3R: 17.7 Mb. </w:t>
      </w:r>
      <w:r>
        <w:rPr>
          <w:rFonts w:ascii="Times New Roman" w:hAnsi="Times New Roman" w:cs="Times New Roman"/>
          <w:i/>
          <w:sz w:val="24"/>
        </w:rPr>
        <w:t>P</w:t>
      </w:r>
      <w:r>
        <w:rPr>
          <w:rFonts w:ascii="Times New Roman" w:hAnsi="Times New Roman" w:cs="Times New Roman"/>
          <w:sz w:val="24"/>
        </w:rPr>
        <w:t xml:space="preserve">-values are calculated based on random sampling (see also Methods). Note: the 5’-only sweeping and smaller window size of X-linked </w:t>
      </w:r>
      <w:r>
        <w:rPr>
          <w:rFonts w:ascii="Times New Roman" w:hAnsi="Times New Roman" w:cs="Times New Roman"/>
          <w:i/>
          <w:iCs/>
          <w:sz w:val="24"/>
        </w:rPr>
        <w:t>Ssk-FB4</w:t>
      </w:r>
      <w:r>
        <w:rPr>
          <w:rFonts w:ascii="Times New Roman" w:hAnsi="Times New Roman" w:cs="Times New Roman"/>
          <w:iCs/>
          <w:sz w:val="24"/>
        </w:rPr>
        <w:t xml:space="preserve"> could be due to the higher local recombination rate compared with that of the 3R-linked copy (2.6 cM/Mb </w:t>
      </w:r>
      <w:r>
        <w:rPr>
          <w:rFonts w:ascii="Times New Roman" w:hAnsi="Times New Roman" w:cs="Times New Roman"/>
          <w:i/>
          <w:sz w:val="24"/>
        </w:rPr>
        <w:t>vs.</w:t>
      </w:r>
      <w:r>
        <w:rPr>
          <w:rFonts w:ascii="Times New Roman" w:hAnsi="Times New Roman" w:cs="Times New Roman"/>
          <w:iCs/>
          <w:sz w:val="24"/>
        </w:rPr>
        <w:t xml:space="preserve"> 1.6 cM/Mb, data from </w:t>
      </w:r>
      <w:r>
        <w:rPr>
          <w:rFonts w:ascii="Times New Roman" w:hAnsi="Times New Roman" w:cs="Times New Roman"/>
          <w:iCs/>
          <w:sz w:val="24"/>
          <w:vertAlign w:val="superscript"/>
        </w:rPr>
        <w:t>1</w:t>
      </w:r>
      <w:r>
        <w:rPr>
          <w:rFonts w:ascii="Times New Roman" w:hAnsi="Times New Roman" w:cs="Times New Roman"/>
          <w:iCs/>
          <w:sz w:val="24"/>
        </w:rPr>
        <w:t>).</w:t>
      </w:r>
    </w:p>
    <w:p>
      <w:pPr>
        <w:widowControl/>
        <w:jc w:val="both"/>
        <w:rPr>
          <w:rFonts w:ascii="Times New Roman" w:hAnsi="Times New Roman" w:cs="Times New Roman"/>
          <w:sz w:val="24"/>
        </w:rPr>
      </w:pPr>
      <w:r>
        <w:rPr>
          <w:rFonts w:ascii="Times New Roman" w:hAnsi="Times New Roman" w:cs="Times New Roman"/>
          <w:sz w:val="24"/>
        </w:rPr>
        <w:br w:type="page"/>
      </w:r>
      <w:r>
        <w:rPr>
          <w:rFonts w:ascii="Times New Roman" w:hAnsi="Times New Roman" w:cs="Times New Roman"/>
          <w:sz w:val="24"/>
        </w:rPr>
        <w:pict>
          <v:shape id="_x0000_i1037" o:spt="75" type="#_x0000_t75" style="height:243.5pt;width:370pt;" filled="f" o:preferrelative="t" stroked="f" coordsize="21600,21600">
            <v:path/>
            <v:fill on="f" focussize="0,0"/>
            <v:stroke on="f" joinstyle="miter"/>
            <v:imagedata r:id="rId21" o:title="FigS16"/>
            <o:lock v:ext="edit" aspectratio="t"/>
            <w10:wrap type="none"/>
            <w10:anchorlock/>
          </v:shape>
        </w:pict>
      </w:r>
      <w:r>
        <w:rPr>
          <w:rFonts w:ascii="Times New Roman" w:hAnsi="Times New Roman" w:cs="Times New Roman"/>
          <w:sz w:val="24"/>
        </w:rPr>
        <w:t xml:space="preserve"> </w:t>
      </w:r>
    </w:p>
    <w:p>
      <w:pPr>
        <w:jc w:val="both"/>
        <w:rPr>
          <w:rFonts w:ascii="Times New Roman" w:hAnsi="Times New Roman" w:cs="Times New Roman"/>
          <w:sz w:val="24"/>
        </w:rPr>
      </w:pPr>
      <w:r>
        <w:rPr>
          <w:rFonts w:ascii="Times New Roman" w:hAnsi="Times New Roman" w:cs="Times New Roman"/>
          <w:b/>
          <w:sz w:val="24"/>
        </w:rPr>
        <w:t xml:space="preserve">Supplementary </w:t>
      </w:r>
      <w:r>
        <w:rPr>
          <w:rFonts w:ascii="Times New Roman" w:hAnsi="Times New Roman" w:cs="Times New Roman"/>
          <w:b/>
          <w:bCs/>
          <w:sz w:val="24"/>
        </w:rPr>
        <w:t xml:space="preserve">Figure 16. Expression of </w:t>
      </w:r>
      <w:r>
        <w:rPr>
          <w:rFonts w:ascii="Times New Roman" w:hAnsi="Times New Roman" w:cs="Times New Roman"/>
          <w:b/>
          <w:bCs/>
          <w:i/>
          <w:sz w:val="24"/>
        </w:rPr>
        <w:t>Ssk</w:t>
      </w:r>
      <w:r>
        <w:rPr>
          <w:rFonts w:ascii="Times New Roman" w:hAnsi="Times New Roman" w:cs="Times New Roman"/>
          <w:b/>
          <w:bCs/>
          <w:sz w:val="24"/>
        </w:rPr>
        <w:t xml:space="preserve">, </w:t>
      </w:r>
      <w:r>
        <w:rPr>
          <w:rFonts w:ascii="Times New Roman" w:hAnsi="Times New Roman" w:cs="Times New Roman"/>
          <w:b/>
          <w:bCs/>
          <w:i/>
          <w:iCs/>
          <w:sz w:val="24"/>
        </w:rPr>
        <w:t>Ssk-FB4s</w:t>
      </w:r>
      <w:r>
        <w:rPr>
          <w:rFonts w:ascii="Times New Roman" w:hAnsi="Times New Roman" w:cs="Times New Roman"/>
          <w:b/>
          <w:bCs/>
          <w:sz w:val="24"/>
        </w:rPr>
        <w:t xml:space="preserve">, </w:t>
      </w:r>
      <w:r>
        <w:rPr>
          <w:rFonts w:ascii="Times New Roman" w:hAnsi="Times New Roman" w:cs="Times New Roman"/>
          <w:b/>
          <w:bCs/>
          <w:i/>
          <w:sz w:val="24"/>
        </w:rPr>
        <w:t>mesh</w:t>
      </w:r>
      <w:r>
        <w:rPr>
          <w:rFonts w:ascii="Times New Roman" w:hAnsi="Times New Roman" w:cs="Times New Roman"/>
          <w:b/>
          <w:bCs/>
          <w:sz w:val="24"/>
        </w:rPr>
        <w:t xml:space="preserve"> and </w:t>
      </w:r>
      <w:r>
        <w:rPr>
          <w:rFonts w:ascii="Times New Roman" w:hAnsi="Times New Roman" w:cs="Times New Roman"/>
          <w:b/>
          <w:bCs/>
          <w:i/>
          <w:sz w:val="24"/>
        </w:rPr>
        <w:t>Tsp2A</w:t>
      </w:r>
      <w:r>
        <w:rPr>
          <w:rFonts w:ascii="Times New Roman" w:hAnsi="Times New Roman" w:cs="Times New Roman"/>
          <w:b/>
          <w:sz w:val="24"/>
        </w:rPr>
        <w:t xml:space="preserve"> in the whole body across 200 lines with</w:t>
      </w:r>
      <w:r>
        <w:rPr>
          <w:rFonts w:ascii="Times New Roman" w:hAnsi="Times New Roman" w:cs="Times New Roman"/>
          <w:b/>
          <w:i/>
          <w:iCs/>
          <w:sz w:val="24"/>
        </w:rPr>
        <w:t xml:space="preserve"> </w:t>
      </w:r>
      <w:r>
        <w:rPr>
          <w:rFonts w:ascii="Times New Roman" w:hAnsi="Times New Roman" w:cs="Times New Roman"/>
          <w:b/>
          <w:iCs/>
          <w:sz w:val="24"/>
        </w:rPr>
        <w:t>different</w:t>
      </w:r>
      <w:r>
        <w:rPr>
          <w:rFonts w:ascii="Times New Roman" w:hAnsi="Times New Roman" w:cs="Times New Roman"/>
          <w:b/>
          <w:sz w:val="24"/>
        </w:rPr>
        <w:t xml:space="preserve"> copy numbers of </w:t>
      </w:r>
      <w:r>
        <w:rPr>
          <w:rFonts w:ascii="Times New Roman" w:hAnsi="Times New Roman" w:cs="Times New Roman"/>
          <w:b/>
          <w:i/>
          <w:iCs/>
          <w:sz w:val="24"/>
        </w:rPr>
        <w:t>Ssk-FB4s</w:t>
      </w:r>
      <w:r>
        <w:rPr>
          <w:rFonts w:ascii="Times New Roman" w:hAnsi="Times New Roman" w:cs="Times New Roman"/>
          <w:b/>
          <w:sz w:val="24"/>
        </w:rPr>
        <w:t>.</w:t>
      </w:r>
      <w:r>
        <w:rPr>
          <w:rFonts w:ascii="Times New Roman" w:hAnsi="Times New Roman" w:cs="Times New Roman"/>
          <w:sz w:val="24"/>
        </w:rPr>
        <w:t xml:space="preserve"> The figure convention follows that of Fig. 5e. The distribution is shown as a violin plot as in Fig. 2f. We divided lines into three groups according to the copy number of </w:t>
      </w:r>
      <w:r>
        <w:rPr>
          <w:rFonts w:ascii="Times New Roman" w:hAnsi="Times New Roman" w:cs="Times New Roman"/>
          <w:i/>
          <w:sz w:val="24"/>
        </w:rPr>
        <w:t>Ssk-FB4s</w:t>
      </w:r>
      <w:r>
        <w:rPr>
          <w:rFonts w:ascii="Times New Roman" w:hAnsi="Times New Roman" w:cs="Times New Roman"/>
          <w:sz w:val="24"/>
        </w:rPr>
        <w:t>: 0 (</w:t>
      </w:r>
      <w:r>
        <w:rPr>
          <w:rFonts w:hint="eastAsia" w:ascii="Times New Roman" w:hAnsi="Times New Roman" w:cs="Times New Roman"/>
          <w:i/>
          <w:sz w:val="24"/>
        </w:rPr>
        <w:t>n</w:t>
      </w:r>
      <w:r>
        <w:rPr>
          <w:rFonts w:ascii="Times New Roman" w:hAnsi="Times New Roman" w:cs="Times New Roman"/>
          <w:sz w:val="24"/>
        </w:rPr>
        <w:t xml:space="preserve"> = 124 samples), 2 (</w:t>
      </w:r>
      <w:r>
        <w:rPr>
          <w:rFonts w:ascii="Times New Roman" w:hAnsi="Times New Roman" w:cs="Times New Roman"/>
          <w:i/>
          <w:sz w:val="24"/>
        </w:rPr>
        <w:t>n</w:t>
      </w:r>
      <w:r>
        <w:rPr>
          <w:rFonts w:ascii="Times New Roman" w:hAnsi="Times New Roman" w:cs="Times New Roman"/>
          <w:sz w:val="24"/>
        </w:rPr>
        <w:t xml:space="preserve"> = 54 samples), and 4 (</w:t>
      </w:r>
      <w:r>
        <w:rPr>
          <w:rFonts w:ascii="Times New Roman" w:hAnsi="Times New Roman" w:cs="Times New Roman"/>
          <w:i/>
          <w:sz w:val="24"/>
        </w:rPr>
        <w:t>n</w:t>
      </w:r>
      <w:r>
        <w:rPr>
          <w:rFonts w:ascii="Times New Roman" w:hAnsi="Times New Roman" w:cs="Times New Roman"/>
          <w:sz w:val="24"/>
        </w:rPr>
        <w:t xml:space="preserve"> = 7 samples). The one-sided Wilcoxon rank sum test was performed.</w:t>
      </w:r>
    </w:p>
    <w:p>
      <w:pPr>
        <w:widowControl/>
        <w:jc w:val="both"/>
        <w:rPr>
          <w:rFonts w:ascii="Times New Roman" w:hAnsi="Times New Roman" w:cs="Times New Roman"/>
          <w:sz w:val="24"/>
        </w:rPr>
      </w:pPr>
      <w:r>
        <w:rPr>
          <w:rFonts w:ascii="Times New Roman" w:hAnsi="Times New Roman" w:cs="Times New Roman"/>
          <w:sz w:val="24"/>
        </w:rPr>
        <w:br w:type="page"/>
      </w:r>
    </w:p>
    <w:p>
      <w:pPr>
        <w:widowControl/>
        <w:jc w:val="both"/>
        <w:rPr>
          <w:rFonts w:ascii="Times New Roman" w:hAnsi="Times New Roman" w:cs="Times New Roman"/>
          <w:sz w:val="24"/>
        </w:rPr>
      </w:pPr>
      <w:r>
        <w:rPr>
          <w:rFonts w:ascii="Times New Roman" w:hAnsi="Times New Roman" w:cs="Times New Roman"/>
          <w:sz w:val="24"/>
        </w:rPr>
        <w:pict>
          <v:shape id="_x0000_i1038" o:spt="75" type="#_x0000_t75" style="height:236.5pt;width:209pt;" filled="f" o:preferrelative="t" stroked="f" coordsize="21600,21600">
            <v:path/>
            <v:fill on="f" focussize="0,0"/>
            <v:stroke on="f" joinstyle="miter"/>
            <v:imagedata r:id="rId22" o:title="FigS17"/>
            <o:lock v:ext="edit" aspectratio="t"/>
            <w10:wrap type="none"/>
            <w10:anchorlock/>
          </v:shape>
        </w:pict>
      </w:r>
    </w:p>
    <w:p>
      <w:pPr>
        <w:jc w:val="both"/>
        <w:rPr>
          <w:rFonts w:ascii="Times New Roman" w:hAnsi="Times New Roman" w:cs="Times New Roman"/>
          <w:sz w:val="24"/>
        </w:rPr>
      </w:pPr>
      <w:r>
        <w:rPr>
          <w:rFonts w:ascii="Times New Roman" w:hAnsi="Times New Roman" w:cs="Times New Roman"/>
          <w:b/>
          <w:sz w:val="24"/>
        </w:rPr>
        <w:t>Supplementary Figure 17. GC content of parental copies and the corresponding host genome.</w:t>
      </w:r>
      <w:r>
        <w:rPr>
          <w:rFonts w:ascii="Times New Roman" w:hAnsi="Times New Roman" w:cs="Times New Roman"/>
          <w:sz w:val="24"/>
        </w:rPr>
        <w:t xml:space="preserve"> A total of 282 unique Pack-TIRs across 56 species are presented. The five colored dots represent multicopy Pack-TIRs in western clawed frogs (red), and American alligators (blue) and </w:t>
      </w:r>
      <w:r>
        <w:rPr>
          <w:rFonts w:ascii="Times New Roman" w:hAnsi="Times New Roman" w:cs="Times New Roman"/>
          <w:i/>
          <w:sz w:val="24"/>
        </w:rPr>
        <w:t>Ssk-FB4s</w:t>
      </w:r>
      <w:r>
        <w:rPr>
          <w:rFonts w:ascii="Times New Roman" w:hAnsi="Times New Roman" w:cs="Times New Roman"/>
          <w:sz w:val="24"/>
        </w:rPr>
        <w:t xml:space="preserve"> in fruit flies (</w:t>
      </w:r>
      <w:r>
        <w:rPr>
          <w:rFonts w:hint="eastAsia" w:ascii="Times New Roman" w:hAnsi="Times New Roman" w:cs="Times New Roman"/>
          <w:sz w:val="24"/>
        </w:rPr>
        <w:t>green</w:t>
      </w:r>
      <w:r>
        <w:rPr>
          <w:rFonts w:ascii="Times New Roman" w:hAnsi="Times New Roman" w:cs="Times New Roman"/>
          <w:sz w:val="24"/>
        </w:rPr>
        <w:t>). Four out of five cases showed a higher GC% relative to the genomic background.</w:t>
      </w:r>
    </w:p>
    <w:p>
      <w:pPr>
        <w:widowControl/>
        <w:jc w:val="both"/>
        <w:rPr>
          <w:rFonts w:ascii="Times New Roman" w:hAnsi="Times New Roman" w:cs="Times New Roman"/>
          <w:sz w:val="24"/>
        </w:rPr>
      </w:pPr>
      <w:r>
        <w:rPr>
          <w:rFonts w:ascii="Times New Roman" w:hAnsi="Times New Roman" w:cs="Times New Roman"/>
          <w:sz w:val="24"/>
        </w:rPr>
        <w:br w:type="page"/>
      </w:r>
    </w:p>
    <w:p>
      <w:pPr>
        <w:widowControl/>
        <w:jc w:val="both"/>
        <w:rPr>
          <w:rFonts w:ascii="Times New Roman" w:hAnsi="Times New Roman" w:cs="Times New Roman"/>
          <w:sz w:val="24"/>
        </w:rPr>
      </w:pPr>
      <w:r>
        <w:rPr>
          <w:rFonts w:ascii="Times New Roman" w:hAnsi="Times New Roman" w:cs="Times New Roman"/>
          <w:sz w:val="24"/>
        </w:rPr>
        <w:pict>
          <v:shape id="_x0000_i1039" o:spt="75" type="#_x0000_t75" style="height:254.5pt;width:413.5pt;" filled="f" o:preferrelative="t" stroked="f" coordsize="21600,21600">
            <v:path/>
            <v:fill on="f" focussize="0,0"/>
            <v:stroke on="f" joinstyle="miter"/>
            <v:imagedata r:id="rId23" o:title="FigS17"/>
            <o:lock v:ext="edit" aspectratio="t"/>
            <w10:wrap type="none"/>
            <w10:anchorlock/>
          </v:shape>
        </w:pict>
      </w:r>
    </w:p>
    <w:p>
      <w:pPr>
        <w:jc w:val="both"/>
        <w:rPr>
          <w:rFonts w:ascii="Times New Roman" w:hAnsi="Times New Roman" w:cs="Times New Roman"/>
          <w:sz w:val="24"/>
        </w:rPr>
      </w:pPr>
      <w:r>
        <w:rPr>
          <w:rFonts w:ascii="Times New Roman" w:hAnsi="Times New Roman" w:cs="Times New Roman"/>
          <w:b/>
          <w:sz w:val="24"/>
        </w:rPr>
        <w:t>Supplementary Figure 18. O</w:t>
      </w:r>
      <w:r>
        <w:rPr>
          <w:rFonts w:ascii="Times New Roman" w:hAnsi="Times New Roman" w:cs="Times New Roman"/>
          <w:b/>
          <w:iCs/>
          <w:sz w:val="24"/>
        </w:rPr>
        <w:t xml:space="preserve">ne demonstrative case in a western clawed frog </w:t>
      </w:r>
      <w:r>
        <w:rPr>
          <w:rFonts w:ascii="Times New Roman" w:hAnsi="Times New Roman" w:cs="Times New Roman"/>
          <w:b/>
          <w:sz w:val="24"/>
        </w:rPr>
        <w:t>associated with five transposition events.</w:t>
      </w:r>
      <w:r>
        <w:rPr>
          <w:rFonts w:ascii="Times New Roman" w:hAnsi="Times New Roman" w:cs="Times New Roman"/>
          <w:sz w:val="24"/>
        </w:rPr>
        <w:t xml:space="preserve"> The figure convention follows that of Fig. 1d. Frequent secondary deletions or duplications (light gray boxes) occurred and disrupted the canonical structure (internal sequences flanked by TIR TEs and TSDs) of Pack-TIRs.</w:t>
      </w:r>
    </w:p>
    <w:p>
      <w:pPr>
        <w:widowControl/>
        <w:jc w:val="both"/>
        <w:rPr>
          <w:rFonts w:ascii="Times New Roman" w:hAnsi="Times New Roman" w:cs="Times New Roman"/>
          <w:sz w:val="24"/>
        </w:rPr>
      </w:pPr>
      <w:r>
        <w:rPr>
          <w:rFonts w:ascii="Times New Roman" w:hAnsi="Times New Roman" w:cs="Times New Roman"/>
          <w:sz w:val="24"/>
        </w:rPr>
        <w:br w:type="page"/>
      </w:r>
    </w:p>
    <w:p>
      <w:pPr>
        <w:jc w:val="both"/>
        <w:rPr>
          <w:rFonts w:ascii="Times New Roman" w:hAnsi="Times New Roman" w:cs="Times New Roman"/>
          <w:sz w:val="24"/>
        </w:rPr>
      </w:pPr>
      <w:r>
        <w:rPr>
          <w:rFonts w:ascii="Times New Roman" w:hAnsi="Times New Roman" w:cs="Times New Roman"/>
          <w:sz w:val="24"/>
        </w:rPr>
        <w:pict>
          <v:shape id="_x0000_i1040" o:spt="75" type="#_x0000_t75" style="height:166pt;width:415pt;" filled="f" o:preferrelative="t" stroked="f" coordsize="21600,21600">
            <v:path/>
            <v:fill on="f" focussize="0,0"/>
            <v:stroke on="f" joinstyle="miter"/>
            <v:imagedata r:id="rId24" o:title="FigS19_1"/>
            <o:lock v:ext="edit" aspectratio="t"/>
            <w10:wrap type="none"/>
            <w10:anchorlock/>
          </v:shape>
        </w:pict>
      </w:r>
    </w:p>
    <w:p>
      <w:pPr>
        <w:widowControl/>
        <w:jc w:val="both"/>
        <w:rPr>
          <w:rFonts w:ascii="Times New Roman" w:hAnsi="Times New Roman" w:cs="Times New Roman"/>
          <w:sz w:val="24"/>
        </w:rPr>
      </w:pPr>
      <w:r>
        <w:rPr>
          <w:rFonts w:ascii="Times New Roman" w:hAnsi="Times New Roman" w:cs="Times New Roman"/>
          <w:b/>
          <w:sz w:val="24"/>
        </w:rPr>
        <w:t>Supplementary Figure 19. Survival status of DGRP lines infected with pathogens. a</w:t>
      </w:r>
      <w:r>
        <w:rPr>
          <w:rFonts w:ascii="Times New Roman" w:hAnsi="Times New Roman" w:cs="Times New Roman"/>
          <w:sz w:val="24"/>
        </w:rPr>
        <w:t xml:space="preserve"> DGRP lines infected with the WNV subtype Kunjin virus. Hazard ratio refers to the death rate of the infected group compared with control group</w:t>
      </w:r>
      <w:r>
        <w:rPr>
          <w:rFonts w:ascii="Times New Roman" w:hAnsi="Times New Roman" w:cs="Times New Roman"/>
          <w:i/>
          <w:sz w:val="24"/>
        </w:rPr>
        <w:t xml:space="preserve"> </w:t>
      </w:r>
      <w:r>
        <w:rPr>
          <w:rFonts w:ascii="Times New Roman" w:hAnsi="Times New Roman" w:cs="Times New Roman"/>
          <w:sz w:val="24"/>
        </w:rPr>
        <w:t>(</w:t>
      </w:r>
      <w:r>
        <w:rPr>
          <w:rFonts w:ascii="Times New Roman" w:hAnsi="Times New Roman" w:cs="Times New Roman"/>
          <w:i/>
          <w:sz w:val="24"/>
        </w:rPr>
        <w:t xml:space="preserve">n </w:t>
      </w:r>
      <w:r>
        <w:rPr>
          <w:rFonts w:ascii="Times New Roman" w:hAnsi="Times New Roman" w:cs="Times New Roman"/>
          <w:sz w:val="24"/>
        </w:rPr>
        <w:t xml:space="preserve">= 34 samples for flies with </w:t>
      </w:r>
      <w:r>
        <w:rPr>
          <w:rFonts w:ascii="Times New Roman" w:hAnsi="Times New Roman" w:cs="Times New Roman"/>
          <w:i/>
          <w:sz w:val="24"/>
        </w:rPr>
        <w:t>Ssk-FB4</w:t>
      </w:r>
      <w:r>
        <w:rPr>
          <w:rFonts w:ascii="Times New Roman" w:hAnsi="Times New Roman" w:cs="Times New Roman"/>
          <w:sz w:val="24"/>
        </w:rPr>
        <w:t xml:space="preserve">, and </w:t>
      </w:r>
      <w:r>
        <w:rPr>
          <w:rFonts w:ascii="Times New Roman" w:hAnsi="Times New Roman" w:cs="Times New Roman"/>
          <w:i/>
          <w:sz w:val="24"/>
        </w:rPr>
        <w:t>n</w:t>
      </w:r>
      <w:r>
        <w:rPr>
          <w:rFonts w:ascii="Times New Roman" w:hAnsi="Times New Roman" w:cs="Times New Roman"/>
          <w:sz w:val="24"/>
        </w:rPr>
        <w:t xml:space="preserve"> = 54 samples for flies without </w:t>
      </w:r>
      <w:r>
        <w:rPr>
          <w:rFonts w:ascii="Times New Roman" w:hAnsi="Times New Roman" w:cs="Times New Roman"/>
          <w:i/>
          <w:sz w:val="24"/>
        </w:rPr>
        <w:t>Ssk-FB4</w:t>
      </w:r>
      <w:r>
        <w:rPr>
          <w:rFonts w:ascii="Times New Roman" w:hAnsi="Times New Roman" w:cs="Times New Roman"/>
          <w:sz w:val="24"/>
        </w:rPr>
        <w:t xml:space="preserve">), and -log(hazard ratio) indicates the survival rate. </w:t>
      </w:r>
      <w:r>
        <w:rPr>
          <w:rFonts w:ascii="Times New Roman" w:hAnsi="Times New Roman" w:cs="Times New Roman"/>
          <w:b/>
          <w:sz w:val="24"/>
        </w:rPr>
        <w:t>b</w:t>
      </w:r>
      <w:r>
        <w:rPr>
          <w:rFonts w:ascii="Times New Roman" w:hAnsi="Times New Roman" w:cs="Times New Roman"/>
          <w:sz w:val="24"/>
        </w:rPr>
        <w:t xml:space="preserve"> DGRP lines infected with the bacterium </w:t>
      </w:r>
      <w:r>
        <w:rPr>
          <w:rFonts w:ascii="Times New Roman" w:hAnsi="Times New Roman" w:cs="Times New Roman"/>
          <w:i/>
          <w:sz w:val="24"/>
        </w:rPr>
        <w:t xml:space="preserve">Pseudomonas entomophila </w:t>
      </w:r>
      <w:r>
        <w:rPr>
          <w:rFonts w:ascii="Times New Roman" w:hAnsi="Times New Roman" w:cs="Times New Roman"/>
          <w:sz w:val="24"/>
        </w:rPr>
        <w:t>(</w:t>
      </w:r>
      <w:r>
        <w:rPr>
          <w:rFonts w:ascii="Times New Roman" w:hAnsi="Times New Roman" w:cs="Times New Roman"/>
          <w:i/>
          <w:sz w:val="24"/>
        </w:rPr>
        <w:t xml:space="preserve">n </w:t>
      </w:r>
      <w:r>
        <w:rPr>
          <w:rFonts w:ascii="Times New Roman" w:hAnsi="Times New Roman" w:cs="Times New Roman"/>
          <w:sz w:val="24"/>
        </w:rPr>
        <w:t xml:space="preserve">= 47 samples for flies with </w:t>
      </w:r>
      <w:r>
        <w:rPr>
          <w:rFonts w:ascii="Times New Roman" w:hAnsi="Times New Roman" w:cs="Times New Roman"/>
          <w:i/>
          <w:sz w:val="24"/>
        </w:rPr>
        <w:t>Ssk-FB4</w:t>
      </w:r>
      <w:r>
        <w:rPr>
          <w:rFonts w:ascii="Times New Roman" w:hAnsi="Times New Roman" w:cs="Times New Roman"/>
          <w:sz w:val="24"/>
        </w:rPr>
        <w:t xml:space="preserve">, and </w:t>
      </w:r>
      <w:r>
        <w:rPr>
          <w:rFonts w:ascii="Times New Roman" w:hAnsi="Times New Roman" w:cs="Times New Roman"/>
          <w:i/>
          <w:sz w:val="24"/>
        </w:rPr>
        <w:t>n</w:t>
      </w:r>
      <w:r>
        <w:rPr>
          <w:rFonts w:ascii="Times New Roman" w:hAnsi="Times New Roman" w:cs="Times New Roman"/>
          <w:sz w:val="24"/>
        </w:rPr>
        <w:t xml:space="preserve"> = 93 samples for flies without </w:t>
      </w:r>
      <w:r>
        <w:rPr>
          <w:rFonts w:ascii="Times New Roman" w:hAnsi="Times New Roman" w:cs="Times New Roman"/>
          <w:i/>
          <w:sz w:val="24"/>
        </w:rPr>
        <w:t>Ssk-FB4</w:t>
      </w:r>
      <w:r>
        <w:rPr>
          <w:rFonts w:ascii="Times New Roman" w:hAnsi="Times New Roman" w:cs="Times New Roman"/>
          <w:sz w:val="24"/>
        </w:rPr>
        <w:t xml:space="preserve">). </w:t>
      </w:r>
      <w:r>
        <w:rPr>
          <w:rFonts w:ascii="Times New Roman" w:hAnsi="Times New Roman" w:cs="Times New Roman"/>
          <w:b/>
          <w:sz w:val="24"/>
        </w:rPr>
        <w:t>c</w:t>
      </w:r>
      <w:r>
        <w:rPr>
          <w:rFonts w:ascii="Times New Roman" w:hAnsi="Times New Roman" w:cs="Times New Roman"/>
          <w:sz w:val="24"/>
        </w:rPr>
        <w:t xml:space="preserve"> DGRP lines infected with the bacterium </w:t>
      </w:r>
      <w:r>
        <w:rPr>
          <w:rFonts w:ascii="Times New Roman" w:hAnsi="Times New Roman" w:cs="Times New Roman"/>
          <w:i/>
          <w:sz w:val="24"/>
        </w:rPr>
        <w:t xml:space="preserve">Pseudomonas aeruginosa </w:t>
      </w:r>
      <w:r>
        <w:rPr>
          <w:rFonts w:ascii="Times New Roman" w:hAnsi="Times New Roman" w:cs="Times New Roman"/>
          <w:sz w:val="24"/>
        </w:rPr>
        <w:t>Pa14 (</w:t>
      </w:r>
      <w:r>
        <w:rPr>
          <w:rFonts w:ascii="Times New Roman" w:hAnsi="Times New Roman" w:cs="Times New Roman"/>
          <w:i/>
          <w:sz w:val="24"/>
        </w:rPr>
        <w:t xml:space="preserve">n </w:t>
      </w:r>
      <w:r>
        <w:rPr>
          <w:rFonts w:ascii="Times New Roman" w:hAnsi="Times New Roman" w:cs="Times New Roman"/>
          <w:sz w:val="24"/>
        </w:rPr>
        <w:t xml:space="preserve">= 31 samples for male or female flies with </w:t>
      </w:r>
      <w:r>
        <w:rPr>
          <w:rFonts w:ascii="Times New Roman" w:hAnsi="Times New Roman" w:cs="Times New Roman"/>
          <w:i/>
          <w:sz w:val="24"/>
        </w:rPr>
        <w:t>Ssk-FB4</w:t>
      </w:r>
      <w:r>
        <w:rPr>
          <w:rFonts w:ascii="Times New Roman" w:hAnsi="Times New Roman" w:cs="Times New Roman"/>
          <w:sz w:val="24"/>
        </w:rPr>
        <w:t xml:space="preserve">, and </w:t>
      </w:r>
      <w:r>
        <w:rPr>
          <w:rFonts w:ascii="Times New Roman" w:hAnsi="Times New Roman" w:cs="Times New Roman"/>
          <w:i/>
          <w:sz w:val="24"/>
        </w:rPr>
        <w:t>n</w:t>
      </w:r>
      <w:r>
        <w:rPr>
          <w:rFonts w:ascii="Times New Roman" w:hAnsi="Times New Roman" w:cs="Times New Roman"/>
          <w:sz w:val="24"/>
        </w:rPr>
        <w:t xml:space="preserve"> = 50 samples for male or female flies without </w:t>
      </w:r>
      <w:r>
        <w:rPr>
          <w:rFonts w:ascii="Times New Roman" w:hAnsi="Times New Roman" w:cs="Times New Roman"/>
          <w:i/>
          <w:sz w:val="24"/>
        </w:rPr>
        <w:t>Ssk-FB4</w:t>
      </w:r>
      <w:r>
        <w:rPr>
          <w:rFonts w:ascii="Times New Roman" w:hAnsi="Times New Roman" w:cs="Times New Roman"/>
          <w:sz w:val="24"/>
        </w:rPr>
        <w:t xml:space="preserve">). </w:t>
      </w:r>
      <w:r>
        <w:rPr>
          <w:rFonts w:ascii="Times New Roman" w:hAnsi="Times New Roman" w:cs="Times New Roman"/>
          <w:b/>
          <w:sz w:val="24"/>
        </w:rPr>
        <w:t>d</w:t>
      </w:r>
      <w:r>
        <w:rPr>
          <w:rFonts w:ascii="Times New Roman" w:hAnsi="Times New Roman" w:cs="Times New Roman"/>
          <w:sz w:val="24"/>
        </w:rPr>
        <w:t xml:space="preserve"> Viability of DGRP lines infected with the fungus </w:t>
      </w:r>
      <w:r>
        <w:rPr>
          <w:rFonts w:ascii="Times New Roman" w:hAnsi="Times New Roman" w:cs="Times New Roman"/>
          <w:i/>
          <w:sz w:val="24"/>
        </w:rPr>
        <w:t xml:space="preserve">Metarhizium anisopliae </w:t>
      </w:r>
      <w:r>
        <w:rPr>
          <w:rFonts w:ascii="Times New Roman" w:hAnsi="Times New Roman" w:cs="Times New Roman"/>
          <w:sz w:val="24"/>
        </w:rPr>
        <w:t>Ma549 (</w:t>
      </w:r>
      <w:r>
        <w:rPr>
          <w:rFonts w:ascii="Times New Roman" w:hAnsi="Times New Roman" w:cs="Times New Roman"/>
          <w:i/>
          <w:sz w:val="24"/>
        </w:rPr>
        <w:t xml:space="preserve">n </w:t>
      </w:r>
      <w:r>
        <w:rPr>
          <w:rFonts w:ascii="Times New Roman" w:hAnsi="Times New Roman" w:cs="Times New Roman"/>
          <w:sz w:val="24"/>
        </w:rPr>
        <w:t xml:space="preserve">= 70 samples for male or female flies with </w:t>
      </w:r>
      <w:r>
        <w:rPr>
          <w:rFonts w:ascii="Times New Roman" w:hAnsi="Times New Roman" w:cs="Times New Roman"/>
          <w:i/>
          <w:sz w:val="24"/>
        </w:rPr>
        <w:t>Ssk-FB4</w:t>
      </w:r>
      <w:r>
        <w:rPr>
          <w:rFonts w:ascii="Times New Roman" w:hAnsi="Times New Roman" w:cs="Times New Roman"/>
          <w:sz w:val="24"/>
        </w:rPr>
        <w:t xml:space="preserve">, and </w:t>
      </w:r>
      <w:r>
        <w:rPr>
          <w:rFonts w:ascii="Times New Roman" w:hAnsi="Times New Roman" w:cs="Times New Roman"/>
          <w:i/>
          <w:sz w:val="24"/>
        </w:rPr>
        <w:t>n</w:t>
      </w:r>
      <w:r>
        <w:rPr>
          <w:rFonts w:ascii="Times New Roman" w:hAnsi="Times New Roman" w:cs="Times New Roman"/>
          <w:sz w:val="24"/>
        </w:rPr>
        <w:t xml:space="preserve"> = 118 samples for male or female flies without </w:t>
      </w:r>
      <w:r>
        <w:rPr>
          <w:rFonts w:ascii="Times New Roman" w:hAnsi="Times New Roman" w:cs="Times New Roman"/>
          <w:i/>
          <w:sz w:val="24"/>
        </w:rPr>
        <w:t>Ssk-FB4</w:t>
      </w:r>
      <w:r>
        <w:rPr>
          <w:rFonts w:ascii="Times New Roman" w:hAnsi="Times New Roman" w:cs="Times New Roman"/>
          <w:sz w:val="24"/>
        </w:rPr>
        <w:t xml:space="preserve">). Box plots indicate the median (middle line), the interquartile range (IQR, box limits) with outliers beyond 1.5 times IQR. The one-sided Wilcoxon rank sum test was performed. For Panel c and d, the viability was quantified as LT50, </w:t>
      </w:r>
      <w:r>
        <w:rPr>
          <w:rFonts w:ascii="Times New Roman" w:hAnsi="Times New Roman" w:cs="Times New Roman"/>
          <w:i/>
          <w:sz w:val="24"/>
        </w:rPr>
        <w:t>i.e.</w:t>
      </w:r>
      <w:r>
        <w:rPr>
          <w:rFonts w:ascii="Times New Roman" w:hAnsi="Times New Roman" w:cs="Times New Roman"/>
          <w:sz w:val="24"/>
        </w:rPr>
        <w:t>, the days needed for half the flies to die.</w:t>
      </w:r>
    </w:p>
    <w:p>
      <w:pPr>
        <w:widowControl/>
        <w:jc w:val="both"/>
        <w:rPr>
          <w:rFonts w:ascii="Times New Roman" w:hAnsi="Times New Roman" w:cs="Times New Roman"/>
          <w:sz w:val="24"/>
        </w:rPr>
      </w:pPr>
      <w:r>
        <w:rPr>
          <w:rFonts w:ascii="Times New Roman" w:hAnsi="Times New Roman" w:cs="Times New Roman"/>
          <w:sz w:val="24"/>
        </w:rPr>
        <w:br w:type="page"/>
      </w:r>
    </w:p>
    <w:p>
      <w:pPr>
        <w:jc w:val="both"/>
        <w:rPr>
          <w:rFonts w:ascii="Times New Roman" w:hAnsi="Times New Roman" w:cs="Times New Roman"/>
          <w:sz w:val="24"/>
        </w:rPr>
      </w:pPr>
      <w:r>
        <w:rPr>
          <w:rFonts w:ascii="Times New Roman" w:hAnsi="Times New Roman" w:cs="Times New Roman"/>
          <w:sz w:val="24"/>
        </w:rPr>
        <w:pict>
          <v:shape id="_x0000_i1041" o:spt="75" type="#_x0000_t75" style="height:299.5pt;width:415.5pt;" filled="f" o:preferrelative="t" stroked="f" coordsize="21600,21600">
            <v:path/>
            <v:fill on="f" focussize="0,0"/>
            <v:stroke on="f" joinstyle="miter"/>
            <v:imagedata r:id="rId25" o:title="FigS20"/>
            <o:lock v:ext="edit" aspectratio="t"/>
            <w10:wrap type="none"/>
            <w10:anchorlock/>
          </v:shape>
        </w:pict>
      </w:r>
    </w:p>
    <w:p>
      <w:pPr>
        <w:jc w:val="both"/>
        <w:rPr>
          <w:rFonts w:ascii="Times New Roman" w:hAnsi="Times New Roman" w:cs="Times New Roman"/>
          <w:b/>
          <w:sz w:val="24"/>
        </w:rPr>
      </w:pPr>
      <w:r>
        <w:rPr>
          <w:rFonts w:ascii="Times New Roman" w:hAnsi="Times New Roman" w:cs="Times New Roman"/>
          <w:b/>
          <w:sz w:val="24"/>
        </w:rPr>
        <w:t xml:space="preserve">Supplementary Figure 20. Workflow of </w:t>
      </w:r>
      <w:r>
        <w:rPr>
          <w:rFonts w:ascii="Times New Roman" w:hAnsi="Times New Roman" w:cs="Times New Roman"/>
          <w:b/>
          <w:sz w:val="24"/>
        </w:rPr>
        <w:t>P</w:t>
      </w:r>
      <w:bookmarkStart w:id="1" w:name="_GoBack"/>
      <w:bookmarkEnd w:id="1"/>
      <w:r>
        <w:rPr>
          <w:rFonts w:ascii="Times New Roman" w:hAnsi="Times New Roman" w:cs="Times New Roman"/>
          <w:b/>
          <w:sz w:val="24"/>
        </w:rPr>
        <w:t xml:space="preserve">ack-TIR detection in 100 animal reference genomes (a) and population resequencing data of </w:t>
      </w:r>
      <w:r>
        <w:rPr>
          <w:rFonts w:ascii="Times New Roman" w:hAnsi="Times New Roman" w:cs="Times New Roman"/>
          <w:b/>
          <w:i/>
          <w:iCs/>
          <w:sz w:val="24"/>
        </w:rPr>
        <w:t>D. melanogaster</w:t>
      </w:r>
      <w:r>
        <w:rPr>
          <w:rFonts w:ascii="Times New Roman" w:hAnsi="Times New Roman" w:cs="Times New Roman"/>
          <w:b/>
          <w:sz w:val="24"/>
        </w:rPr>
        <w:t xml:space="preserve"> (b).</w:t>
      </w:r>
    </w:p>
    <w:p>
      <w:pPr>
        <w:widowControl/>
        <w:jc w:val="both"/>
        <w:rPr>
          <w:rFonts w:ascii="Times New Roman" w:hAnsi="Times New Roman" w:cs="Times New Roman"/>
          <w:b/>
          <w:sz w:val="24"/>
        </w:rPr>
      </w:pPr>
      <w:r>
        <w:rPr>
          <w:rFonts w:ascii="Times New Roman" w:hAnsi="Times New Roman" w:cs="Times New Roman"/>
          <w:b/>
          <w:sz w:val="24"/>
        </w:rPr>
        <w:br w:type="page"/>
      </w:r>
    </w:p>
    <w:p>
      <w:pPr>
        <w:widowControl/>
        <w:jc w:val="both"/>
        <w:rPr>
          <w:rFonts w:ascii="Times New Roman" w:hAnsi="Times New Roman" w:cs="Times New Roman"/>
          <w:b/>
          <w:sz w:val="24"/>
        </w:rPr>
      </w:pPr>
      <w:r>
        <w:rPr>
          <w:rFonts w:hint="eastAsia" w:ascii="Times New Roman" w:hAnsi="Times New Roman" w:cs="Times New Roman"/>
          <w:b/>
          <w:sz w:val="24"/>
        </w:rPr>
        <w:t>S</w:t>
      </w:r>
      <w:r>
        <w:rPr>
          <w:rFonts w:ascii="Times New Roman" w:hAnsi="Times New Roman" w:cs="Times New Roman"/>
          <w:b/>
          <w:sz w:val="24"/>
        </w:rPr>
        <w:t>upplementary Tables</w:t>
      </w:r>
    </w:p>
    <w:p>
      <w:pPr>
        <w:widowControl/>
        <w:jc w:val="both"/>
        <w:rPr>
          <w:rFonts w:ascii="Times New Roman" w:hAnsi="Times New Roman" w:cs="Times New Roman"/>
          <w:b/>
          <w:sz w:val="24"/>
        </w:rPr>
      </w:pPr>
    </w:p>
    <w:p>
      <w:pPr>
        <w:widowControl/>
        <w:jc w:val="both"/>
        <w:rPr>
          <w:rFonts w:ascii="Times New Roman" w:hAnsi="Times New Roman" w:cs="Times New Roman"/>
          <w:b/>
          <w:sz w:val="24"/>
        </w:rPr>
      </w:pPr>
    </w:p>
    <w:tbl>
      <w:tblPr>
        <w:tblStyle w:val="13"/>
        <w:tblW w:w="5272" w:type="dxa"/>
        <w:tblInd w:w="0" w:type="dxa"/>
        <w:tblLayout w:type="autofit"/>
        <w:tblCellMar>
          <w:top w:w="0" w:type="dxa"/>
          <w:left w:w="108" w:type="dxa"/>
          <w:bottom w:w="0" w:type="dxa"/>
          <w:right w:w="108" w:type="dxa"/>
        </w:tblCellMar>
      </w:tblPr>
      <w:tblGrid>
        <w:gridCol w:w="3896"/>
        <w:gridCol w:w="1376"/>
      </w:tblGrid>
      <w:tr>
        <w:trPr>
          <w:trHeight w:val="319" w:hRule="atLeast"/>
        </w:trPr>
        <w:tc>
          <w:tcPr>
            <w:tcW w:w="3896" w:type="dxa"/>
            <w:tcBorders>
              <w:top w:val="single" w:color="auto" w:sz="4" w:space="0"/>
              <w:left w:val="nil"/>
              <w:bottom w:val="single" w:color="auto" w:sz="4" w:space="0"/>
              <w:right w:val="nil"/>
            </w:tcBorders>
            <w:shd w:val="clear" w:color="auto" w:fill="auto"/>
            <w:noWrap/>
            <w:vAlign w:val="center"/>
          </w:tcPr>
          <w:p>
            <w:pPr>
              <w:widowControl/>
              <w:jc w:val="both"/>
              <w:rPr>
                <w:rFonts w:ascii="Times New Roman" w:hAnsi="Times New Roman" w:eastAsia="等线" w:cs="Times New Roman"/>
                <w:b/>
                <w:bCs/>
                <w:color w:val="000000"/>
                <w:kern w:val="0"/>
                <w:sz w:val="24"/>
              </w:rPr>
            </w:pPr>
            <w:r>
              <w:rPr>
                <w:rFonts w:ascii="Times New Roman" w:hAnsi="Times New Roman" w:cs="Times New Roman"/>
                <w:b/>
                <w:sz w:val="24"/>
              </w:rPr>
              <w:br w:type="page"/>
            </w:r>
            <w:r>
              <w:rPr>
                <w:rFonts w:ascii="Times New Roman" w:hAnsi="Times New Roman" w:eastAsia="等线" w:cs="Times New Roman"/>
                <w:b/>
                <w:bCs/>
                <w:color w:val="000000"/>
                <w:kern w:val="0"/>
                <w:sz w:val="24"/>
              </w:rPr>
              <w:t>Stage</w:t>
            </w:r>
          </w:p>
        </w:tc>
        <w:tc>
          <w:tcPr>
            <w:tcW w:w="1376" w:type="dxa"/>
            <w:tcBorders>
              <w:top w:val="single" w:color="auto" w:sz="4" w:space="0"/>
              <w:left w:val="nil"/>
              <w:bottom w:val="single" w:color="auto" w:sz="4" w:space="0"/>
              <w:right w:val="nil"/>
            </w:tcBorders>
            <w:shd w:val="clear" w:color="auto" w:fill="auto"/>
            <w:noWrap/>
            <w:vAlign w:val="center"/>
          </w:tcPr>
          <w:p>
            <w:pPr>
              <w:widowControl/>
              <w:jc w:val="both"/>
              <w:rPr>
                <w:rFonts w:ascii="Times New Roman" w:hAnsi="Times New Roman" w:eastAsia="等线" w:cs="Times New Roman"/>
                <w:b/>
                <w:bCs/>
                <w:color w:val="000000"/>
                <w:kern w:val="0"/>
                <w:sz w:val="24"/>
              </w:rPr>
            </w:pPr>
            <w:r>
              <w:rPr>
                <w:rFonts w:ascii="Times New Roman" w:hAnsi="Times New Roman" w:eastAsia="等线" w:cs="Times New Roman"/>
                <w:b/>
                <w:bCs/>
                <w:color w:val="000000"/>
                <w:kern w:val="0"/>
                <w:sz w:val="24"/>
              </w:rPr>
              <w:t>Hi-C value</w:t>
            </w:r>
          </w:p>
        </w:tc>
      </w:tr>
      <w:tr>
        <w:trPr>
          <w:trHeight w:val="319" w:hRule="atLeast"/>
        </w:trPr>
        <w:tc>
          <w:tcPr>
            <w:tcW w:w="3896" w:type="dxa"/>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Nuclear_cycle_12_whole_rep1</w:t>
            </w:r>
          </w:p>
        </w:tc>
        <w:tc>
          <w:tcPr>
            <w:tcW w:w="1376" w:type="dxa"/>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-1.28 </w:t>
            </w:r>
          </w:p>
        </w:tc>
      </w:tr>
      <w:tr>
        <w:trPr>
          <w:trHeight w:val="319" w:hRule="atLeast"/>
        </w:trPr>
        <w:tc>
          <w:tcPr>
            <w:tcW w:w="389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Nuclear_cycle_12_whole_rep2</w:t>
            </w:r>
          </w:p>
        </w:tc>
        <w:tc>
          <w:tcPr>
            <w:tcW w:w="137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1.23 </w:t>
            </w:r>
          </w:p>
        </w:tc>
      </w:tr>
      <w:tr>
        <w:trPr>
          <w:trHeight w:val="319" w:hRule="atLeast"/>
        </w:trPr>
        <w:tc>
          <w:tcPr>
            <w:tcW w:w="389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Nuclear_cycle_14_anterior_rep1</w:t>
            </w:r>
          </w:p>
        </w:tc>
        <w:tc>
          <w:tcPr>
            <w:tcW w:w="137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0.32 </w:t>
            </w:r>
          </w:p>
        </w:tc>
      </w:tr>
      <w:tr>
        <w:trPr>
          <w:trHeight w:val="319" w:hRule="atLeast"/>
        </w:trPr>
        <w:tc>
          <w:tcPr>
            <w:tcW w:w="389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Nuclear_cycle_14_anterior_rep2</w:t>
            </w:r>
          </w:p>
        </w:tc>
        <w:tc>
          <w:tcPr>
            <w:tcW w:w="137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-0.54 </w:t>
            </w:r>
          </w:p>
        </w:tc>
      </w:tr>
      <w:tr>
        <w:trPr>
          <w:trHeight w:val="319" w:hRule="atLeast"/>
        </w:trPr>
        <w:tc>
          <w:tcPr>
            <w:tcW w:w="389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Nuclear_cycle_14_whole_rep1</w:t>
            </w:r>
          </w:p>
        </w:tc>
        <w:tc>
          <w:tcPr>
            <w:tcW w:w="137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-1.09 </w:t>
            </w:r>
          </w:p>
        </w:tc>
      </w:tr>
      <w:tr>
        <w:trPr>
          <w:trHeight w:val="319" w:hRule="atLeast"/>
        </w:trPr>
        <w:tc>
          <w:tcPr>
            <w:tcW w:w="389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Nuclear_cycle_14_whole_rep2</w:t>
            </w:r>
          </w:p>
        </w:tc>
        <w:tc>
          <w:tcPr>
            <w:tcW w:w="137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-2.07 </w:t>
            </w:r>
          </w:p>
        </w:tc>
      </w:tr>
      <w:tr>
        <w:trPr>
          <w:trHeight w:val="319" w:hRule="atLeast"/>
        </w:trPr>
        <w:tc>
          <w:tcPr>
            <w:tcW w:w="389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Nuclear_cycle_14_posterior_rep1</w:t>
            </w:r>
          </w:p>
        </w:tc>
        <w:tc>
          <w:tcPr>
            <w:tcW w:w="1376"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-0.72 </w:t>
            </w:r>
          </w:p>
        </w:tc>
      </w:tr>
      <w:tr>
        <w:trPr>
          <w:trHeight w:val="319" w:hRule="atLeast"/>
        </w:trPr>
        <w:tc>
          <w:tcPr>
            <w:tcW w:w="3896" w:type="dxa"/>
            <w:tcBorders>
              <w:top w:val="nil"/>
              <w:left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Nuclear_cycle_14_posterior_rep2</w:t>
            </w:r>
          </w:p>
        </w:tc>
        <w:tc>
          <w:tcPr>
            <w:tcW w:w="1376" w:type="dxa"/>
            <w:tcBorders>
              <w:top w:val="nil"/>
              <w:left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1.73 </w:t>
            </w:r>
          </w:p>
        </w:tc>
      </w:tr>
      <w:tr>
        <w:trPr>
          <w:trHeight w:val="319" w:hRule="atLeast"/>
        </w:trPr>
        <w:tc>
          <w:tcPr>
            <w:tcW w:w="3896" w:type="dxa"/>
            <w:tcBorders>
              <w:top w:val="nil"/>
              <w:left w:val="nil"/>
              <w:bottom w:val="single" w:color="auto" w:sz="4" w:space="0"/>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Stage5_whole_rep1</w:t>
            </w:r>
          </w:p>
        </w:tc>
        <w:tc>
          <w:tcPr>
            <w:tcW w:w="1376" w:type="dxa"/>
            <w:tcBorders>
              <w:top w:val="nil"/>
              <w:left w:val="nil"/>
              <w:bottom w:val="single" w:color="auto" w:sz="4" w:space="0"/>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5.75 </w:t>
            </w:r>
          </w:p>
        </w:tc>
      </w:tr>
    </w:tbl>
    <w:p>
      <w:pPr>
        <w:widowControl/>
        <w:jc w:val="both"/>
        <w:rPr>
          <w:rFonts w:ascii="Times New Roman" w:hAnsi="Times New Roman" w:eastAsia="等线" w:cs="Times New Roman"/>
          <w:color w:val="000000"/>
          <w:kern w:val="0"/>
          <w:sz w:val="24"/>
        </w:rPr>
      </w:pPr>
      <w:r>
        <w:rPr>
          <w:rFonts w:hint="eastAsia" w:ascii="Times New Roman" w:hAnsi="Times New Roman" w:cs="Times New Roman"/>
          <w:b/>
          <w:sz w:val="24"/>
        </w:rPr>
        <w:t>S</w:t>
      </w:r>
      <w:r>
        <w:rPr>
          <w:rFonts w:ascii="Times New Roman" w:hAnsi="Times New Roman" w:cs="Times New Roman"/>
          <w:b/>
          <w:sz w:val="24"/>
        </w:rPr>
        <w:t xml:space="preserve">upplementary Table 1. Interaction of </w:t>
      </w:r>
      <w:r>
        <w:rPr>
          <w:rFonts w:ascii="Times New Roman" w:hAnsi="Times New Roman" w:cs="Times New Roman"/>
          <w:b/>
          <w:i/>
          <w:sz w:val="24"/>
        </w:rPr>
        <w:t>Ssk</w:t>
      </w:r>
      <w:r>
        <w:rPr>
          <w:rFonts w:ascii="Times New Roman" w:hAnsi="Times New Roman" w:cs="Times New Roman"/>
          <w:b/>
          <w:sz w:val="24"/>
        </w:rPr>
        <w:t xml:space="preserve"> and </w:t>
      </w:r>
      <w:r>
        <w:rPr>
          <w:rFonts w:ascii="Times New Roman" w:hAnsi="Times New Roman" w:cs="Times New Roman"/>
          <w:b/>
          <w:i/>
          <w:sz w:val="24"/>
        </w:rPr>
        <w:t>FB4</w:t>
      </w:r>
      <w:r>
        <w:rPr>
          <w:rFonts w:ascii="Times New Roman" w:hAnsi="Times New Roman" w:cs="Times New Roman"/>
          <w:b/>
          <w:sz w:val="24"/>
        </w:rPr>
        <w:t xml:space="preserve"> of chr3L: 20.8 Mb during embryogenesis. </w:t>
      </w:r>
      <w:r>
        <w:rPr>
          <w:rFonts w:ascii="Times New Roman" w:hAnsi="Times New Roman" w:eastAsia="等线" w:cs="Times New Roman"/>
          <w:color w:val="000000"/>
          <w:kern w:val="0"/>
          <w:sz w:val="24"/>
        </w:rPr>
        <w:t xml:space="preserve">The Hi-C value refers to the normalized interaction intensity, which is defined as the intensity of the focal window (10 kb) minus the mean of the whole region including the focal window and four upstream or downstream windows (in total 90x90 kb) and then minus two-fold the standard deviation. Thus, a positive value means a stronger interaction relative to the flanking regions. Note: "stage 5" is roughly equivalent to the 14th nuclear cycle. Although these datasets do not give consistent results, positive values in four out of nine individual samples suggest a reasonable interaction strength between the two loci. In contrast, only one moderate interaction (0.40) out of nine samples could be observed for another </w:t>
      </w:r>
      <w:r>
        <w:rPr>
          <w:rFonts w:ascii="Times New Roman" w:hAnsi="Times New Roman" w:eastAsia="等线" w:cs="Times New Roman"/>
          <w:i/>
          <w:iCs/>
          <w:color w:val="000000"/>
          <w:kern w:val="0"/>
          <w:sz w:val="24"/>
        </w:rPr>
        <w:t xml:space="preserve">FB4 </w:t>
      </w:r>
      <w:r>
        <w:rPr>
          <w:rFonts w:ascii="Times New Roman" w:hAnsi="Times New Roman" w:eastAsia="等线" w:cs="Times New Roman"/>
          <w:color w:val="000000"/>
          <w:kern w:val="0"/>
          <w:sz w:val="24"/>
        </w:rPr>
        <w:t>element (X: 22.5 Mb), and no interactions could be detected for the remaining four elements. Fig. 3D is based on the stage 5 sample due to its markedly higher sequencing depth and thus a more reliable signal.</w:t>
      </w:r>
    </w:p>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br w:type="page"/>
      </w:r>
    </w:p>
    <w:p>
      <w:pPr>
        <w:widowControl/>
        <w:jc w:val="both"/>
        <w:rPr>
          <w:rFonts w:ascii="Times New Roman" w:hAnsi="Times New Roman" w:eastAsia="等线" w:cs="Times New Roman"/>
          <w:color w:val="000000"/>
          <w:kern w:val="0"/>
          <w:sz w:val="24"/>
        </w:rPr>
      </w:pPr>
    </w:p>
    <w:tbl>
      <w:tblPr>
        <w:tblStyle w:val="13"/>
        <w:tblW w:w="0" w:type="auto"/>
        <w:tblInd w:w="0" w:type="dxa"/>
        <w:tblLayout w:type="fixed"/>
        <w:tblCellMar>
          <w:top w:w="0" w:type="dxa"/>
          <w:left w:w="108" w:type="dxa"/>
          <w:bottom w:w="0" w:type="dxa"/>
          <w:right w:w="108" w:type="dxa"/>
        </w:tblCellMar>
      </w:tblPr>
      <w:tblGrid>
        <w:gridCol w:w="2552"/>
        <w:gridCol w:w="1559"/>
        <w:gridCol w:w="2693"/>
        <w:gridCol w:w="1502"/>
      </w:tblGrid>
      <w:tr>
        <w:trPr>
          <w:trHeight w:val="315" w:hRule="atLeast"/>
        </w:trPr>
        <w:tc>
          <w:tcPr>
            <w:tcW w:w="2552" w:type="dxa"/>
            <w:tcBorders>
              <w:top w:val="single" w:color="auto" w:sz="4" w:space="0"/>
              <w:left w:val="nil"/>
              <w:bottom w:val="single" w:color="auto" w:sz="4" w:space="0"/>
              <w:right w:val="nil"/>
            </w:tcBorders>
            <w:shd w:val="clear" w:color="auto" w:fill="auto"/>
            <w:noWrap/>
            <w:vAlign w:val="bottom"/>
          </w:tcPr>
          <w:p>
            <w:pPr>
              <w:widowControl/>
              <w:jc w:val="both"/>
              <w:rPr>
                <w:rFonts w:ascii="Times New Roman" w:hAnsi="Times New Roman" w:eastAsia="等线" w:cs="Times New Roman"/>
                <w:b/>
                <w:bCs/>
                <w:color w:val="000000"/>
                <w:kern w:val="0"/>
                <w:sz w:val="24"/>
              </w:rPr>
            </w:pPr>
            <w:r>
              <w:rPr>
                <w:rFonts w:ascii="Times New Roman" w:hAnsi="Times New Roman" w:cs="Times New Roman"/>
                <w:b/>
                <w:sz w:val="24"/>
              </w:rPr>
              <w:br w:type="page"/>
            </w:r>
            <w:r>
              <w:rPr>
                <w:rFonts w:ascii="Times New Roman" w:hAnsi="Times New Roman" w:cs="Times New Roman"/>
                <w:b/>
                <w:sz w:val="24"/>
              </w:rPr>
              <w:br w:type="page"/>
            </w:r>
            <w:r>
              <w:rPr>
                <w:rFonts w:ascii="Times New Roman" w:hAnsi="Times New Roman" w:eastAsia="等线" w:cs="Times New Roman"/>
                <w:b/>
                <w:bCs/>
                <w:color w:val="000000"/>
                <w:kern w:val="0"/>
                <w:sz w:val="24"/>
              </w:rPr>
              <w:t>Sample</w:t>
            </w:r>
          </w:p>
        </w:tc>
        <w:tc>
          <w:tcPr>
            <w:tcW w:w="1559" w:type="dxa"/>
            <w:tcBorders>
              <w:top w:val="single" w:color="auto" w:sz="4" w:space="0"/>
              <w:left w:val="nil"/>
              <w:bottom w:val="single" w:color="auto" w:sz="4" w:space="0"/>
              <w:right w:val="nil"/>
            </w:tcBorders>
            <w:shd w:val="clear" w:color="auto" w:fill="auto"/>
            <w:noWrap/>
            <w:vAlign w:val="bottom"/>
          </w:tcPr>
          <w:p>
            <w:pPr>
              <w:widowControl/>
              <w:jc w:val="both"/>
              <w:rPr>
                <w:rFonts w:ascii="Times New Roman" w:hAnsi="Times New Roman" w:eastAsia="等线" w:cs="Times New Roman"/>
                <w:b/>
                <w:bCs/>
                <w:color w:val="000000"/>
                <w:kern w:val="0"/>
                <w:sz w:val="24"/>
              </w:rPr>
            </w:pPr>
            <w:r>
              <w:rPr>
                <w:rFonts w:ascii="Times New Roman" w:hAnsi="Times New Roman" w:eastAsia="等线" w:cs="Times New Roman"/>
                <w:b/>
                <w:bCs/>
                <w:color w:val="000000"/>
                <w:kern w:val="0"/>
                <w:sz w:val="24"/>
              </w:rPr>
              <w:t>Protein</w:t>
            </w:r>
          </w:p>
        </w:tc>
        <w:tc>
          <w:tcPr>
            <w:tcW w:w="2693" w:type="dxa"/>
            <w:tcBorders>
              <w:top w:val="single" w:color="auto" w:sz="4" w:space="0"/>
              <w:left w:val="nil"/>
              <w:bottom w:val="single" w:color="auto" w:sz="4" w:space="0"/>
              <w:right w:val="nil"/>
            </w:tcBorders>
            <w:shd w:val="clear" w:color="auto" w:fill="auto"/>
            <w:noWrap/>
            <w:vAlign w:val="bottom"/>
          </w:tcPr>
          <w:p>
            <w:pPr>
              <w:widowControl/>
              <w:jc w:val="both"/>
              <w:rPr>
                <w:rFonts w:ascii="Times New Roman" w:hAnsi="Times New Roman" w:eastAsia="等线" w:cs="Times New Roman"/>
                <w:b/>
                <w:bCs/>
                <w:color w:val="000000"/>
                <w:kern w:val="0"/>
                <w:sz w:val="24"/>
              </w:rPr>
            </w:pPr>
            <w:r>
              <w:rPr>
                <w:rFonts w:ascii="Times New Roman" w:hAnsi="Times New Roman" w:eastAsia="等线" w:cs="Times New Roman"/>
                <w:b/>
                <w:bCs/>
                <w:color w:val="000000"/>
                <w:kern w:val="0"/>
                <w:sz w:val="24"/>
              </w:rPr>
              <w:t>Unique peptide</w:t>
            </w:r>
          </w:p>
        </w:tc>
        <w:tc>
          <w:tcPr>
            <w:tcW w:w="1502" w:type="dxa"/>
            <w:tcBorders>
              <w:top w:val="single" w:color="auto" w:sz="4" w:space="0"/>
              <w:left w:val="nil"/>
              <w:bottom w:val="single" w:color="auto" w:sz="4" w:space="0"/>
              <w:right w:val="nil"/>
            </w:tcBorders>
            <w:shd w:val="clear" w:color="auto" w:fill="auto"/>
            <w:noWrap/>
            <w:vAlign w:val="bottom"/>
          </w:tcPr>
          <w:p>
            <w:pPr>
              <w:widowControl/>
              <w:jc w:val="both"/>
              <w:rPr>
                <w:rFonts w:ascii="Times New Roman" w:hAnsi="Times New Roman" w:eastAsia="等线" w:cs="Times New Roman"/>
                <w:b/>
                <w:bCs/>
                <w:color w:val="000000"/>
                <w:kern w:val="0"/>
                <w:sz w:val="24"/>
              </w:rPr>
            </w:pPr>
            <w:r>
              <w:rPr>
                <w:rFonts w:ascii="Times New Roman" w:hAnsi="Times New Roman" w:eastAsia="等线" w:cs="Times New Roman"/>
                <w:b/>
                <w:bCs/>
                <w:color w:val="000000"/>
                <w:kern w:val="0"/>
                <w:sz w:val="24"/>
              </w:rPr>
              <w:t>iBAQ value</w:t>
            </w:r>
          </w:p>
        </w:tc>
      </w:tr>
      <w:tr>
        <w:trPr>
          <w:trHeight w:val="315" w:hRule="atLeast"/>
        </w:trPr>
        <w:tc>
          <w:tcPr>
            <w:tcW w:w="2552" w:type="dxa"/>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rep1</w:t>
            </w:r>
          </w:p>
        </w:tc>
        <w:tc>
          <w:tcPr>
            <w:tcW w:w="1559" w:type="dxa"/>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single" w:color="auto" w:sz="4" w:space="0"/>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single" w:color="auto" w:sz="4" w:space="0"/>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4,638,866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3,760,395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head rep1</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44,606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head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44,387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midgut rep1</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3,117,661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midgut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3,229,940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head rep1</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16,636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head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16,827 </w:t>
            </w:r>
          </w:p>
        </w:tc>
      </w:tr>
      <w:tr>
        <w:trPr>
          <w:trHeight w:val="315" w:hRule="atLeast"/>
        </w:trPr>
        <w:tc>
          <w:tcPr>
            <w:tcW w:w="2552" w:type="dxa"/>
            <w:vMerge w:val="restart"/>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rep1</w:t>
            </w:r>
          </w:p>
        </w:tc>
        <w:tc>
          <w:tcPr>
            <w:tcW w:w="1559" w:type="dxa"/>
            <w:vMerge w:val="restart"/>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single" w:color="auto" w:sz="4" w:space="0"/>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vMerge w:val="restart"/>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22,939,865 </w:t>
            </w:r>
          </w:p>
        </w:tc>
      </w:tr>
      <w:tr>
        <w:trPr>
          <w:trHeight w:val="315" w:hRule="atLeast"/>
        </w:trPr>
        <w:tc>
          <w:tcPr>
            <w:tcW w:w="2552" w:type="dxa"/>
            <w:vMerge w:val="continue"/>
            <w:tcBorders>
              <w:top w:val="single" w:color="auto" w:sz="4" w:space="0"/>
              <w:left w:val="nil"/>
              <w:bottom w:val="nil"/>
              <w:right w:val="nil"/>
            </w:tcBorders>
            <w:vAlign w:val="center"/>
          </w:tcPr>
          <w:p>
            <w:pPr>
              <w:widowControl/>
              <w:jc w:val="both"/>
              <w:rPr>
                <w:rFonts w:ascii="Times New Roman" w:hAnsi="Times New Roman" w:eastAsia="等线" w:cs="Times New Roman"/>
                <w:color w:val="000000"/>
                <w:kern w:val="0"/>
                <w:sz w:val="24"/>
              </w:rPr>
            </w:pPr>
          </w:p>
        </w:tc>
        <w:tc>
          <w:tcPr>
            <w:tcW w:w="1559" w:type="dxa"/>
            <w:vMerge w:val="continue"/>
            <w:tcBorders>
              <w:top w:val="single" w:color="auto" w:sz="4" w:space="0"/>
              <w:left w:val="nil"/>
              <w:bottom w:val="nil"/>
              <w:right w:val="nil"/>
            </w:tcBorders>
            <w:vAlign w:val="center"/>
          </w:tcPr>
          <w:p>
            <w:pPr>
              <w:widowControl/>
              <w:jc w:val="both"/>
              <w:rPr>
                <w:rFonts w:ascii="Times New Roman" w:hAnsi="Times New Roman" w:eastAsia="等线" w:cs="Times New Roman"/>
                <w:color w:val="000000"/>
                <w:kern w:val="0"/>
                <w:sz w:val="24"/>
              </w:rPr>
            </w:pP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LINNLVIIFLYR</w:t>
            </w:r>
          </w:p>
        </w:tc>
        <w:tc>
          <w:tcPr>
            <w:tcW w:w="1502" w:type="dxa"/>
            <w:vMerge w:val="continue"/>
            <w:tcBorders>
              <w:top w:val="single" w:color="auto" w:sz="4" w:space="0"/>
              <w:left w:val="nil"/>
              <w:bottom w:val="nil"/>
              <w:right w:val="nil"/>
            </w:tcBorders>
            <w:vAlign w:val="center"/>
          </w:tcPr>
          <w:p>
            <w:pPr>
              <w:widowControl/>
              <w:jc w:val="both"/>
              <w:rPr>
                <w:rFonts w:ascii="Times New Roman" w:hAnsi="Times New Roman" w:eastAsia="等线" w:cs="Times New Roman"/>
                <w:color w:val="000000"/>
                <w:kern w:val="0"/>
                <w:sz w:val="24"/>
              </w:rPr>
            </w:pPr>
          </w:p>
        </w:tc>
      </w:tr>
      <w:tr>
        <w:trPr>
          <w:trHeight w:val="315" w:hRule="atLeast"/>
        </w:trPr>
        <w:tc>
          <w:tcPr>
            <w:tcW w:w="2552" w:type="dxa"/>
            <w:vMerge w:val="restart"/>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rep2</w:t>
            </w:r>
          </w:p>
        </w:tc>
        <w:tc>
          <w:tcPr>
            <w:tcW w:w="1559" w:type="dxa"/>
            <w:vMerge w:val="restart"/>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vMerge w:val="restart"/>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23,312,284 </w:t>
            </w:r>
          </w:p>
        </w:tc>
      </w:tr>
      <w:tr>
        <w:trPr>
          <w:trHeight w:val="315" w:hRule="atLeast"/>
        </w:trPr>
        <w:tc>
          <w:tcPr>
            <w:tcW w:w="2552" w:type="dxa"/>
            <w:vMerge w:val="continue"/>
            <w:tcBorders>
              <w:top w:val="nil"/>
              <w:left w:val="nil"/>
              <w:bottom w:val="nil"/>
              <w:right w:val="nil"/>
            </w:tcBorders>
            <w:vAlign w:val="center"/>
          </w:tcPr>
          <w:p>
            <w:pPr>
              <w:widowControl/>
              <w:jc w:val="both"/>
              <w:rPr>
                <w:rFonts w:ascii="Times New Roman" w:hAnsi="Times New Roman" w:eastAsia="等线" w:cs="Times New Roman"/>
                <w:color w:val="000000"/>
                <w:kern w:val="0"/>
                <w:sz w:val="24"/>
              </w:rPr>
            </w:pPr>
          </w:p>
        </w:tc>
        <w:tc>
          <w:tcPr>
            <w:tcW w:w="1559" w:type="dxa"/>
            <w:vMerge w:val="continue"/>
            <w:tcBorders>
              <w:top w:val="nil"/>
              <w:left w:val="nil"/>
              <w:bottom w:val="nil"/>
              <w:right w:val="nil"/>
            </w:tcBorders>
            <w:vAlign w:val="center"/>
          </w:tcPr>
          <w:p>
            <w:pPr>
              <w:widowControl/>
              <w:jc w:val="both"/>
              <w:rPr>
                <w:rFonts w:ascii="Times New Roman" w:hAnsi="Times New Roman" w:eastAsia="等线" w:cs="Times New Roman"/>
                <w:color w:val="000000"/>
                <w:kern w:val="0"/>
                <w:sz w:val="24"/>
              </w:rPr>
            </w:pP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LINNLVIIFLYR</w:t>
            </w:r>
          </w:p>
        </w:tc>
        <w:tc>
          <w:tcPr>
            <w:tcW w:w="1502" w:type="dxa"/>
            <w:vMerge w:val="continue"/>
            <w:tcBorders>
              <w:top w:val="nil"/>
              <w:left w:val="nil"/>
              <w:bottom w:val="nil"/>
              <w:right w:val="nil"/>
            </w:tcBorders>
            <w:vAlign w:val="center"/>
          </w:tcPr>
          <w:p>
            <w:pPr>
              <w:widowControl/>
              <w:jc w:val="both"/>
              <w:rPr>
                <w:rFonts w:ascii="Times New Roman" w:hAnsi="Times New Roman" w:eastAsia="等线" w:cs="Times New Roman"/>
                <w:color w:val="000000"/>
                <w:kern w:val="0"/>
                <w:sz w:val="24"/>
              </w:rPr>
            </w:pP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head rep1</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144,372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head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142,219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midgut rep1</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4,554,948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midgut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5,104,326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head rep1</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36,136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RAL-427 head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21,861 </w:t>
            </w:r>
          </w:p>
        </w:tc>
      </w:tr>
      <w:tr>
        <w:trPr>
          <w:trHeight w:val="315" w:hRule="atLeast"/>
        </w:trPr>
        <w:tc>
          <w:tcPr>
            <w:tcW w:w="2552" w:type="dxa"/>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Co-IP rep1</w:t>
            </w:r>
          </w:p>
        </w:tc>
        <w:tc>
          <w:tcPr>
            <w:tcW w:w="1559" w:type="dxa"/>
            <w:tcBorders>
              <w:top w:val="single" w:color="auto" w:sz="4" w:space="0"/>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single" w:color="auto" w:sz="4" w:space="0"/>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single" w:color="auto" w:sz="4" w:space="0"/>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182,406 </w:t>
            </w:r>
          </w:p>
        </w:tc>
      </w:tr>
      <w:tr>
        <w:trPr>
          <w:trHeight w:val="315" w:hRule="atLeast"/>
        </w:trPr>
        <w:tc>
          <w:tcPr>
            <w:tcW w:w="2552"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Co-IP rep2</w:t>
            </w:r>
          </w:p>
        </w:tc>
        <w:tc>
          <w:tcPr>
            <w:tcW w:w="1559" w:type="dxa"/>
            <w:tcBorders>
              <w:top w:val="nil"/>
              <w:left w:val="nil"/>
              <w:bottom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w:t>
            </w:r>
          </w:p>
        </w:tc>
        <w:tc>
          <w:tcPr>
            <w:tcW w:w="2693"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GYMSDEGFLYVNSER</w:t>
            </w:r>
          </w:p>
        </w:tc>
        <w:tc>
          <w:tcPr>
            <w:tcW w:w="1502" w:type="dxa"/>
            <w:tcBorders>
              <w:top w:val="nil"/>
              <w:left w:val="nil"/>
              <w:bottom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513,086 </w:t>
            </w:r>
          </w:p>
        </w:tc>
      </w:tr>
      <w:tr>
        <w:trPr>
          <w:trHeight w:val="315" w:hRule="atLeast"/>
        </w:trPr>
        <w:tc>
          <w:tcPr>
            <w:tcW w:w="2552" w:type="dxa"/>
            <w:tcBorders>
              <w:top w:val="nil"/>
              <w:left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Co-IP rep1</w:t>
            </w:r>
          </w:p>
        </w:tc>
        <w:tc>
          <w:tcPr>
            <w:tcW w:w="1559" w:type="dxa"/>
            <w:tcBorders>
              <w:top w:val="nil"/>
              <w:left w:val="nil"/>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93,195 </w:t>
            </w:r>
          </w:p>
        </w:tc>
      </w:tr>
      <w:tr>
        <w:trPr>
          <w:trHeight w:val="315" w:hRule="atLeast"/>
        </w:trPr>
        <w:tc>
          <w:tcPr>
            <w:tcW w:w="2552" w:type="dxa"/>
            <w:tcBorders>
              <w:top w:val="nil"/>
              <w:left w:val="nil"/>
              <w:bottom w:val="single" w:color="auto" w:sz="4" w:space="0"/>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RAL-399 midgut Co-IP rep2</w:t>
            </w:r>
          </w:p>
        </w:tc>
        <w:tc>
          <w:tcPr>
            <w:tcW w:w="1559" w:type="dxa"/>
            <w:tcBorders>
              <w:top w:val="nil"/>
              <w:left w:val="nil"/>
              <w:bottom w:val="single" w:color="auto" w:sz="4" w:space="0"/>
              <w:right w:val="nil"/>
            </w:tcBorders>
            <w:shd w:val="clear" w:color="auto" w:fill="auto"/>
            <w:noWrap/>
            <w:vAlign w:val="center"/>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Ssk-FB4 chrX: 2.7 Mb</w:t>
            </w:r>
          </w:p>
        </w:tc>
        <w:tc>
          <w:tcPr>
            <w:tcW w:w="2693" w:type="dxa"/>
            <w:tcBorders>
              <w:top w:val="nil"/>
              <w:left w:val="nil"/>
              <w:bottom w:val="single" w:color="auto" w:sz="4" w:space="0"/>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GHISDEGFLYVNSER</w:t>
            </w:r>
          </w:p>
        </w:tc>
        <w:tc>
          <w:tcPr>
            <w:tcW w:w="1502" w:type="dxa"/>
            <w:tcBorders>
              <w:top w:val="nil"/>
              <w:left w:val="nil"/>
              <w:bottom w:val="single" w:color="auto" w:sz="4" w:space="0"/>
              <w:right w:val="nil"/>
            </w:tcBorders>
            <w:shd w:val="clear" w:color="auto" w:fill="auto"/>
            <w:noWrap/>
            <w:vAlign w:val="bottom"/>
          </w:tcPr>
          <w:p>
            <w:pPr>
              <w:widowControl/>
              <w:jc w:val="both"/>
              <w:rPr>
                <w:rFonts w:ascii="Times New Roman" w:hAnsi="Times New Roman" w:eastAsia="等线" w:cs="Times New Roman"/>
                <w:color w:val="000000"/>
                <w:kern w:val="0"/>
                <w:sz w:val="24"/>
              </w:rPr>
            </w:pPr>
            <w:r>
              <w:rPr>
                <w:rFonts w:ascii="Times New Roman" w:hAnsi="Times New Roman" w:eastAsia="等线" w:cs="Times New Roman"/>
                <w:color w:val="000000"/>
                <w:kern w:val="0"/>
                <w:sz w:val="24"/>
              </w:rPr>
              <w:t xml:space="preserve">460,837 </w:t>
            </w:r>
          </w:p>
        </w:tc>
      </w:tr>
    </w:tbl>
    <w:p>
      <w:pPr>
        <w:widowControl/>
        <w:jc w:val="both"/>
        <w:rPr>
          <w:rFonts w:ascii="Times New Roman" w:hAnsi="Times New Roman" w:eastAsia="等线" w:cs="Times New Roman"/>
          <w:color w:val="000000"/>
          <w:kern w:val="0"/>
          <w:sz w:val="24"/>
        </w:rPr>
      </w:pPr>
      <w:r>
        <w:rPr>
          <w:rFonts w:ascii="Times New Roman" w:hAnsi="Times New Roman" w:eastAsia="等线" w:cs="Times New Roman"/>
          <w:b/>
          <w:bCs/>
          <w:kern w:val="0"/>
          <w:sz w:val="24"/>
        </w:rPr>
        <w:t xml:space="preserve">Supplementary Table 2. Intensity-based absolute quantification (iBAQ) value of Ssk and Ssk-FB4. </w:t>
      </w:r>
      <w:r>
        <w:rPr>
          <w:rFonts w:ascii="Times New Roman" w:hAnsi="Times New Roman" w:eastAsia="等线" w:cs="Times New Roman"/>
          <w:color w:val="000000"/>
          <w:kern w:val="0"/>
          <w:sz w:val="24"/>
        </w:rPr>
        <w:t>If there was more than one peptide, the sum of all intensities was used as the protein intensity. The protein intensities were further divided by the number of theoretically observable peptides as the final iBAQ values.</w:t>
      </w:r>
    </w:p>
    <w:p>
      <w:pPr>
        <w:widowControl/>
        <w:jc w:val="both"/>
        <w:rPr>
          <w:rFonts w:ascii="Times New Roman" w:hAnsi="Times New Roman" w:eastAsia="等线" w:cs="Times New Roman"/>
          <w:b/>
          <w:bCs/>
          <w:kern w:val="0"/>
          <w:sz w:val="24"/>
        </w:rPr>
      </w:pPr>
      <w:r>
        <w:rPr>
          <w:rFonts w:ascii="Times New Roman" w:hAnsi="Times New Roman" w:eastAsia="等线" w:cs="Times New Roman"/>
          <w:b/>
          <w:bCs/>
          <w:kern w:val="0"/>
          <w:sz w:val="24"/>
        </w:rPr>
        <w:br w:type="page"/>
      </w:r>
    </w:p>
    <w:p>
      <w:pPr>
        <w:jc w:val="both"/>
        <w:outlineLvl w:val="0"/>
        <w:rPr>
          <w:rFonts w:ascii="Times New Roman" w:hAnsi="Times New Roman" w:cs="Times New Roman"/>
          <w:b/>
          <w:sz w:val="24"/>
        </w:rPr>
      </w:pPr>
      <w:r>
        <w:rPr>
          <w:rFonts w:ascii="Times New Roman" w:hAnsi="Times New Roman" w:cs="Times New Roman"/>
          <w:b/>
          <w:sz w:val="24"/>
        </w:rPr>
        <w:t>Supplemental references</w:t>
      </w:r>
    </w:p>
    <w:p>
      <w:pPr>
        <w:pStyle w:val="21"/>
        <w:ind w:left="720" w:hanging="72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rPr>
        <w:t xml:space="preserve">Comeron, J.M., Ratnappan, R. &amp; Bailin, S. The Many Landscapes of Recombination in </w:t>
      </w:r>
      <w:r>
        <w:rPr>
          <w:rFonts w:ascii="Times New Roman" w:hAnsi="Times New Roman" w:cs="Times New Roman"/>
          <w:i/>
        </w:rPr>
        <w:t>Drosophila melanogaster</w:t>
      </w:r>
      <w:r>
        <w:rPr>
          <w:rFonts w:ascii="Times New Roman" w:hAnsi="Times New Roman" w:cs="Times New Roman"/>
        </w:rPr>
        <w:t xml:space="preserve">. </w:t>
      </w:r>
      <w:r>
        <w:rPr>
          <w:rFonts w:ascii="Times New Roman" w:hAnsi="Times New Roman" w:cs="Times New Roman"/>
          <w:i/>
        </w:rPr>
        <w:t>PLOS Genetics</w:t>
      </w:r>
      <w:r>
        <w:rPr>
          <w:rFonts w:ascii="Times New Roman" w:hAnsi="Times New Roman" w:cs="Times New Roman"/>
        </w:rPr>
        <w:t xml:space="preserve"> </w:t>
      </w:r>
      <w:r>
        <w:rPr>
          <w:rFonts w:ascii="Times New Roman" w:hAnsi="Times New Roman" w:cs="Times New Roman"/>
          <w:b/>
        </w:rPr>
        <w:t>8</w:t>
      </w:r>
      <w:r>
        <w:rPr>
          <w:rFonts w:ascii="Times New Roman" w:hAnsi="Times New Roman" w:cs="Times New Roman"/>
        </w:rPr>
        <w:t>, e1002905 (2012).</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Microsoft YaHei UI">
    <w:altName w:val="苹方-简"/>
    <w:panose1 w:val="020B0503020204020204"/>
    <w:charset w:val="86"/>
    <w:family w:val="swiss"/>
    <w:pitch w:val="default"/>
    <w:sig w:usb0="00000000" w:usb1="00000000" w:usb2="00000016" w:usb3="00000000" w:csb0="0004001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AdvAlbrtusMT">
    <w:altName w:val="苹方-简"/>
    <w:panose1 w:val="00000000000000000000"/>
    <w:charset w:val="00"/>
    <w:family w:val="roman"/>
    <w:pitch w:val="default"/>
    <w:sig w:usb0="00000000" w:usb1="00000000" w:usb2="00000000" w:usb3="00000000" w:csb0="00000000" w:csb1="00000000"/>
  </w:font>
  <w:font w:name="AdvHelvetica-bi">
    <w:altName w:val="苹方-简"/>
    <w:panose1 w:val="00000000000000000000"/>
    <w:charset w:val="00"/>
    <w:family w:val="roman"/>
    <w:pitch w:val="default"/>
    <w:sig w:usb0="00000000" w:usb1="00000000" w:usb2="00000000" w:usb3="00000000" w:csb0="00000000" w:csb1="00000000"/>
  </w:font>
  <w:font w:name="冬青黑体简体中文">
    <w:panose1 w:val="020B0300000000000000"/>
    <w:charset w:val="86"/>
    <w:family w:val="auto"/>
    <w:pitch w:val="default"/>
    <w:sig w:usb0="A00002BF" w:usb1="1ACF7CFA" w:usb2="00000016" w:usb3="00000000" w:csb0="00060007"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等线">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42A8F"/>
    <w:rsid w:val="00001011"/>
    <w:rsid w:val="000040E7"/>
    <w:rsid w:val="00017FD2"/>
    <w:rsid w:val="00055201"/>
    <w:rsid w:val="0006168A"/>
    <w:rsid w:val="00064299"/>
    <w:rsid w:val="00082B24"/>
    <w:rsid w:val="0008443A"/>
    <w:rsid w:val="00092A77"/>
    <w:rsid w:val="000A084C"/>
    <w:rsid w:val="000B0BC6"/>
    <w:rsid w:val="000C0B50"/>
    <w:rsid w:val="000D325F"/>
    <w:rsid w:val="000F4609"/>
    <w:rsid w:val="001011C0"/>
    <w:rsid w:val="00112FEF"/>
    <w:rsid w:val="00113754"/>
    <w:rsid w:val="001352BB"/>
    <w:rsid w:val="00140537"/>
    <w:rsid w:val="0017168B"/>
    <w:rsid w:val="001863F7"/>
    <w:rsid w:val="001875DE"/>
    <w:rsid w:val="001B7CB8"/>
    <w:rsid w:val="001D3457"/>
    <w:rsid w:val="001D5467"/>
    <w:rsid w:val="001D5A8A"/>
    <w:rsid w:val="0022296A"/>
    <w:rsid w:val="00223D9F"/>
    <w:rsid w:val="00252063"/>
    <w:rsid w:val="00262897"/>
    <w:rsid w:val="00266500"/>
    <w:rsid w:val="0027149B"/>
    <w:rsid w:val="002A2E16"/>
    <w:rsid w:val="002B45FC"/>
    <w:rsid w:val="002E5978"/>
    <w:rsid w:val="002F2166"/>
    <w:rsid w:val="002F3FDA"/>
    <w:rsid w:val="002F43E4"/>
    <w:rsid w:val="002F5334"/>
    <w:rsid w:val="00300C7E"/>
    <w:rsid w:val="003032F9"/>
    <w:rsid w:val="00315F85"/>
    <w:rsid w:val="00320BE8"/>
    <w:rsid w:val="00324C76"/>
    <w:rsid w:val="00335CE9"/>
    <w:rsid w:val="00354B49"/>
    <w:rsid w:val="00356AA5"/>
    <w:rsid w:val="00370F6C"/>
    <w:rsid w:val="00391AC3"/>
    <w:rsid w:val="00394CA3"/>
    <w:rsid w:val="00396F74"/>
    <w:rsid w:val="003C0DB1"/>
    <w:rsid w:val="003C71A0"/>
    <w:rsid w:val="003D350A"/>
    <w:rsid w:val="003D38DC"/>
    <w:rsid w:val="003E25D8"/>
    <w:rsid w:val="00447C99"/>
    <w:rsid w:val="0046378E"/>
    <w:rsid w:val="00475F62"/>
    <w:rsid w:val="004845F2"/>
    <w:rsid w:val="00486C2A"/>
    <w:rsid w:val="00491CD5"/>
    <w:rsid w:val="004B2AD1"/>
    <w:rsid w:val="004C057A"/>
    <w:rsid w:val="004C29A0"/>
    <w:rsid w:val="004C6289"/>
    <w:rsid w:val="004D755B"/>
    <w:rsid w:val="0050334C"/>
    <w:rsid w:val="005238D6"/>
    <w:rsid w:val="00526F62"/>
    <w:rsid w:val="00533E71"/>
    <w:rsid w:val="005356E9"/>
    <w:rsid w:val="00542E20"/>
    <w:rsid w:val="0054404B"/>
    <w:rsid w:val="0054563C"/>
    <w:rsid w:val="00560589"/>
    <w:rsid w:val="0056734D"/>
    <w:rsid w:val="005679A4"/>
    <w:rsid w:val="00571399"/>
    <w:rsid w:val="00574CBD"/>
    <w:rsid w:val="0058561D"/>
    <w:rsid w:val="005926A3"/>
    <w:rsid w:val="00596395"/>
    <w:rsid w:val="005A3F75"/>
    <w:rsid w:val="005B5DBB"/>
    <w:rsid w:val="005C4E47"/>
    <w:rsid w:val="005D005E"/>
    <w:rsid w:val="005E78F5"/>
    <w:rsid w:val="00605684"/>
    <w:rsid w:val="0060671D"/>
    <w:rsid w:val="00607E9E"/>
    <w:rsid w:val="00626347"/>
    <w:rsid w:val="0063344C"/>
    <w:rsid w:val="00646560"/>
    <w:rsid w:val="00657F44"/>
    <w:rsid w:val="00681C85"/>
    <w:rsid w:val="00694E40"/>
    <w:rsid w:val="006B5EC3"/>
    <w:rsid w:val="006B7201"/>
    <w:rsid w:val="006C4899"/>
    <w:rsid w:val="006C4CC8"/>
    <w:rsid w:val="006E130A"/>
    <w:rsid w:val="006F0952"/>
    <w:rsid w:val="006F2663"/>
    <w:rsid w:val="007060E6"/>
    <w:rsid w:val="0071045F"/>
    <w:rsid w:val="00713569"/>
    <w:rsid w:val="00715FED"/>
    <w:rsid w:val="007166C5"/>
    <w:rsid w:val="00742660"/>
    <w:rsid w:val="00761F8E"/>
    <w:rsid w:val="00770084"/>
    <w:rsid w:val="00770F78"/>
    <w:rsid w:val="00795536"/>
    <w:rsid w:val="007B1646"/>
    <w:rsid w:val="007B657B"/>
    <w:rsid w:val="007C0144"/>
    <w:rsid w:val="007C0A28"/>
    <w:rsid w:val="007C21EA"/>
    <w:rsid w:val="007D3E3B"/>
    <w:rsid w:val="007D6CC4"/>
    <w:rsid w:val="007D76DB"/>
    <w:rsid w:val="007E0DE8"/>
    <w:rsid w:val="007E4E26"/>
    <w:rsid w:val="007E5F26"/>
    <w:rsid w:val="00807F34"/>
    <w:rsid w:val="00810E99"/>
    <w:rsid w:val="008331C6"/>
    <w:rsid w:val="00833E48"/>
    <w:rsid w:val="0083631C"/>
    <w:rsid w:val="00842A8F"/>
    <w:rsid w:val="00844AA3"/>
    <w:rsid w:val="00864BCE"/>
    <w:rsid w:val="00865FE2"/>
    <w:rsid w:val="00866CAA"/>
    <w:rsid w:val="008961F9"/>
    <w:rsid w:val="008C2672"/>
    <w:rsid w:val="008D1150"/>
    <w:rsid w:val="008D5709"/>
    <w:rsid w:val="008E12BC"/>
    <w:rsid w:val="008E6F6C"/>
    <w:rsid w:val="00911CBC"/>
    <w:rsid w:val="009161D6"/>
    <w:rsid w:val="00950247"/>
    <w:rsid w:val="009704FE"/>
    <w:rsid w:val="009741DE"/>
    <w:rsid w:val="00984994"/>
    <w:rsid w:val="00990B41"/>
    <w:rsid w:val="009B2B61"/>
    <w:rsid w:val="009B6808"/>
    <w:rsid w:val="009D3E1E"/>
    <w:rsid w:val="009D3E7F"/>
    <w:rsid w:val="009E6D1E"/>
    <w:rsid w:val="00A125D9"/>
    <w:rsid w:val="00A12C06"/>
    <w:rsid w:val="00A21542"/>
    <w:rsid w:val="00A23A34"/>
    <w:rsid w:val="00A26FF8"/>
    <w:rsid w:val="00A36E16"/>
    <w:rsid w:val="00A50524"/>
    <w:rsid w:val="00A568EA"/>
    <w:rsid w:val="00A74F6D"/>
    <w:rsid w:val="00A854E0"/>
    <w:rsid w:val="00A91CA0"/>
    <w:rsid w:val="00AA5449"/>
    <w:rsid w:val="00AA5A12"/>
    <w:rsid w:val="00AA6ADB"/>
    <w:rsid w:val="00AB3CB6"/>
    <w:rsid w:val="00AB5254"/>
    <w:rsid w:val="00AC472F"/>
    <w:rsid w:val="00AD1E1B"/>
    <w:rsid w:val="00AE2703"/>
    <w:rsid w:val="00B535A1"/>
    <w:rsid w:val="00B57EF5"/>
    <w:rsid w:val="00B64C25"/>
    <w:rsid w:val="00B65ADE"/>
    <w:rsid w:val="00B80476"/>
    <w:rsid w:val="00B978BB"/>
    <w:rsid w:val="00BA2812"/>
    <w:rsid w:val="00BD3473"/>
    <w:rsid w:val="00BE49B2"/>
    <w:rsid w:val="00BE7F9E"/>
    <w:rsid w:val="00BF6ED5"/>
    <w:rsid w:val="00C00E1B"/>
    <w:rsid w:val="00C2169B"/>
    <w:rsid w:val="00C33283"/>
    <w:rsid w:val="00C42CE4"/>
    <w:rsid w:val="00C44502"/>
    <w:rsid w:val="00C52DC9"/>
    <w:rsid w:val="00C547AC"/>
    <w:rsid w:val="00C6362C"/>
    <w:rsid w:val="00C737C3"/>
    <w:rsid w:val="00C74085"/>
    <w:rsid w:val="00C74584"/>
    <w:rsid w:val="00C773DB"/>
    <w:rsid w:val="00C904A3"/>
    <w:rsid w:val="00CA3B7E"/>
    <w:rsid w:val="00CA4B37"/>
    <w:rsid w:val="00CB01F4"/>
    <w:rsid w:val="00CB02E3"/>
    <w:rsid w:val="00CB086D"/>
    <w:rsid w:val="00CB0AFF"/>
    <w:rsid w:val="00CC488B"/>
    <w:rsid w:val="00CC5D0A"/>
    <w:rsid w:val="00CE53BE"/>
    <w:rsid w:val="00CF1A04"/>
    <w:rsid w:val="00D235DA"/>
    <w:rsid w:val="00D2665D"/>
    <w:rsid w:val="00D30412"/>
    <w:rsid w:val="00D469A9"/>
    <w:rsid w:val="00D516AE"/>
    <w:rsid w:val="00D54404"/>
    <w:rsid w:val="00D60E5A"/>
    <w:rsid w:val="00D70732"/>
    <w:rsid w:val="00D81F71"/>
    <w:rsid w:val="00D85AA8"/>
    <w:rsid w:val="00DA2BF3"/>
    <w:rsid w:val="00DB358F"/>
    <w:rsid w:val="00DC38B8"/>
    <w:rsid w:val="00DF5395"/>
    <w:rsid w:val="00E13EE0"/>
    <w:rsid w:val="00E16DAD"/>
    <w:rsid w:val="00E46DC9"/>
    <w:rsid w:val="00E63A0E"/>
    <w:rsid w:val="00E81705"/>
    <w:rsid w:val="00E921B4"/>
    <w:rsid w:val="00EA07F9"/>
    <w:rsid w:val="00EA7B8E"/>
    <w:rsid w:val="00EE3458"/>
    <w:rsid w:val="00EF1225"/>
    <w:rsid w:val="00EF3598"/>
    <w:rsid w:val="00F06B70"/>
    <w:rsid w:val="00F13F00"/>
    <w:rsid w:val="00F31685"/>
    <w:rsid w:val="00F37DCD"/>
    <w:rsid w:val="00F43D84"/>
    <w:rsid w:val="00F50AAE"/>
    <w:rsid w:val="00F65A56"/>
    <w:rsid w:val="00F803E2"/>
    <w:rsid w:val="00F93066"/>
    <w:rsid w:val="00FB6774"/>
    <w:rsid w:val="00FD28B8"/>
    <w:rsid w:val="00FE09F4"/>
    <w:rsid w:val="00FF40B4"/>
    <w:rsid w:val="00FF48F8"/>
    <w:rsid w:val="1BE7BBA8"/>
    <w:rsid w:val="3DFB67DE"/>
    <w:rsid w:val="63FF4635"/>
    <w:rsid w:val="6F3B00F1"/>
    <w:rsid w:val="77BDA7E2"/>
    <w:rsid w:val="7AFBD6D1"/>
    <w:rsid w:val="7F5F3F68"/>
    <w:rsid w:val="7FCF1A28"/>
    <w:rsid w:val="9FB9F52A"/>
    <w:rsid w:val="DEC59358"/>
    <w:rsid w:val="F6FB3220"/>
    <w:rsid w:val="FBDB9DFE"/>
    <w:rsid w:val="FE370AED"/>
    <w:rsid w:val="FF7D4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qFormat="1" w:unhideWhenUsed="0" w:uiPriority="0"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annotation subject"/>
    <w:basedOn w:val="3"/>
    <w:next w:val="3"/>
    <w:link w:val="15"/>
    <w:qFormat/>
    <w:uiPriority w:val="0"/>
    <w:rPr>
      <w:b/>
      <w:bCs/>
    </w:rPr>
  </w:style>
  <w:style w:type="paragraph" w:styleId="3">
    <w:name w:val="annotation text"/>
    <w:basedOn w:val="1"/>
    <w:link w:val="14"/>
    <w:qFormat/>
    <w:uiPriority w:val="99"/>
    <w:pPr>
      <w:jc w:val="left"/>
    </w:pPr>
  </w:style>
  <w:style w:type="paragraph" w:styleId="4">
    <w:name w:val="Document Map"/>
    <w:basedOn w:val="1"/>
    <w:link w:val="24"/>
    <w:unhideWhenUsed/>
    <w:qFormat/>
    <w:uiPriority w:val="99"/>
    <w:rPr>
      <w:rFonts w:ascii="宋体" w:eastAsia="宋体"/>
      <w:sz w:val="24"/>
    </w:rPr>
  </w:style>
  <w:style w:type="paragraph" w:styleId="5">
    <w:name w:val="Balloon Text"/>
    <w:basedOn w:val="1"/>
    <w:link w:val="16"/>
    <w:qFormat/>
    <w:uiPriority w:val="0"/>
    <w:rPr>
      <w:sz w:val="18"/>
      <w:szCs w:val="18"/>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9">
    <w:name w:val="FollowedHyperlink"/>
    <w:basedOn w:val="8"/>
    <w:unhideWhenUsed/>
    <w:qFormat/>
    <w:uiPriority w:val="99"/>
    <w:rPr>
      <w:color w:val="954F72"/>
      <w:u w:val="single"/>
    </w:rPr>
  </w:style>
  <w:style w:type="character" w:styleId="10">
    <w:name w:val="line number"/>
    <w:qFormat/>
    <w:uiPriority w:val="0"/>
    <w:rPr>
      <w:rFonts w:ascii="Times New Roman" w:hAnsi="Times New Roman" w:cs="Times New Roman"/>
      <w:sz w:val="24"/>
    </w:rPr>
  </w:style>
  <w:style w:type="character" w:styleId="11">
    <w:name w:val="Hyperlink"/>
    <w:basedOn w:val="8"/>
    <w:unhideWhenUsed/>
    <w:qFormat/>
    <w:uiPriority w:val="99"/>
    <w:rPr>
      <w:color w:val="0563C1"/>
      <w:u w:val="single"/>
    </w:rPr>
  </w:style>
  <w:style w:type="character" w:styleId="12">
    <w:name w:val="annotation reference"/>
    <w:basedOn w:val="8"/>
    <w:qFormat/>
    <w:uiPriority w:val="99"/>
    <w:rPr>
      <w:sz w:val="21"/>
      <w:szCs w:val="21"/>
    </w:rPr>
  </w:style>
  <w:style w:type="character" w:customStyle="1" w:styleId="14">
    <w:name w:val="批注文字 字符"/>
    <w:basedOn w:val="8"/>
    <w:link w:val="3"/>
    <w:qFormat/>
    <w:uiPriority w:val="99"/>
    <w:rPr>
      <w:rFonts w:asciiTheme="minorHAnsi" w:hAnsiTheme="minorHAnsi" w:cstheme="minorBidi"/>
      <w:sz w:val="21"/>
    </w:rPr>
  </w:style>
  <w:style w:type="character" w:customStyle="1" w:styleId="15">
    <w:name w:val="批注主题 字符"/>
    <w:basedOn w:val="14"/>
    <w:link w:val="2"/>
    <w:qFormat/>
    <w:uiPriority w:val="0"/>
    <w:rPr>
      <w:rFonts w:asciiTheme="minorHAnsi" w:hAnsiTheme="minorHAnsi" w:cstheme="minorBidi"/>
      <w:b/>
      <w:bCs/>
      <w:sz w:val="21"/>
    </w:rPr>
  </w:style>
  <w:style w:type="character" w:customStyle="1" w:styleId="16">
    <w:name w:val="批注框文本 字符"/>
    <w:basedOn w:val="8"/>
    <w:link w:val="5"/>
    <w:qFormat/>
    <w:uiPriority w:val="0"/>
    <w:rPr>
      <w:rFonts w:asciiTheme="minorHAnsi" w:hAnsiTheme="minorHAnsi" w:cstheme="minorBidi"/>
      <w:sz w:val="18"/>
      <w:szCs w:val="18"/>
    </w:rPr>
  </w:style>
  <w:style w:type="character" w:customStyle="1" w:styleId="17">
    <w:name w:val="页脚 字符"/>
    <w:basedOn w:val="8"/>
    <w:link w:val="6"/>
    <w:qFormat/>
    <w:uiPriority w:val="99"/>
    <w:rPr>
      <w:rFonts w:asciiTheme="minorHAnsi" w:hAnsiTheme="minorHAnsi" w:cstheme="minorBidi"/>
      <w:sz w:val="18"/>
      <w:szCs w:val="18"/>
    </w:rPr>
  </w:style>
  <w:style w:type="character" w:customStyle="1" w:styleId="18">
    <w:name w:val="页眉 字符"/>
    <w:basedOn w:val="8"/>
    <w:link w:val="7"/>
    <w:qFormat/>
    <w:uiPriority w:val="0"/>
    <w:rPr>
      <w:rFonts w:asciiTheme="minorHAnsi" w:hAnsiTheme="minorHAnsi" w:cstheme="minorBidi"/>
      <w:sz w:val="18"/>
      <w:szCs w:val="18"/>
    </w:rPr>
  </w:style>
  <w:style w:type="paragraph" w:customStyle="1" w:styleId="19">
    <w:name w:val="EndNote Bibliography Title"/>
    <w:basedOn w:val="1"/>
    <w:link w:val="20"/>
    <w:qFormat/>
    <w:uiPriority w:val="0"/>
    <w:pPr>
      <w:jc w:val="center"/>
    </w:pPr>
    <w:rPr>
      <w:rFonts w:ascii="Calibri" w:hAnsi="Calibri" w:cs="Calibri"/>
      <w:sz w:val="24"/>
    </w:rPr>
  </w:style>
  <w:style w:type="character" w:customStyle="1" w:styleId="20">
    <w:name w:val="EndNote Bibliography Title 字符"/>
    <w:basedOn w:val="8"/>
    <w:link w:val="19"/>
    <w:qFormat/>
    <w:uiPriority w:val="0"/>
    <w:rPr>
      <w:rFonts w:ascii="Calibri" w:hAnsi="Calibri" w:cs="Calibri"/>
    </w:rPr>
  </w:style>
  <w:style w:type="paragraph" w:customStyle="1" w:styleId="21">
    <w:name w:val="EndNote Bibliography"/>
    <w:basedOn w:val="1"/>
    <w:link w:val="22"/>
    <w:qFormat/>
    <w:uiPriority w:val="0"/>
    <w:rPr>
      <w:rFonts w:ascii="Calibri" w:hAnsi="Calibri" w:cs="Calibri"/>
      <w:sz w:val="24"/>
    </w:rPr>
  </w:style>
  <w:style w:type="character" w:customStyle="1" w:styleId="22">
    <w:name w:val="EndNote Bibliography 字符"/>
    <w:basedOn w:val="8"/>
    <w:link w:val="21"/>
    <w:qFormat/>
    <w:uiPriority w:val="0"/>
    <w:rPr>
      <w:rFonts w:ascii="Calibri" w:hAnsi="Calibri" w:cs="Calibri"/>
    </w:rPr>
  </w:style>
  <w:style w:type="paragraph" w:customStyle="1" w:styleId="23">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4">
    <w:name w:val="文档结构图 字符"/>
    <w:basedOn w:val="8"/>
    <w:link w:val="4"/>
    <w:semiHidden/>
    <w:qFormat/>
    <w:uiPriority w:val="99"/>
    <w:rPr>
      <w:rFonts w:ascii="宋体" w:eastAsia="宋体" w:hAnsiTheme="minorHAnsi" w:cstheme="minorBidi"/>
      <w:kern w:val="2"/>
      <w:sz w:val="24"/>
      <w:szCs w:val="24"/>
    </w:rPr>
  </w:style>
  <w:style w:type="paragraph" w:customStyle="1" w:styleId="25">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6">
    <w:name w:val="msonormal"/>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7">
    <w:name w:val="font5"/>
    <w:basedOn w:val="1"/>
    <w:qFormat/>
    <w:uiPriority w:val="0"/>
    <w:pPr>
      <w:widowControl/>
      <w:spacing w:before="100" w:beforeAutospacing="1" w:after="100" w:afterAutospacing="1"/>
      <w:jc w:val="left"/>
    </w:pPr>
    <w:rPr>
      <w:rFonts w:ascii="宋体" w:hAnsi="宋体" w:eastAsia="宋体" w:cs="宋体"/>
      <w:b/>
      <w:bCs/>
      <w:kern w:val="0"/>
      <w:sz w:val="18"/>
      <w:szCs w:val="18"/>
    </w:rPr>
  </w:style>
  <w:style w:type="paragraph" w:customStyle="1" w:styleId="28">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9">
    <w:name w:val="xl65"/>
    <w:basedOn w:val="1"/>
    <w:qFormat/>
    <w:uiPriority w:val="0"/>
    <w:pPr>
      <w:widowControl/>
      <w:spacing w:before="100" w:beforeAutospacing="1" w:after="100" w:afterAutospacing="1"/>
      <w:jc w:val="left"/>
    </w:pPr>
    <w:rPr>
      <w:rFonts w:ascii="Times New Roman" w:hAnsi="Times New Roman" w:eastAsia="宋体" w:cs="Times New Roman"/>
      <w:kern w:val="0"/>
      <w:sz w:val="24"/>
    </w:rPr>
  </w:style>
  <w:style w:type="paragraph" w:customStyle="1" w:styleId="30">
    <w:name w:val="xl66"/>
    <w:basedOn w:val="1"/>
    <w:qFormat/>
    <w:uiPriority w:val="0"/>
    <w:pPr>
      <w:widowControl/>
      <w:spacing w:before="100" w:beforeAutospacing="1" w:after="100" w:afterAutospacing="1"/>
      <w:jc w:val="left"/>
    </w:pPr>
    <w:rPr>
      <w:rFonts w:ascii="Times New Roman" w:hAnsi="Times New Roman" w:eastAsia="宋体" w:cs="Times New Roman"/>
      <w:kern w:val="0"/>
      <w:sz w:val="24"/>
    </w:rPr>
  </w:style>
  <w:style w:type="paragraph" w:customStyle="1" w:styleId="31">
    <w:name w:val="xl67"/>
    <w:basedOn w:val="1"/>
    <w:qFormat/>
    <w:uiPriority w:val="0"/>
    <w:pPr>
      <w:widowControl/>
      <w:spacing w:before="100" w:beforeAutospacing="1" w:after="100" w:afterAutospacing="1"/>
      <w:jc w:val="left"/>
    </w:pPr>
    <w:rPr>
      <w:rFonts w:ascii="Times New Roman" w:hAnsi="Times New Roman" w:eastAsia="宋体" w:cs="Times New Roman"/>
      <w:kern w:val="0"/>
      <w:sz w:val="24"/>
    </w:rPr>
  </w:style>
  <w:style w:type="paragraph" w:customStyle="1" w:styleId="32">
    <w:name w:val="xl68"/>
    <w:basedOn w:val="1"/>
    <w:qFormat/>
    <w:uiPriority w:val="0"/>
    <w:pPr>
      <w:widowControl/>
      <w:spacing w:before="100" w:beforeAutospacing="1" w:after="100" w:afterAutospacing="1"/>
      <w:jc w:val="left"/>
    </w:pPr>
    <w:rPr>
      <w:rFonts w:ascii="Times New Roman" w:hAnsi="Times New Roman" w:eastAsia="宋体" w:cs="Times New Roman"/>
      <w:b/>
      <w:bCs/>
      <w:kern w:val="0"/>
      <w:sz w:val="24"/>
    </w:rPr>
  </w:style>
  <w:style w:type="paragraph" w:customStyle="1" w:styleId="33">
    <w:name w:val="xl69"/>
    <w:basedOn w:val="1"/>
    <w:qFormat/>
    <w:uiPriority w:val="0"/>
    <w:pPr>
      <w:widowControl/>
      <w:spacing w:before="100" w:beforeAutospacing="1" w:after="100" w:afterAutospacing="1"/>
      <w:jc w:val="left"/>
    </w:pPr>
    <w:rPr>
      <w:rFonts w:ascii="Times New Roman" w:hAnsi="Times New Roman" w:eastAsia="宋体" w:cs="Times New Roman"/>
      <w:b/>
      <w:bCs/>
      <w:kern w:val="0"/>
      <w:sz w:val="24"/>
    </w:rPr>
  </w:style>
  <w:style w:type="paragraph" w:customStyle="1" w:styleId="34">
    <w:name w:val="xl7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5">
    <w:name w:val="xl7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6">
    <w:name w:val="xl72"/>
    <w:basedOn w:val="1"/>
    <w:qFormat/>
    <w:uiPriority w:val="0"/>
    <w:pPr>
      <w:widowControl/>
      <w:spacing w:before="100" w:beforeAutospacing="1" w:after="100" w:afterAutospacing="1"/>
      <w:jc w:val="left"/>
    </w:pPr>
    <w:rPr>
      <w:rFonts w:ascii="Times New Roman" w:hAnsi="Times New Roman" w:eastAsia="宋体" w:cs="Times New Roman"/>
      <w:kern w:val="0"/>
      <w:sz w:val="24"/>
    </w:rPr>
  </w:style>
  <w:style w:type="paragraph" w:customStyle="1" w:styleId="37">
    <w:name w:val="xl7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2489</Words>
  <Characters>14189</Characters>
  <Lines>118</Lines>
  <Paragraphs>33</Paragraphs>
  <ScaleCrop>false</ScaleCrop>
  <LinksUpToDate>false</LinksUpToDate>
  <CharactersWithSpaces>16645</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2021-06-22T19:07:00Z</dcterms:created>
  <dc:creator>clamp131</dc:creator>
  <cp:lastModifiedBy>tanshengjun</cp:lastModifiedBy>
  <cp:lastPrinted>2021-04-30T19:01:00Z</cp:lastPrinted>
  <dcterms:modified xsi:type="dcterms:W3CDTF">2021-06-22T16:55:44Z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