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sz w:val="24"/>
          <w:szCs w:val="24"/>
        </w:rPr>
      </w:pPr>
      <w:r>
        <w:rPr>
          <w:rFonts w:ascii="Times New Roman" w:hAnsi="Times New Roman" w:cs="Times New Roman"/>
          <w:b/>
          <w:sz w:val="24"/>
          <w:szCs w:val="24"/>
        </w:rPr>
        <w:t>Description for Supplementary Data files</w:t>
      </w:r>
    </w:p>
    <w:p>
      <w:pPr>
        <w:rPr>
          <w:rFonts w:ascii="Times New Roman" w:hAnsi="Times New Roman" w:cs="Times New Roman"/>
          <w:b/>
          <w:sz w:val="24"/>
          <w:szCs w:val="24"/>
        </w:rPr>
      </w:pPr>
    </w:p>
    <w:p>
      <w:pPr>
        <w:widowControl/>
        <w:rPr>
          <w:rFonts w:ascii="Times New Roman" w:hAnsi="Times New Roman" w:eastAsia="等线" w:cs="Times New Roman"/>
          <w:bCs/>
          <w:kern w:val="0"/>
          <w:sz w:val="24"/>
          <w:szCs w:val="24"/>
        </w:rPr>
      </w:pPr>
      <w:r>
        <w:rPr>
          <w:rFonts w:ascii="Times New Roman" w:hAnsi="Times New Roman" w:cs="Times New Roman"/>
          <w:sz w:val="24"/>
          <w:szCs w:val="24"/>
        </w:rPr>
        <w:t>File Name: Supplementary Data 1</w:t>
      </w:r>
    </w:p>
    <w:p>
      <w:pPr>
        <w:widowControl/>
        <w:rPr>
          <w:rFonts w:ascii="Times New Roman" w:hAnsi="Times New Roman" w:eastAsia="等线" w:cs="Times New Roman"/>
          <w:kern w:val="0"/>
          <w:sz w:val="24"/>
          <w:szCs w:val="24"/>
        </w:rPr>
      </w:pPr>
      <w:r>
        <w:rPr>
          <w:rFonts w:ascii="Times New Roman" w:hAnsi="Times New Roman" w:eastAsia="等线" w:cs="Times New Roman"/>
          <w:color w:val="000000"/>
          <w:kern w:val="0"/>
          <w:sz w:val="24"/>
          <w:szCs w:val="24"/>
        </w:rPr>
        <w:t xml:space="preserve">Description: </w:t>
      </w:r>
      <w:r>
        <w:rPr>
          <w:rFonts w:ascii="Times New Roman" w:hAnsi="Times New Roman" w:eastAsia="等线" w:cs="Times New Roman"/>
          <w:b/>
          <w:bCs/>
          <w:kern w:val="0"/>
          <w:sz w:val="24"/>
          <w:szCs w:val="24"/>
        </w:rPr>
        <w:t>Three hundred seventy Pack-TIRs identified in animals.</w:t>
      </w:r>
      <w:r>
        <w:rPr>
          <w:rFonts w:ascii="Times New Roman" w:hAnsi="Times New Roman" w:eastAsia="等线" w:cs="Times New Roman"/>
          <w:color w:val="000000"/>
          <w:kern w:val="0"/>
          <w:sz w:val="24"/>
          <w:szCs w:val="24"/>
        </w:rPr>
        <w:t xml:space="preserve"> Note: this list consists of four multicopy Pack-TIR families. #25, #358 and #359 (IDs in the first column) are actually multicopy, but their other members contain additional mutations (deletions or duplications in TEs) and thus show an identity lower than</w:t>
      </w:r>
      <w:r>
        <w:rPr>
          <w:rFonts w:ascii="Times New Roman" w:hAnsi="Times New Roman" w:eastAsia="等线" w:cs="Times New Roman"/>
          <w:color w:val="FF0000"/>
          <w:kern w:val="0"/>
          <w:sz w:val="24"/>
          <w:szCs w:val="24"/>
        </w:rPr>
        <w:t xml:space="preserve"> </w:t>
      </w:r>
      <w:r>
        <w:rPr>
          <w:rFonts w:ascii="Times New Roman" w:hAnsi="Times New Roman" w:eastAsia="等线" w:cs="Times New Roman"/>
          <w:color w:val="000000"/>
          <w:kern w:val="0"/>
          <w:sz w:val="24"/>
          <w:szCs w:val="24"/>
        </w:rPr>
        <w:t xml:space="preserve">the cutoff in our pipeline (Methods). #341, #344 and #354 belong to one Pack-TIR family (Fig. 1D) and are all retained in our dataset. A large duplication containing Pack-TIR #296 generated #295 in the sloth. After excluding #341, #354, #295 and the redundant orthologous Pack-TIRs in primates (also see Supplementary </w:t>
      </w:r>
      <w:r>
        <w:rPr>
          <w:rFonts w:ascii="Times New Roman" w:hAnsi="Times New Roman" w:eastAsia="等线" w:cs="Times New Roman"/>
          <w:kern w:val="0"/>
          <w:sz w:val="24"/>
          <w:szCs w:val="24"/>
        </w:rPr>
        <w:t>Data 3), 281 cases were subsequently considered as nonredundant Pack-TIRs. The consensus TE is defined as that matching the consensus sequence in RepBase from start to end, which corresponds to "repStart=1 and repLeft=0" in RepeatMasker annotation files. The median divergence value was calculated between each individual copy and the consensus copy.</w:t>
      </w:r>
    </w:p>
    <w:p>
      <w:pPr>
        <w:widowControl/>
        <w:rPr>
          <w:rFonts w:ascii="Times New Roman" w:hAnsi="Times New Roman" w:eastAsia="等线" w:cs="Times New Roman"/>
          <w:kern w:val="0"/>
          <w:sz w:val="24"/>
          <w:szCs w:val="24"/>
        </w:rPr>
      </w:pPr>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2</w:t>
      </w:r>
    </w:p>
    <w:p>
      <w:pPr>
        <w:widowControl/>
        <w:rPr>
          <w:rFonts w:ascii="Times New Roman" w:hAnsi="Times New Roman" w:eastAsia="等线" w:cs="Times New Roman"/>
          <w:color w:val="000000"/>
          <w:kern w:val="0"/>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kern w:val="0"/>
          <w:sz w:val="24"/>
          <w:szCs w:val="24"/>
        </w:rPr>
        <w:t xml:space="preserve">Number of Pack-TIRs and DNA TEs in each species. </w:t>
      </w:r>
      <w:r>
        <w:rPr>
          <w:rFonts w:ascii="Times New Roman" w:hAnsi="Times New Roman" w:eastAsia="等线" w:cs="Times New Roman"/>
          <w:color w:val="000000"/>
          <w:kern w:val="0"/>
          <w:sz w:val="24"/>
          <w:szCs w:val="24"/>
        </w:rPr>
        <w:t>The consensus TE was defined as that matching the consensus sequence in Repbase from start to end, which corresponds to "repStart=1 and repLeft=0" in RepeatMasker annotation files. In addition to the number of Pack-TIRs and total number of concensus TEs, the number of 16 individual superfamilies is also shown.</w:t>
      </w:r>
    </w:p>
    <w:p>
      <w:pPr>
        <w:widowControl/>
        <w:rPr>
          <w:rFonts w:ascii="Times New Roman" w:hAnsi="Times New Roman" w:eastAsia="等线" w:cs="Times New Roman"/>
          <w:b/>
          <w:bCs/>
          <w:kern w:val="0"/>
          <w:sz w:val="24"/>
          <w:szCs w:val="24"/>
        </w:rPr>
      </w:pPr>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3</w:t>
      </w:r>
    </w:p>
    <w:p>
      <w:pPr>
        <w:widowControl/>
        <w:rPr>
          <w:rFonts w:ascii="Times New Roman" w:hAnsi="Times New Roman" w:eastAsia="等线" w:cs="Times New Roman"/>
          <w:color w:val="000000"/>
          <w:kern w:val="0"/>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kern w:val="0"/>
          <w:sz w:val="24"/>
          <w:szCs w:val="24"/>
        </w:rPr>
        <w:t xml:space="preserve">Orthology mapping and origination model for 97 nonredundant Pack-TIRs in primates. </w:t>
      </w:r>
      <w:r>
        <w:rPr>
          <w:rFonts w:ascii="Times New Roman" w:hAnsi="Times New Roman" w:eastAsia="等线" w:cs="Times New Roman"/>
          <w:color w:val="000000"/>
          <w:kern w:val="0"/>
          <w:sz w:val="24"/>
          <w:szCs w:val="24"/>
        </w:rPr>
        <w:t>The IDs follow those in Supplementary Data 1. Cases initially identified by our pipeline are marked in light blue. "+" or "-" represents the presence or absence of Pack-TIR across 18 primates (Columns Human to Bushbaby). If multiple IDs are shown in the first column, the corresponding cases are orthologous across the relevant species. For example, #160 and #209 are orthologous whereas their couterparts have been deleted in chimpanzees and bonobos. For another example, #127 was initially identified in gibbon, but emerged in the common ancestor of humans, chimpanzees, bonobos, gorillas, orangutans and gibbons. Because its orthologs did not pass the search cutoff (</w:t>
      </w:r>
      <w:r>
        <w:rPr>
          <w:rFonts w:ascii="Times New Roman" w:hAnsi="Times New Roman" w:eastAsia="等线" w:cs="Times New Roman"/>
          <w:i/>
          <w:color w:val="000000"/>
          <w:kern w:val="0"/>
          <w:sz w:val="24"/>
          <w:szCs w:val="24"/>
        </w:rPr>
        <w:t>e.g.</w:t>
      </w:r>
      <w:r>
        <w:rPr>
          <w:rFonts w:ascii="Times New Roman" w:hAnsi="Times New Roman" w:eastAsia="等线" w:cs="Times New Roman"/>
          <w:color w:val="000000"/>
          <w:kern w:val="0"/>
          <w:sz w:val="24"/>
          <w:szCs w:val="24"/>
        </w:rPr>
        <w:t>, TE insertion in the 100-bp flanking region of the parental copy), these were not identified in the initial search. For the Origination Model, 91 cases were compatible with post-transposition duplication (Fig. 2E) and were thus given the label "Gap-filling". For these 91 cases, we show only one species as an example (Column "Status of TE or Pack-TIR in the related species") which harbors TE but not the duplication (</w:t>
      </w:r>
      <w:r>
        <w:rPr>
          <w:rFonts w:ascii="Times New Roman" w:hAnsi="Times New Roman" w:eastAsia="等线" w:cs="Times New Roman"/>
          <w:i/>
          <w:color w:val="000000"/>
          <w:kern w:val="0"/>
          <w:sz w:val="24"/>
          <w:szCs w:val="24"/>
        </w:rPr>
        <w:t>e.g.</w:t>
      </w:r>
      <w:r>
        <w:rPr>
          <w:rFonts w:ascii="Times New Roman" w:hAnsi="Times New Roman" w:eastAsia="等线" w:cs="Times New Roman"/>
          <w:color w:val="000000"/>
          <w:kern w:val="0"/>
          <w:sz w:val="24"/>
          <w:szCs w:val="24"/>
        </w:rPr>
        <w:t>, #127), because other outgroup species show similar information. We could not make the inference for six cases (Supplementary Fig. 5) due to lack of information (</w:t>
      </w:r>
      <w:r>
        <w:rPr>
          <w:rFonts w:ascii="Times New Roman" w:hAnsi="Times New Roman" w:eastAsia="等线" w:cs="Times New Roman"/>
          <w:i/>
          <w:color w:val="000000"/>
          <w:kern w:val="0"/>
          <w:sz w:val="24"/>
          <w:szCs w:val="24"/>
        </w:rPr>
        <w:t>e.g.</w:t>
      </w:r>
      <w:r>
        <w:rPr>
          <w:rFonts w:ascii="Times New Roman" w:hAnsi="Times New Roman" w:eastAsia="等线" w:cs="Times New Roman"/>
          <w:color w:val="000000"/>
          <w:kern w:val="0"/>
          <w:sz w:val="24"/>
          <w:szCs w:val="24"/>
        </w:rPr>
        <w:t>, lacking orthologous TEs in the outgroup species) and thus labeled these as "Unknown". For five out of six cases (</w:t>
      </w:r>
      <w:r>
        <w:rPr>
          <w:rFonts w:ascii="Times New Roman" w:hAnsi="Times New Roman" w:eastAsia="等线" w:cs="Times New Roman"/>
          <w:i/>
          <w:color w:val="000000"/>
          <w:kern w:val="0"/>
          <w:sz w:val="24"/>
          <w:szCs w:val="24"/>
        </w:rPr>
        <w:t>e.g.</w:t>
      </w:r>
      <w:r>
        <w:rPr>
          <w:rFonts w:ascii="Times New Roman" w:hAnsi="Times New Roman" w:eastAsia="等线" w:cs="Times New Roman"/>
          <w:color w:val="000000"/>
          <w:kern w:val="0"/>
          <w:sz w:val="24"/>
          <w:szCs w:val="24"/>
        </w:rPr>
        <w:t xml:space="preserve">, #269), we show how the whole Pack-TIR together with its 5' and 3' flanking regions were absent in an example outgroup species. The last case ("#265, #178, #106, #288, #150, #162") is shared by 16 primates (lost in two species) suggesting an ancient origin. </w:t>
      </w:r>
    </w:p>
    <w:p>
      <w:pPr>
        <w:rPr>
          <w:rFonts w:hint="eastAsia" w:ascii="Times New Roman" w:hAnsi="Times New Roman" w:cs="Times New Roman"/>
          <w:sz w:val="24"/>
          <w:szCs w:val="24"/>
        </w:rPr>
      </w:pPr>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4</w:t>
      </w:r>
    </w:p>
    <w:p>
      <w:pPr>
        <w:widowControl/>
        <w:rPr>
          <w:rFonts w:ascii="Times New Roman" w:hAnsi="Times New Roman" w:eastAsia="等线" w:cs="Times New Roman"/>
          <w:color w:val="000000"/>
          <w:kern w:val="0"/>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kern w:val="0"/>
          <w:sz w:val="24"/>
          <w:szCs w:val="24"/>
        </w:rPr>
        <w:t xml:space="preserve">Thirty-three Pack-TIRs in humans. </w:t>
      </w:r>
      <w:r>
        <w:rPr>
          <w:rFonts w:ascii="Times New Roman" w:hAnsi="Times New Roman" w:eastAsia="等线" w:cs="Times New Roman"/>
          <w:color w:val="000000"/>
          <w:kern w:val="0"/>
          <w:sz w:val="24"/>
          <w:szCs w:val="24"/>
        </w:rPr>
        <w:t xml:space="preserve">The 12 cases initially called by the pipeline are marked in blue. The features of the parental copy and Pack-TIRs are shown separately. The host genes refer to genes into which Pack-TIRs were duplicated. </w:t>
      </w:r>
    </w:p>
    <w:p>
      <w:pPr>
        <w:rPr>
          <w:rFonts w:hint="eastAsia" w:ascii="Times New Roman" w:hAnsi="Times New Roman" w:cs="Times New Roman"/>
          <w:sz w:val="24"/>
          <w:szCs w:val="24"/>
        </w:rPr>
      </w:pPr>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5</w:t>
      </w:r>
    </w:p>
    <w:p>
      <w:pPr>
        <w:widowControl/>
        <w:rPr>
          <w:rFonts w:ascii="Times New Roman" w:hAnsi="Times New Roman" w:eastAsia="等线" w:cs="Times New Roman"/>
          <w:kern w:val="0"/>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i/>
          <w:iCs/>
          <w:kern w:val="0"/>
          <w:sz w:val="24"/>
          <w:szCs w:val="24"/>
        </w:rPr>
        <w:t>Ssk-FB4</w:t>
      </w:r>
      <w:r>
        <w:rPr>
          <w:rFonts w:ascii="Times New Roman" w:hAnsi="Times New Roman" w:eastAsia="等线" w:cs="Times New Roman"/>
          <w:b/>
          <w:bCs/>
          <w:kern w:val="0"/>
          <w:sz w:val="24"/>
          <w:szCs w:val="24"/>
        </w:rPr>
        <w:t xml:space="preserve"> loci among DGRP lines. </w:t>
      </w:r>
      <w:r>
        <w:rPr>
          <w:rFonts w:ascii="Times New Roman" w:hAnsi="Times New Roman" w:eastAsia="等线" w:cs="Times New Roman"/>
          <w:kern w:val="0"/>
          <w:sz w:val="24"/>
          <w:szCs w:val="24"/>
        </w:rPr>
        <w:t>The individual</w:t>
      </w:r>
      <w:r>
        <w:rPr>
          <w:rFonts w:ascii="Times New Roman" w:hAnsi="Times New Roman" w:eastAsia="等线" w:cs="Times New Roman"/>
          <w:i/>
          <w:iCs/>
          <w:kern w:val="0"/>
          <w:sz w:val="24"/>
          <w:szCs w:val="24"/>
        </w:rPr>
        <w:t xml:space="preserve"> Ssk-FB4s</w:t>
      </w:r>
      <w:r>
        <w:rPr>
          <w:rFonts w:ascii="Times New Roman" w:hAnsi="Times New Roman" w:eastAsia="等线" w:cs="Times New Roman"/>
          <w:kern w:val="0"/>
          <w:sz w:val="24"/>
          <w:szCs w:val="24"/>
        </w:rPr>
        <w:t xml:space="preserve"> at chrX: 2.7 Mb, chr3R: 17.7 Mb and chr3R: 14.3 Mb were genotyped using split-read based method. The copy (chr3R: 17.7 Mb_TD) was genotyped based on the nucleotide changes relative to the copy at chr3R: 17.7 Mb. ST means standard karyotype, whereas INV stands for inversion (Huang </w:t>
      </w:r>
      <w:r>
        <w:rPr>
          <w:rFonts w:hint="default" w:ascii="Times New Roman Italic" w:hAnsi="Times New Roman Italic" w:eastAsia="等线" w:cs="Times New Roman Italic"/>
          <w:i/>
          <w:iCs/>
          <w:kern w:val="0"/>
          <w:sz w:val="24"/>
          <w:szCs w:val="24"/>
        </w:rPr>
        <w:t>et al</w:t>
      </w:r>
      <w:r>
        <w:rPr>
          <w:rFonts w:hint="default" w:ascii="Times New Roman Italic" w:hAnsi="Times New Roman Italic" w:eastAsia="等线" w:cs="Times New Roman Italic"/>
          <w:i/>
          <w:iCs/>
          <w:kern w:val="0"/>
          <w:sz w:val="24"/>
          <w:szCs w:val="24"/>
        </w:rPr>
        <w:t>.</w:t>
      </w:r>
      <w:r>
        <w:rPr>
          <w:rFonts w:ascii="Times New Roman" w:hAnsi="Times New Roman" w:eastAsia="等线" w:cs="Times New Roman"/>
          <w:kern w:val="0"/>
          <w:sz w:val="24"/>
          <w:szCs w:val="24"/>
        </w:rPr>
        <w:t>,</w:t>
      </w:r>
      <w:r>
        <w:rPr>
          <w:rFonts w:ascii="Times New Roman" w:hAnsi="Times New Roman" w:eastAsia="等线" w:cs="Times New Roman"/>
          <w:kern w:val="0"/>
          <w:sz w:val="24"/>
          <w:szCs w:val="24"/>
        </w:rPr>
        <w:t xml:space="preserve"> 2014). Line 514 does not have inversion information and was thus labeled "NA". For four genotyping results, we relied on only one informatic read, as marked in the column "Additional information". Taking Row 26 as an example, most reads support the absence of</w:t>
      </w:r>
      <w:r>
        <w:rPr>
          <w:rFonts w:ascii="Times New Roman" w:hAnsi="Times New Roman" w:eastAsia="等线" w:cs="Times New Roman"/>
          <w:i/>
          <w:iCs/>
          <w:kern w:val="0"/>
          <w:sz w:val="24"/>
          <w:szCs w:val="24"/>
        </w:rPr>
        <w:t xml:space="preserve"> Ssk-FB4</w:t>
      </w:r>
      <w:r>
        <w:rPr>
          <w:rFonts w:ascii="Times New Roman" w:hAnsi="Times New Roman" w:eastAsia="等线" w:cs="Times New Roman"/>
          <w:kern w:val="0"/>
          <w:sz w:val="24"/>
          <w:szCs w:val="24"/>
        </w:rPr>
        <w:t xml:space="preserve"> with the exception of only one read supporting its presence. All other genotyping results are supported by more than one read.</w:t>
      </w:r>
    </w:p>
    <w:p>
      <w:pPr>
        <w:rPr>
          <w:rFonts w:hint="eastAsia" w:ascii="Times New Roman" w:hAnsi="Times New Roman" w:cs="Times New Roman"/>
          <w:sz w:val="24"/>
          <w:szCs w:val="24"/>
        </w:rPr>
      </w:pPr>
      <w:bookmarkStart w:id="0" w:name="_GoBack"/>
      <w:bookmarkEnd w:id="0"/>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6</w:t>
      </w:r>
    </w:p>
    <w:p>
      <w:pPr>
        <w:widowControl/>
        <w:rPr>
          <w:rFonts w:ascii="Times New Roman" w:hAnsi="Times New Roman" w:eastAsia="等线" w:cs="Times New Roman"/>
          <w:b/>
          <w:bCs/>
          <w:kern w:val="0"/>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i/>
          <w:iCs/>
          <w:kern w:val="0"/>
          <w:sz w:val="24"/>
          <w:szCs w:val="24"/>
        </w:rPr>
        <w:t>Ssk-FB4</w:t>
      </w:r>
      <w:r>
        <w:rPr>
          <w:rFonts w:ascii="Times New Roman" w:hAnsi="Times New Roman" w:eastAsia="等线" w:cs="Times New Roman"/>
          <w:b/>
          <w:bCs/>
          <w:kern w:val="0"/>
          <w:sz w:val="24"/>
          <w:szCs w:val="24"/>
        </w:rPr>
        <w:t xml:space="preserve"> loci identified in GDL lines.</w:t>
      </w:r>
    </w:p>
    <w:p>
      <w:pPr>
        <w:rPr>
          <w:rFonts w:hint="eastAsia" w:ascii="Times New Roman" w:hAnsi="Times New Roman" w:cs="Times New Roman"/>
          <w:sz w:val="24"/>
          <w:szCs w:val="24"/>
        </w:rPr>
      </w:pPr>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7</w:t>
      </w:r>
    </w:p>
    <w:p>
      <w:pPr>
        <w:widowControl/>
        <w:rPr>
          <w:rFonts w:ascii="Times New Roman" w:hAnsi="Times New Roman" w:eastAsia="等线" w:cs="Times New Roman"/>
          <w:color w:val="000000"/>
          <w:kern w:val="0"/>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kern w:val="0"/>
          <w:sz w:val="24"/>
          <w:szCs w:val="24"/>
        </w:rPr>
        <w:t xml:space="preserve">Presence or absence of the six </w:t>
      </w:r>
      <w:r>
        <w:rPr>
          <w:rFonts w:ascii="Times New Roman" w:hAnsi="Times New Roman" w:eastAsia="等线" w:cs="Times New Roman"/>
          <w:b/>
          <w:bCs/>
          <w:i/>
          <w:iCs/>
          <w:kern w:val="0"/>
          <w:sz w:val="24"/>
          <w:szCs w:val="24"/>
        </w:rPr>
        <w:t>FB4s</w:t>
      </w:r>
      <w:r>
        <w:rPr>
          <w:rFonts w:ascii="Times New Roman" w:hAnsi="Times New Roman" w:eastAsia="等线" w:cs="Times New Roman"/>
          <w:b/>
          <w:bCs/>
          <w:kern w:val="0"/>
          <w:sz w:val="24"/>
          <w:szCs w:val="24"/>
        </w:rPr>
        <w:t xml:space="preserve"> in six DGRP lines sequenced by PacBio. </w:t>
      </w:r>
      <w:r>
        <w:rPr>
          <w:rFonts w:ascii="Times New Roman" w:hAnsi="Times New Roman" w:eastAsia="等线" w:cs="Times New Roman"/>
          <w:color w:val="000000"/>
          <w:kern w:val="0"/>
          <w:sz w:val="24"/>
          <w:szCs w:val="24"/>
        </w:rPr>
        <w:t xml:space="preserve">"+" indicates the presence of </w:t>
      </w:r>
      <w:r>
        <w:rPr>
          <w:rFonts w:ascii="Times New Roman" w:hAnsi="Times New Roman" w:eastAsia="等线" w:cs="Times New Roman"/>
          <w:i/>
          <w:iCs/>
          <w:color w:val="000000"/>
          <w:kern w:val="0"/>
          <w:sz w:val="24"/>
          <w:szCs w:val="24"/>
        </w:rPr>
        <w:t>FB4</w:t>
      </w:r>
      <w:r>
        <w:rPr>
          <w:rFonts w:ascii="Times New Roman" w:hAnsi="Times New Roman" w:eastAsia="等线" w:cs="Times New Roman"/>
          <w:color w:val="000000"/>
          <w:kern w:val="0"/>
          <w:sz w:val="24"/>
          <w:szCs w:val="24"/>
        </w:rPr>
        <w:t xml:space="preserve">, whereas "-" indicates the absence of </w:t>
      </w:r>
      <w:r>
        <w:rPr>
          <w:rFonts w:ascii="Times New Roman" w:hAnsi="Times New Roman" w:eastAsia="等线" w:cs="Times New Roman"/>
          <w:i/>
          <w:iCs/>
          <w:color w:val="000000"/>
          <w:kern w:val="0"/>
          <w:sz w:val="24"/>
          <w:szCs w:val="24"/>
        </w:rPr>
        <w:t>FB4</w:t>
      </w:r>
      <w:r>
        <w:rPr>
          <w:rFonts w:ascii="Times New Roman" w:hAnsi="Times New Roman" w:eastAsia="等线" w:cs="Times New Roman"/>
          <w:color w:val="000000"/>
          <w:kern w:val="0"/>
          <w:sz w:val="24"/>
          <w:szCs w:val="24"/>
        </w:rPr>
        <w:t xml:space="preserve">. Here, we also show the structural variations longer than 50 bp within each </w:t>
      </w:r>
      <w:r>
        <w:rPr>
          <w:rFonts w:ascii="Times New Roman" w:hAnsi="Times New Roman" w:eastAsia="等线" w:cs="Times New Roman"/>
          <w:i/>
          <w:iCs/>
          <w:color w:val="000000"/>
          <w:kern w:val="0"/>
          <w:sz w:val="24"/>
          <w:szCs w:val="24"/>
        </w:rPr>
        <w:t>FB4</w:t>
      </w:r>
      <w:r>
        <w:rPr>
          <w:rFonts w:ascii="Times New Roman" w:hAnsi="Times New Roman" w:eastAsia="等线" w:cs="Times New Roman"/>
          <w:color w:val="000000"/>
          <w:kern w:val="0"/>
          <w:sz w:val="24"/>
          <w:szCs w:val="24"/>
        </w:rPr>
        <w:t>.</w:t>
      </w:r>
    </w:p>
    <w:p>
      <w:pPr>
        <w:rPr>
          <w:rFonts w:hint="eastAsia" w:ascii="Times New Roman" w:hAnsi="Times New Roman" w:cs="Times New Roman"/>
          <w:sz w:val="24"/>
          <w:szCs w:val="24"/>
        </w:rPr>
      </w:pPr>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8</w:t>
      </w:r>
    </w:p>
    <w:p>
      <w:pPr>
        <w:widowControl/>
        <w:rPr>
          <w:rFonts w:ascii="Times New Roman" w:hAnsi="Times New Roman" w:eastAsia="等线" w:cs="Times New Roman"/>
          <w:kern w:val="0"/>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kern w:val="0"/>
          <w:sz w:val="24"/>
          <w:szCs w:val="24"/>
        </w:rPr>
        <w:t xml:space="preserve">Primers used to confirm and sequence </w:t>
      </w:r>
      <w:r>
        <w:rPr>
          <w:rFonts w:ascii="Times New Roman" w:hAnsi="Times New Roman" w:eastAsia="等线" w:cs="Times New Roman"/>
          <w:b/>
          <w:bCs/>
          <w:i/>
          <w:iCs/>
          <w:kern w:val="0"/>
          <w:sz w:val="24"/>
          <w:szCs w:val="24"/>
        </w:rPr>
        <w:t>Ssk-FB4s</w:t>
      </w:r>
      <w:r>
        <w:rPr>
          <w:rFonts w:ascii="Times New Roman" w:hAnsi="Times New Roman" w:eastAsia="等线" w:cs="Times New Roman"/>
          <w:b/>
          <w:bCs/>
          <w:kern w:val="0"/>
          <w:sz w:val="24"/>
          <w:szCs w:val="24"/>
        </w:rPr>
        <w:t xml:space="preserve"> in five DGRP lines. </w:t>
      </w:r>
      <w:r>
        <w:rPr>
          <w:rFonts w:ascii="Times New Roman" w:hAnsi="Times New Roman" w:eastAsia="等线" w:cs="Times New Roman"/>
          <w:kern w:val="0"/>
          <w:sz w:val="24"/>
          <w:szCs w:val="24"/>
        </w:rPr>
        <w:t xml:space="preserve">We designed three pairs of primers to sequence the full-length, upstream or downstream sequences of each </w:t>
      </w:r>
      <w:r>
        <w:rPr>
          <w:rFonts w:ascii="Times New Roman" w:hAnsi="Times New Roman" w:eastAsia="等线" w:cs="Times New Roman"/>
          <w:i/>
          <w:iCs/>
          <w:kern w:val="0"/>
          <w:sz w:val="24"/>
          <w:szCs w:val="24"/>
        </w:rPr>
        <w:t>Ssk-FB4</w:t>
      </w:r>
      <w:r>
        <w:rPr>
          <w:rFonts w:ascii="Times New Roman" w:hAnsi="Times New Roman" w:eastAsia="等线" w:cs="Times New Roman"/>
          <w:kern w:val="0"/>
          <w:sz w:val="24"/>
          <w:szCs w:val="24"/>
        </w:rPr>
        <w:t xml:space="preserve"> copy. The numbers (bp) show the expected size. Full-length indicates that the two primers were located in the 5' and 3' flanking regions of </w:t>
      </w:r>
      <w:r>
        <w:rPr>
          <w:rFonts w:ascii="Times New Roman" w:hAnsi="Times New Roman" w:eastAsia="等线" w:cs="Times New Roman"/>
          <w:i/>
          <w:iCs/>
          <w:kern w:val="0"/>
          <w:sz w:val="24"/>
          <w:szCs w:val="24"/>
        </w:rPr>
        <w:t>Ssk-FB4</w:t>
      </w:r>
      <w:r>
        <w:rPr>
          <w:rFonts w:ascii="Times New Roman" w:hAnsi="Times New Roman" w:eastAsia="等线" w:cs="Times New Roman"/>
          <w:kern w:val="0"/>
          <w:sz w:val="24"/>
          <w:szCs w:val="24"/>
        </w:rPr>
        <w:t xml:space="preserve">. Upstream means that one primer was located in the 5' flanking region and the other was located inside </w:t>
      </w:r>
      <w:r>
        <w:rPr>
          <w:rFonts w:ascii="Times New Roman" w:hAnsi="Times New Roman" w:eastAsia="等线" w:cs="Times New Roman"/>
          <w:i/>
          <w:iCs/>
          <w:kern w:val="0"/>
          <w:sz w:val="24"/>
          <w:szCs w:val="24"/>
        </w:rPr>
        <w:t>Ssk-FB4</w:t>
      </w:r>
      <w:r>
        <w:rPr>
          <w:rFonts w:ascii="Times New Roman" w:hAnsi="Times New Roman" w:eastAsia="等线" w:cs="Times New Roman"/>
          <w:kern w:val="0"/>
          <w:sz w:val="24"/>
          <w:szCs w:val="24"/>
        </w:rPr>
        <w:t xml:space="preserve">. The downstream primers were defined analogously. The grids in colors represent three different </w:t>
      </w:r>
      <w:r>
        <w:rPr>
          <w:rFonts w:ascii="Times New Roman" w:hAnsi="Times New Roman" w:eastAsia="等线" w:cs="Times New Roman"/>
          <w:i/>
          <w:iCs/>
          <w:kern w:val="0"/>
          <w:sz w:val="24"/>
          <w:szCs w:val="24"/>
        </w:rPr>
        <w:t>Ssk-FB4</w:t>
      </w:r>
      <w:r>
        <w:rPr>
          <w:rFonts w:ascii="Times New Roman" w:hAnsi="Times New Roman" w:eastAsia="等线" w:cs="Times New Roman"/>
          <w:kern w:val="0"/>
          <w:sz w:val="24"/>
          <w:szCs w:val="24"/>
        </w:rPr>
        <w:t xml:space="preserve"> loci detected by the split-read method, and all 15 presence/absence calls were validated by sequencing. The color code follows that in Fig. 3B. </w:t>
      </w:r>
    </w:p>
    <w:p>
      <w:pPr>
        <w:widowControl/>
        <w:rPr>
          <w:rFonts w:ascii="Times New Roman" w:hAnsi="Times New Roman" w:eastAsia="等线" w:cs="Times New Roman"/>
          <w:b/>
          <w:bCs/>
          <w:kern w:val="0"/>
          <w:sz w:val="24"/>
          <w:szCs w:val="24"/>
        </w:rPr>
      </w:pPr>
    </w:p>
    <w:p>
      <w:pPr>
        <w:widowControl/>
        <w:rPr>
          <w:rFonts w:ascii="Times New Roman" w:hAnsi="Times New Roman" w:cs="Times New Roman"/>
          <w:sz w:val="24"/>
          <w:szCs w:val="24"/>
        </w:rPr>
      </w:pPr>
      <w:r>
        <w:rPr>
          <w:rFonts w:ascii="Times New Roman" w:hAnsi="Times New Roman" w:eastAsia="等线" w:cs="Times New Roman"/>
          <w:kern w:val="0"/>
          <w:sz w:val="24"/>
          <w:szCs w:val="24"/>
        </w:rPr>
        <w:t xml:space="preserve">File Name: </w:t>
      </w:r>
      <w:r>
        <w:rPr>
          <w:rFonts w:ascii="Times New Roman" w:hAnsi="Times New Roman" w:cs="Times New Roman"/>
          <w:sz w:val="24"/>
          <w:szCs w:val="24"/>
        </w:rPr>
        <w:t>Supplementary Data 9</w:t>
      </w:r>
    </w:p>
    <w:p>
      <w:pPr>
        <w:widowControl/>
        <w:rPr>
          <w:rFonts w:hint="eastAsia" w:ascii="Times New Roman" w:hAnsi="Times New Roman" w:cs="Times New Roman"/>
          <w:sz w:val="24"/>
          <w:szCs w:val="24"/>
        </w:rPr>
      </w:pPr>
      <w:r>
        <w:rPr>
          <w:rFonts w:ascii="Times New Roman" w:hAnsi="Times New Roman" w:cs="Times New Roman"/>
          <w:sz w:val="24"/>
          <w:szCs w:val="24"/>
        </w:rPr>
        <w:t xml:space="preserve">Description: </w:t>
      </w:r>
      <w:r>
        <w:rPr>
          <w:rFonts w:ascii="Times New Roman" w:hAnsi="Times New Roman" w:eastAsia="等线" w:cs="Times New Roman"/>
          <w:b/>
          <w:bCs/>
          <w:color w:val="000000"/>
          <w:kern w:val="0"/>
          <w:sz w:val="24"/>
          <w:szCs w:val="24"/>
        </w:rPr>
        <w:t xml:space="preserve">Thirteen genome-wide association studies (GWAS) performed in DGRP lines. </w:t>
      </w:r>
      <w:r>
        <w:rPr>
          <w:rFonts w:ascii="Times New Roman" w:hAnsi="Times New Roman" w:eastAsia="等线" w:cs="Times New Roman"/>
          <w:bCs/>
          <w:color w:val="000000"/>
          <w:kern w:val="0"/>
          <w:sz w:val="24"/>
          <w:szCs w:val="24"/>
        </w:rPr>
        <w:t>The four datasets with sufficient statistical power were marked in blue. Reference in Row 15 and 16 are thesis rather than regular papers.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Times New Roman Italic">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D2E"/>
    <w:rsid w:val="00001C65"/>
    <w:rsid w:val="00567316"/>
    <w:rsid w:val="00756D2E"/>
    <w:rsid w:val="2DFD7574"/>
    <w:rsid w:val="5B399551"/>
    <w:rsid w:val="B93B5B9D"/>
    <w:rsid w:val="CF3D6554"/>
    <w:rsid w:val="FD7C0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860</Words>
  <Characters>4905</Characters>
  <Lines>40</Lines>
  <Paragraphs>11</Paragraphs>
  <ScaleCrop>false</ScaleCrop>
  <LinksUpToDate>false</LinksUpToDate>
  <CharactersWithSpaces>5754</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2021-06-22T19:10:00Z</dcterms:created>
  <dc:creator>tanshengjun@ioz.ac.cn</dc:creator>
  <cp:lastModifiedBy>tanshengjun</cp:lastModifiedBy>
  <dcterms:modified xsi:type="dcterms:W3CDTF">2021-06-22T14:56:36Z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